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val="en-US" w:eastAsia="zh-CN"/>
        </w:rPr>
        <w:t>（公示本）</w:t>
      </w:r>
    </w:p>
    <w:p>
      <w:pPr>
        <w:bidi w:val="0"/>
      </w:pPr>
    </w:p>
    <w:p>
      <w:pPr>
        <w:pStyle w:val="20"/>
      </w:pPr>
      <w:bookmarkStart w:id="7" w:name="_GoBack"/>
      <w:bookmarkEnd w:id="7"/>
    </w:p>
    <w:p>
      <w:pPr>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default" w:ascii="仿宋" w:hAnsi="仿宋" w:eastAsia="仿宋" w:cs="仿宋"/>
          <w:sz w:val="28"/>
          <w:szCs w:val="28"/>
          <w:u w:val="single"/>
          <w:lang w:val="en-US" w:eastAsia="zh-CN"/>
        </w:rPr>
      </w:pPr>
      <w:r>
        <w:rPr>
          <w:rFonts w:hint="eastAsia" w:ascii="仿宋_GB2312" w:eastAsia="仿宋_GB2312"/>
          <w:sz w:val="28"/>
          <w:szCs w:val="28"/>
        </w:rPr>
        <w:t>项目名称：</w:t>
      </w:r>
      <w:r>
        <w:rPr>
          <w:rFonts w:hint="eastAsia" w:ascii="仿宋_GB2312" w:eastAsia="仿宋_GB2312"/>
          <w:sz w:val="28"/>
          <w:szCs w:val="28"/>
          <w:u w:val="single"/>
        </w:rPr>
        <w:t xml:space="preserve"> </w:t>
      </w:r>
      <w:r>
        <w:rPr>
          <w:rFonts w:hint="eastAsia" w:ascii="仿宋_GB2312" w:hAnsi="Times New Roman" w:eastAsia="仿宋_GB2312" w:cs="Times New Roman"/>
          <w:sz w:val="28"/>
          <w:szCs w:val="28"/>
          <w:u w:val="single"/>
          <w:lang w:val="en-GB" w:eastAsia="zh-CN"/>
        </w:rPr>
        <w:t>达州中医药职业学院产教融合实训与研究基地项目（一期）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eastAsia" w:ascii="仿宋_GB2312" w:eastAsia="仿宋_GB2312"/>
          <w:sz w:val="28"/>
          <w:szCs w:val="28"/>
          <w:lang w:val="en-US" w:eastAsia="zh-CN"/>
        </w:rPr>
      </w:pPr>
      <w:r>
        <w:rPr>
          <w:rFonts w:hint="eastAsia" w:ascii="仿宋_GB2312" w:eastAsia="仿宋_GB2312"/>
          <w:sz w:val="28"/>
          <w:szCs w:val="28"/>
        </w:rPr>
        <w:t>建设单位（盖章）：</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        </w:t>
      </w:r>
      <w:r>
        <w:rPr>
          <w:rFonts w:hint="eastAsia" w:ascii="仿宋_GB2312" w:hAnsi="Times New Roman" w:eastAsia="仿宋_GB2312" w:cs="Times New Roman"/>
          <w:sz w:val="28"/>
          <w:szCs w:val="28"/>
          <w:u w:val="single"/>
          <w:lang w:val="en-US" w:eastAsia="zh-CN"/>
        </w:rPr>
        <w:t xml:space="preserve">达州国资工程建设有限公司          </w:t>
      </w:r>
      <w:bookmarkStart w:id="0" w:name="_Hlk57884087"/>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textAlignment w:val="auto"/>
        <w:rPr>
          <w:rFonts w:hint="default" w:ascii="仿宋_GB2312" w:eastAsia="仿宋_GB2312"/>
          <w:sz w:val="36"/>
          <w:szCs w:val="36"/>
          <w:u w:val="single"/>
          <w:lang w:val="en-US" w:eastAsia="zh-CN"/>
        </w:rPr>
      </w:pPr>
      <w:r>
        <w:rPr>
          <w:rFonts w:hint="eastAsia" w:ascii="仿宋_GB2312" w:eastAsia="仿宋_GB2312"/>
          <w:sz w:val="28"/>
          <w:szCs w:val="28"/>
          <w:lang w:val="en-US" w:eastAsia="zh-CN"/>
        </w:rPr>
        <w:t>编制日期：</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                      2023年5月               </w:t>
      </w:r>
      <w:r>
        <w:rPr>
          <w:rFonts w:hint="eastAsia" w:ascii="仿宋_GB2312" w:hAnsi="Times New Roman" w:eastAsia="仿宋_GB2312" w:cs="Times New Roman"/>
          <w:sz w:val="28"/>
          <w:szCs w:val="28"/>
          <w:u w:val="single"/>
          <w:lang w:val="en-US" w:eastAsia="zh-CN"/>
        </w:rPr>
        <w:t xml:space="preserve">   </w:t>
      </w:r>
      <w:r>
        <w:rPr>
          <w:rFonts w:hint="eastAsia" w:ascii="仿宋_GB2312" w:eastAsia="仿宋_GB2312"/>
          <w:sz w:val="36"/>
          <w:szCs w:val="36"/>
          <w:lang w:val="en-US" w:eastAsia="zh-CN"/>
        </w:rPr>
        <w:t xml:space="preserve">   </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5"/>
        <w:tblW w:w="93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0"/>
        <w:gridCol w:w="758"/>
        <w:gridCol w:w="2471"/>
        <w:gridCol w:w="2212"/>
        <w:gridCol w:w="3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777" w:type="dxa"/>
            <w:gridSpan w:val="3"/>
            <w:noWrap w:val="0"/>
            <w:vAlign w:val="center"/>
          </w:tcPr>
          <w:p>
            <w:pPr>
              <w:adjustRightInd w:val="0"/>
              <w:snapToGrid w:val="0"/>
              <w:jc w:val="center"/>
              <w:rPr>
                <w:rFonts w:hint="default" w:ascii="Times New Roman" w:hAnsi="Times New Roman" w:cs="Times New Roman"/>
                <w:sz w:val="24"/>
                <w:szCs w:val="24"/>
              </w:rPr>
            </w:pPr>
            <w:r>
              <w:rPr>
                <w:rFonts w:hint="eastAsia"/>
                <w:sz w:val="24"/>
                <w:szCs w:val="24"/>
                <w:lang w:val="en-GB" w:eastAsia="zh-CN"/>
              </w:rPr>
              <w:t>达州中医药职业学院产教融合实训与研究基地项目（一期）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777"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auto"/>
                <w:sz w:val="24"/>
                <w:szCs w:val="24"/>
                <w:lang w:val="en-US" w:eastAsia="zh-CN"/>
              </w:rPr>
              <w:t>2210-511700-04-01-366520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2471"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李奎霖</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3094"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13092854333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777" w:type="dxa"/>
            <w:gridSpan w:val="3"/>
            <w:noWrap w:val="0"/>
            <w:vAlign w:val="center"/>
          </w:tcPr>
          <w:p>
            <w:pPr>
              <w:adjustRightInd w:val="0"/>
              <w:snapToGrid w:val="0"/>
              <w:jc w:val="center"/>
              <w:rPr>
                <w:rFonts w:hint="default" w:ascii="Times New Roman" w:hAnsi="Times New Roman" w:cs="Times New Roman"/>
                <w:sz w:val="24"/>
                <w:szCs w:val="24"/>
              </w:rPr>
            </w:pPr>
            <w:r>
              <w:rPr>
                <w:rFonts w:hint="eastAsia"/>
                <w:sz w:val="26"/>
                <w:szCs w:val="28"/>
                <w:lang w:eastAsia="zh-CN"/>
              </w:rPr>
              <w:t>达州市通川区西南职教园区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777" w:type="dxa"/>
            <w:gridSpan w:val="3"/>
            <w:noWrap w:val="0"/>
            <w:vAlign w:val="center"/>
          </w:tcPr>
          <w:p>
            <w:pPr>
              <w:jc w:val="center"/>
              <w:rPr>
                <w:rFonts w:hint="default" w:ascii="Times New Roman" w:hAnsi="Times New Roman" w:cs="Times New Roman"/>
                <w:color w:val="00B050"/>
                <w:sz w:val="24"/>
                <w:szCs w:val="24"/>
              </w:rPr>
            </w:pP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107</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32</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25.868</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31</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16</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55.657</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2471"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sz w:val="24"/>
                <w:szCs w:val="24"/>
                <w:lang w:val="en-US" w:eastAsia="zh-CN"/>
              </w:rPr>
            </w:pPr>
            <w:r>
              <w:rPr>
                <w:rFonts w:hint="eastAsia"/>
                <w:sz w:val="24"/>
                <w:szCs w:val="24"/>
                <w:lang w:val="en-US" w:eastAsia="zh-CN"/>
              </w:rPr>
              <w:t>P8341</w:t>
            </w:r>
            <w:r>
              <w:rPr>
                <w:rFonts w:hint="default"/>
                <w:sz w:val="24"/>
                <w:szCs w:val="24"/>
                <w:lang w:val="en-US" w:eastAsia="zh-CN"/>
              </w:rPr>
              <w:t xml:space="preserve"> </w:t>
            </w:r>
            <w:r>
              <w:rPr>
                <w:rFonts w:hint="eastAsia"/>
                <w:sz w:val="24"/>
                <w:szCs w:val="24"/>
                <w:lang w:val="en-US" w:eastAsia="zh-CN"/>
              </w:rPr>
              <w:t>普通高等教育</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lang w:val="en-US" w:eastAsia="zh-CN"/>
              </w:rPr>
            </w:pPr>
            <w:r>
              <w:rPr>
                <w:rFonts w:hint="default" w:ascii="Times New Roman" w:hAnsi="Times New Roman" w:cs="Times New Roman"/>
                <w:color w:val="auto"/>
                <w:sz w:val="24"/>
                <w:lang w:val="en-US" w:eastAsia="zh-CN"/>
              </w:rPr>
              <w:t>E4822</w:t>
            </w:r>
            <w:r>
              <w:rPr>
                <w:rFonts w:hint="default" w:ascii="Times New Roman" w:hAnsi="Times New Roman" w:cs="Times New Roman"/>
                <w:color w:val="auto"/>
                <w:sz w:val="24"/>
                <w:lang w:eastAsia="zh-CN"/>
              </w:rPr>
              <w:t>河湖治理及防洪设施工程建筑</w:t>
            </w:r>
          </w:p>
        </w:tc>
        <w:tc>
          <w:tcPr>
            <w:tcW w:w="2212" w:type="dxa"/>
            <w:noWrap w:val="0"/>
            <w:vAlign w:val="center"/>
          </w:tcPr>
          <w:p>
            <w:pPr>
              <w:adjustRightInd w:val="0"/>
              <w:snapToGrid w:val="0"/>
              <w:jc w:val="center"/>
              <w:rPr>
                <w:rFonts w:hint="default" w:ascii="Times New Roman" w:hAnsi="Times New Roman" w:cs="Times New Roman"/>
                <w:sz w:val="24"/>
                <w:szCs w:val="24"/>
              </w:rPr>
            </w:pPr>
            <w:bookmarkStart w:id="1" w:name="_Hlk49843745"/>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1"/>
          </w:p>
        </w:tc>
        <w:tc>
          <w:tcPr>
            <w:tcW w:w="309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pacing w:val="2"/>
                <w:sz w:val="24"/>
                <w:szCs w:val="24"/>
                <w:lang w:eastAsia="zh-CN"/>
              </w:rPr>
            </w:pPr>
            <w:r>
              <w:rPr>
                <w:rFonts w:hint="eastAsia" w:ascii="Times New Roman" w:hAnsi="Times New Roman" w:eastAsia="宋体" w:cs="Times New Roman"/>
                <w:color w:val="000000"/>
                <w:kern w:val="0"/>
                <w:sz w:val="24"/>
                <w:szCs w:val="24"/>
                <w:lang w:val="en-US" w:eastAsia="zh-CN" w:bidi="ar"/>
              </w:rPr>
              <w:t>五十</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社会事业与服务业</w:t>
            </w:r>
            <w:r>
              <w:rPr>
                <w:sz w:val="24"/>
                <w:szCs w:val="24"/>
              </w:rPr>
              <w:t>——</w:t>
            </w:r>
            <w:r>
              <w:rPr>
                <w:rFonts w:hint="eastAsia" w:ascii="Times New Roman" w:hAnsi="Times New Roman" w:eastAsia="宋体" w:cs="Times New Roman"/>
                <w:color w:val="000000"/>
                <w:kern w:val="0"/>
                <w:sz w:val="24"/>
                <w:szCs w:val="24"/>
                <w:lang w:val="en-US" w:eastAsia="zh-CN" w:bidi="ar"/>
              </w:rPr>
              <w:t>110</w:t>
            </w:r>
            <w:r>
              <w:rPr>
                <w:rFonts w:hint="default" w:ascii="Times New Roman" w:hAnsi="Times New Roman" w:eastAsia="宋体" w:cs="Times New Roman"/>
                <w:color w:val="000000"/>
                <w:kern w:val="0"/>
                <w:sz w:val="24"/>
                <w:szCs w:val="24"/>
                <w:lang w:val="en-US" w:eastAsia="zh-CN" w:bidi="ar"/>
              </w:rPr>
              <w:t xml:space="preserve"> </w:t>
            </w:r>
            <w:r>
              <w:rPr>
                <w:rFonts w:ascii="宋体" w:hAnsi="宋体" w:eastAsia="宋体" w:cs="宋体"/>
                <w:spacing w:val="8"/>
                <w:sz w:val="24"/>
                <w:szCs w:val="24"/>
              </w:rPr>
              <w:t>学校</w:t>
            </w:r>
            <w:r>
              <w:rPr>
                <w:rFonts w:ascii="宋体" w:hAnsi="宋体" w:eastAsia="宋体" w:cs="宋体"/>
                <w:spacing w:val="4"/>
                <w:sz w:val="24"/>
                <w:szCs w:val="24"/>
              </w:rPr>
              <w:t>、福利院、养老院 (建筑面</w:t>
            </w:r>
            <w:r>
              <w:rPr>
                <w:rFonts w:ascii="Times New Roman" w:hAnsi="Times New Roman" w:eastAsia="Times New Roman" w:cs="Times New Roman"/>
                <w:spacing w:val="10"/>
                <w:sz w:val="24"/>
                <w:szCs w:val="24"/>
              </w:rPr>
              <w:t xml:space="preserve">5000 </w:t>
            </w:r>
            <w:r>
              <w:rPr>
                <w:rFonts w:ascii="宋体" w:hAnsi="宋体" w:eastAsia="宋体" w:cs="宋体"/>
                <w:spacing w:val="10"/>
                <w:sz w:val="24"/>
                <w:szCs w:val="24"/>
              </w:rPr>
              <w:t>平方米及以上的)</w:t>
            </w:r>
            <w:r>
              <w:rPr>
                <w:sz w:val="24"/>
                <w:szCs w:val="24"/>
              </w:rPr>
              <w:t>——</w:t>
            </w:r>
            <w:r>
              <w:rPr>
                <w:rFonts w:ascii="宋体" w:hAnsi="宋体" w:eastAsia="宋体" w:cs="宋体"/>
                <w:spacing w:val="2"/>
                <w:sz w:val="24"/>
                <w:szCs w:val="24"/>
              </w:rPr>
              <w:t>新建涉及环境敏感区的；有化学、生物实验室的学校</w:t>
            </w:r>
            <w:r>
              <w:rPr>
                <w:rFonts w:hint="eastAsia" w:ascii="宋体" w:hAnsi="宋体" w:eastAsia="宋体" w:cs="宋体"/>
                <w:spacing w:val="2"/>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sz w:val="24"/>
                <w:szCs w:val="24"/>
                <w:lang w:eastAsia="zh-CN"/>
              </w:rPr>
            </w:pPr>
            <w:r>
              <w:rPr>
                <w:rStyle w:val="65"/>
                <w:rFonts w:hint="default" w:ascii="Times New Roman" w:hAnsi="Times New Roman" w:eastAsia="宋体" w:cs="Times New Roman"/>
                <w:color w:val="auto"/>
                <w:sz w:val="24"/>
                <w:szCs w:val="24"/>
                <w:lang w:eastAsia="zh-CN"/>
              </w:rPr>
              <w:t>五十一</w:t>
            </w:r>
            <w:r>
              <w:rPr>
                <w:rStyle w:val="65"/>
                <w:rFonts w:hint="default" w:ascii="Times New Roman" w:hAnsi="Times New Roman" w:cs="Times New Roman"/>
                <w:color w:val="auto"/>
                <w:sz w:val="24"/>
                <w:szCs w:val="24"/>
              </w:rPr>
              <w:t>、</w:t>
            </w:r>
            <w:r>
              <w:rPr>
                <w:rStyle w:val="65"/>
                <w:rFonts w:hint="default" w:ascii="Times New Roman" w:hAnsi="Times New Roman" w:eastAsia="宋体" w:cs="Times New Roman"/>
                <w:color w:val="auto"/>
                <w:sz w:val="24"/>
                <w:szCs w:val="24"/>
                <w:lang w:eastAsia="zh-CN"/>
              </w:rPr>
              <w:t>水利</w:t>
            </w:r>
            <w:r>
              <w:rPr>
                <w:sz w:val="24"/>
                <w:szCs w:val="24"/>
              </w:rPr>
              <w:t>——</w:t>
            </w:r>
            <w:r>
              <w:rPr>
                <w:rStyle w:val="65"/>
                <w:rFonts w:hint="default" w:ascii="Times New Roman" w:hAnsi="Times New Roman" w:eastAsia="宋体" w:cs="Times New Roman"/>
                <w:color w:val="auto"/>
                <w:sz w:val="24"/>
                <w:szCs w:val="24"/>
                <w:lang w:val="en-US" w:eastAsia="zh-CN"/>
              </w:rPr>
              <w:t>12</w:t>
            </w:r>
            <w:r>
              <w:rPr>
                <w:rStyle w:val="65"/>
                <w:rFonts w:hint="eastAsia" w:ascii="Times New Roman" w:hAnsi="Times New Roman" w:eastAsia="宋体" w:cs="Times New Roman"/>
                <w:color w:val="auto"/>
                <w:sz w:val="24"/>
                <w:szCs w:val="24"/>
                <w:lang w:val="en-US" w:eastAsia="zh-CN"/>
              </w:rPr>
              <w:t>8河湖整治（不含农村塘堰、水渠）</w:t>
            </w:r>
            <w:r>
              <w:rPr>
                <w:sz w:val="24"/>
                <w:szCs w:val="24"/>
              </w:rPr>
              <w:t>——</w:t>
            </w:r>
            <w:r>
              <w:rPr>
                <w:rFonts w:hint="eastAsia"/>
                <w:sz w:val="24"/>
                <w:szCs w:val="24"/>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471" w:type="dxa"/>
            <w:noWrap w:val="0"/>
            <w:vAlign w:val="center"/>
          </w:tcPr>
          <w:p>
            <w:pPr>
              <w:jc w:val="left"/>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default" w:ascii="Times New Roman" w:hAnsi="Times New Roman" w:cs="Times New Roman"/>
                <w:sz w:val="24"/>
                <w:szCs w:val="24"/>
              </w:rPr>
              <w:t>新建（迁建）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□改建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□扩建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3094"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首次申报项目             </w:t>
            </w:r>
          </w:p>
          <w:p>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不予批准后再次申报项目</w:t>
            </w: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□超五年重新审核项目     </w:t>
            </w:r>
          </w:p>
          <w:p>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项目审批（核准/备案）部门（选填）</w:t>
            </w:r>
          </w:p>
        </w:tc>
        <w:tc>
          <w:tcPr>
            <w:tcW w:w="2471"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达州市发展和改革委员会</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309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达市发改审</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r>
              <w:rPr>
                <w:rFonts w:hint="eastAsia" w:ascii="Times New Roman" w:hAnsi="Times New Roman" w:eastAsia="宋体" w:cs="Times New Roman"/>
                <w:color w:val="auto"/>
                <w:kern w:val="0"/>
                <w:sz w:val="24"/>
                <w:szCs w:val="24"/>
                <w:lang w:val="en-US" w:eastAsia="zh-CN" w:bidi="ar"/>
              </w:rPr>
              <w:t>22</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sz w:val="24"/>
                <w:szCs w:val="24"/>
                <w:lang w:val="en-US" w:eastAsia="zh-CN"/>
              </w:rPr>
              <w:t>74号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2471"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sz w:val="24"/>
                <w:szCs w:val="24"/>
                <w:lang w:val="en-US" w:eastAsia="zh-CN"/>
              </w:rPr>
              <w:t>251604.9</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309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auto"/>
                <w:sz w:val="24"/>
                <w:szCs w:val="24"/>
                <w:lang w:val="en-US" w:eastAsia="zh-CN"/>
              </w:rPr>
              <w:t>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2471"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color w:val="auto"/>
                <w:sz w:val="24"/>
                <w:szCs w:val="24"/>
                <w:highlight w:val="none"/>
                <w:lang w:val="en-US" w:eastAsia="zh-CN"/>
              </w:rPr>
              <w:t>0.083</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309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36</w:t>
            </w:r>
            <w:r>
              <w:rPr>
                <w:rFonts w:hint="default" w:ascii="Times New Roman" w:hAnsi="Times New Roman" w:cs="Times New Roman"/>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2471" w:type="dxa"/>
            <w:noWrap w:val="0"/>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否</w:t>
            </w:r>
          </w:p>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3094" w:type="dxa"/>
            <w:noWrap w:val="0"/>
            <w:vAlign w:val="center"/>
          </w:tcPr>
          <w:p>
            <w:pPr>
              <w:adjustRightInd w:val="0"/>
              <w:snapToGrid w:val="0"/>
              <w:jc w:val="center"/>
              <w:rPr>
                <w:rFonts w:hint="default" w:ascii="Times New Roman" w:hAnsi="Times New Roman" w:eastAsia="宋体" w:cs="Times New Roman"/>
                <w:sz w:val="24"/>
                <w:szCs w:val="24"/>
                <w:vertAlign w:val="superscript"/>
                <w:lang w:val="en-US" w:eastAsia="zh-CN"/>
              </w:rPr>
            </w:pPr>
            <w:r>
              <w:rPr>
                <w:rFonts w:hint="eastAsia" w:ascii="Times New Roman" w:hAnsi="Times New Roman" w:eastAsia="宋体" w:cs="Times New Roman"/>
                <w:sz w:val="24"/>
                <w:szCs w:val="24"/>
                <w:lang w:val="en-US" w:eastAsia="zh-CN"/>
              </w:rPr>
              <w:t>243634.63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853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cs="Times New Roman"/>
                <w:sz w:val="24"/>
                <w:szCs w:val="24"/>
              </w:rPr>
            </w:pPr>
            <w:r>
              <w:rPr>
                <w:rFonts w:cs="Times New Roman"/>
                <w:sz w:val="24"/>
                <w:szCs w:val="24"/>
              </w:rPr>
              <w:t>根据《建设项目环境影响报告表编制技术指南（污染影响类）（试行）》，</w:t>
            </w:r>
            <w:r>
              <w:rPr>
                <w:rFonts w:hint="eastAsia" w:cs="Times New Roman"/>
                <w:sz w:val="24"/>
                <w:szCs w:val="24"/>
              </w:rPr>
              <w:t>本项目专项评价设置情况见下表</w:t>
            </w:r>
            <w:r>
              <w:rPr>
                <w:rFonts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s="Times New Roman"/>
                <w:szCs w:val="21"/>
              </w:rPr>
            </w:pPr>
            <w:r>
              <w:rPr>
                <w:rFonts w:eastAsia="黑体" w:cs="Times New Roman"/>
                <w:szCs w:val="21"/>
              </w:rPr>
              <w:t>表1-1  专项评价设置表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3300"/>
              <w:gridCol w:w="2970"/>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jc w:val="center"/>
                    <w:rPr>
                      <w:rFonts w:cs="Times New Roman"/>
                      <w:b/>
                      <w:bCs/>
                      <w:sz w:val="21"/>
                      <w:szCs w:val="21"/>
                    </w:rPr>
                  </w:pPr>
                  <w:r>
                    <w:rPr>
                      <w:rFonts w:cs="Times New Roman"/>
                      <w:b/>
                      <w:bCs/>
                      <w:sz w:val="21"/>
                      <w:szCs w:val="21"/>
                    </w:rPr>
                    <w:t>专项评价类别</w:t>
                  </w:r>
                </w:p>
              </w:tc>
              <w:tc>
                <w:tcPr>
                  <w:tcW w:w="1985" w:type="pct"/>
                  <w:noWrap w:val="0"/>
                  <w:vAlign w:val="center"/>
                </w:tcPr>
                <w:p>
                  <w:pPr>
                    <w:jc w:val="center"/>
                    <w:rPr>
                      <w:rFonts w:cs="Times New Roman"/>
                      <w:b/>
                      <w:bCs/>
                      <w:sz w:val="21"/>
                      <w:szCs w:val="21"/>
                    </w:rPr>
                  </w:pPr>
                  <w:r>
                    <w:rPr>
                      <w:rFonts w:cs="Times New Roman"/>
                      <w:b/>
                      <w:bCs/>
                      <w:sz w:val="21"/>
                      <w:szCs w:val="21"/>
                    </w:rPr>
                    <w:t>设置原则</w:t>
                  </w:r>
                </w:p>
              </w:tc>
              <w:tc>
                <w:tcPr>
                  <w:tcW w:w="1787" w:type="pct"/>
                  <w:noWrap w:val="0"/>
                  <w:vAlign w:val="center"/>
                </w:tcPr>
                <w:p>
                  <w:pPr>
                    <w:jc w:val="center"/>
                    <w:rPr>
                      <w:rFonts w:cs="Times New Roman"/>
                      <w:b/>
                      <w:bCs/>
                      <w:sz w:val="21"/>
                      <w:szCs w:val="21"/>
                    </w:rPr>
                  </w:pPr>
                  <w:r>
                    <w:rPr>
                      <w:rFonts w:cs="Times New Roman"/>
                      <w:b/>
                      <w:bCs/>
                      <w:sz w:val="21"/>
                      <w:szCs w:val="21"/>
                    </w:rPr>
                    <w:t>本项目情况</w:t>
                  </w:r>
                </w:p>
              </w:tc>
              <w:tc>
                <w:tcPr>
                  <w:tcW w:w="613" w:type="pct"/>
                  <w:noWrap w:val="0"/>
                  <w:vAlign w:val="center"/>
                </w:tcPr>
                <w:p>
                  <w:pPr>
                    <w:jc w:val="center"/>
                    <w:rPr>
                      <w:rFonts w:cs="Times New Roman"/>
                      <w:b/>
                      <w:bCs/>
                      <w:sz w:val="21"/>
                      <w:szCs w:val="21"/>
                    </w:rPr>
                  </w:pPr>
                  <w:r>
                    <w:rPr>
                      <w:rFonts w:cs="Times New Roman"/>
                      <w:b/>
                      <w:bCs/>
                      <w:sz w:val="21"/>
                      <w:szCs w:val="21"/>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jc w:val="center"/>
                    <w:rPr>
                      <w:rFonts w:cs="Times New Roman"/>
                      <w:sz w:val="21"/>
                      <w:szCs w:val="21"/>
                    </w:rPr>
                  </w:pPr>
                  <w:r>
                    <w:rPr>
                      <w:rFonts w:cs="Times New Roman"/>
                      <w:sz w:val="21"/>
                      <w:szCs w:val="21"/>
                    </w:rPr>
                    <w:t>大气</w:t>
                  </w:r>
                </w:p>
              </w:tc>
              <w:tc>
                <w:tcPr>
                  <w:tcW w:w="1985" w:type="pct"/>
                  <w:noWrap w:val="0"/>
                  <w:vAlign w:val="center"/>
                </w:tcPr>
                <w:p>
                  <w:pPr>
                    <w:rPr>
                      <w:rFonts w:cs="Times New Roman"/>
                      <w:sz w:val="21"/>
                      <w:szCs w:val="21"/>
                    </w:rPr>
                  </w:pPr>
                  <w:r>
                    <w:rPr>
                      <w:rFonts w:cs="Times New Roman"/>
                      <w:sz w:val="21"/>
                      <w:szCs w:val="21"/>
                    </w:rPr>
                    <w:t>排放废气含有有毒有害物、二噁英、苯并[a]芘、氰化物、氯气且厂界外500米范围内有环境空气保护目标的建设项目</w:t>
                  </w:r>
                </w:p>
              </w:tc>
              <w:tc>
                <w:tcPr>
                  <w:tcW w:w="1787" w:type="pct"/>
                  <w:noWrap w:val="0"/>
                  <w:vAlign w:val="center"/>
                </w:tcPr>
                <w:p>
                  <w:pPr>
                    <w:rPr>
                      <w:rFonts w:cs="Times New Roman"/>
                      <w:sz w:val="21"/>
                      <w:szCs w:val="21"/>
                    </w:rPr>
                  </w:pPr>
                  <w:r>
                    <w:rPr>
                      <w:rFonts w:cs="Times New Roman"/>
                      <w:sz w:val="21"/>
                      <w:szCs w:val="21"/>
                    </w:rPr>
                    <w:t>排放废气</w:t>
                  </w:r>
                  <w:r>
                    <w:rPr>
                      <w:rFonts w:hint="eastAsia" w:cs="Times New Roman"/>
                      <w:sz w:val="21"/>
                      <w:szCs w:val="21"/>
                    </w:rPr>
                    <w:t>不涉及</w:t>
                  </w:r>
                  <w:r>
                    <w:rPr>
                      <w:rFonts w:cs="Times New Roman"/>
                      <w:sz w:val="21"/>
                      <w:szCs w:val="21"/>
                    </w:rPr>
                    <w:t>列入《有毒有害大气污染物名录（2018年）》中的</w:t>
                  </w:r>
                  <w:r>
                    <w:rPr>
                      <w:rFonts w:hint="eastAsia" w:cs="Times New Roman"/>
                      <w:sz w:val="21"/>
                      <w:szCs w:val="21"/>
                    </w:rPr>
                    <w:t>有毒有害物质</w:t>
                  </w:r>
                </w:p>
              </w:tc>
              <w:tc>
                <w:tcPr>
                  <w:tcW w:w="613" w:type="pct"/>
                  <w:noWrap w:val="0"/>
                  <w:vAlign w:val="center"/>
                </w:tcPr>
                <w:p>
                  <w:pPr>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restart"/>
                  <w:noWrap w:val="0"/>
                  <w:vAlign w:val="center"/>
                </w:tcPr>
                <w:p>
                  <w:pPr>
                    <w:jc w:val="center"/>
                    <w:rPr>
                      <w:rFonts w:cs="Times New Roman"/>
                      <w:sz w:val="21"/>
                      <w:szCs w:val="21"/>
                    </w:rPr>
                  </w:pPr>
                  <w:r>
                    <w:rPr>
                      <w:rFonts w:cs="Times New Roman"/>
                      <w:sz w:val="21"/>
                      <w:szCs w:val="21"/>
                    </w:rPr>
                    <w:t>地表水</w:t>
                  </w:r>
                </w:p>
              </w:tc>
              <w:tc>
                <w:tcPr>
                  <w:tcW w:w="1985" w:type="pct"/>
                  <w:noWrap w:val="0"/>
                  <w:vAlign w:val="center"/>
                </w:tcPr>
                <w:p>
                  <w:pPr>
                    <w:rPr>
                      <w:rFonts w:cs="Times New Roman"/>
                      <w:sz w:val="21"/>
                      <w:szCs w:val="21"/>
                    </w:rPr>
                  </w:pPr>
                  <w:r>
                    <w:rPr>
                      <w:rFonts w:cs="Times New Roman"/>
                      <w:sz w:val="21"/>
                      <w:szCs w:val="21"/>
                    </w:rPr>
                    <w:t>新增工业废水直排建设项目（槽罐车外送污水处理厂的除外）</w:t>
                  </w:r>
                </w:p>
              </w:tc>
              <w:tc>
                <w:tcPr>
                  <w:tcW w:w="1787" w:type="pct"/>
                  <w:vMerge w:val="restart"/>
                  <w:noWrap w:val="0"/>
                  <w:vAlign w:val="center"/>
                </w:tcPr>
                <w:p>
                  <w:pPr>
                    <w:rPr>
                      <w:rFonts w:hint="default" w:cs="Times New Roman"/>
                      <w:sz w:val="21"/>
                      <w:szCs w:val="21"/>
                      <w:lang w:val="en-US"/>
                    </w:rPr>
                  </w:pPr>
                  <w:r>
                    <w:rPr>
                      <w:rFonts w:hint="eastAsia" w:cs="Times New Roman"/>
                      <w:iCs/>
                      <w:snapToGrid w:val="0"/>
                      <w:color w:val="auto"/>
                      <w:kern w:val="0"/>
                      <w:sz w:val="21"/>
                      <w:szCs w:val="21"/>
                      <w:highlight w:val="none"/>
                      <w:lang w:val="en-US" w:eastAsia="zh-CN"/>
                    </w:rPr>
                    <w:t>食堂废水经隔油处理后、实验室废水经中和处理后</w:t>
                  </w:r>
                  <w:r>
                    <w:rPr>
                      <w:rFonts w:hint="eastAsia" w:ascii="Times New Roman" w:hAnsi="Times New Roman" w:eastAsia="宋体" w:cs="Times New Roman"/>
                      <w:b w:val="0"/>
                      <w:bCs w:val="0"/>
                      <w:color w:val="auto"/>
                      <w:kern w:val="0"/>
                      <w:sz w:val="21"/>
                      <w:szCs w:val="21"/>
                      <w:lang w:val="en-US" w:eastAsia="zh-CN" w:bidi="ar"/>
                    </w:rPr>
                    <w:t>排入化粪池与生活污水一同处理达《污水综合排放标准》（GB8978-1996）中三级排放标准后排入市政污水管网</w:t>
                  </w:r>
                </w:p>
              </w:tc>
              <w:tc>
                <w:tcPr>
                  <w:tcW w:w="613" w:type="pct"/>
                  <w:vMerge w:val="restart"/>
                  <w:noWrap w:val="0"/>
                  <w:vAlign w:val="center"/>
                </w:tcPr>
                <w:p>
                  <w:pPr>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pPr>
                    <w:jc w:val="center"/>
                    <w:rPr>
                      <w:rFonts w:cs="Times New Roman"/>
                      <w:sz w:val="21"/>
                      <w:szCs w:val="21"/>
                    </w:rPr>
                  </w:pPr>
                </w:p>
              </w:tc>
              <w:tc>
                <w:tcPr>
                  <w:tcW w:w="1985" w:type="pct"/>
                  <w:noWrap w:val="0"/>
                  <w:vAlign w:val="center"/>
                </w:tcPr>
                <w:p>
                  <w:pPr>
                    <w:rPr>
                      <w:rFonts w:cs="Times New Roman"/>
                      <w:sz w:val="21"/>
                      <w:szCs w:val="21"/>
                    </w:rPr>
                  </w:pPr>
                  <w:r>
                    <w:rPr>
                      <w:rFonts w:cs="Times New Roman"/>
                      <w:sz w:val="21"/>
                      <w:szCs w:val="21"/>
                    </w:rPr>
                    <w:t>新增废水直接排放的污水集中处理厂</w:t>
                  </w:r>
                </w:p>
              </w:tc>
              <w:tc>
                <w:tcPr>
                  <w:tcW w:w="1787" w:type="pct"/>
                  <w:vMerge w:val="continue"/>
                  <w:noWrap w:val="0"/>
                  <w:vAlign w:val="center"/>
                </w:tcPr>
                <w:p>
                  <w:pPr>
                    <w:rPr>
                      <w:rFonts w:cs="Times New Roman"/>
                      <w:sz w:val="21"/>
                      <w:szCs w:val="21"/>
                    </w:rPr>
                  </w:pPr>
                </w:p>
              </w:tc>
              <w:tc>
                <w:tcPr>
                  <w:tcW w:w="613" w:type="pct"/>
                  <w:vMerge w:val="continue"/>
                  <w:noWrap w:val="0"/>
                  <w:vAlign w:val="center"/>
                </w:tcPr>
                <w:p>
                  <w:pPr>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jc w:val="center"/>
                    <w:rPr>
                      <w:rFonts w:cs="Times New Roman"/>
                      <w:sz w:val="21"/>
                      <w:szCs w:val="21"/>
                    </w:rPr>
                  </w:pPr>
                  <w:r>
                    <w:rPr>
                      <w:rFonts w:cs="Times New Roman"/>
                      <w:sz w:val="21"/>
                      <w:szCs w:val="21"/>
                    </w:rPr>
                    <w:t>环境风险</w:t>
                  </w:r>
                </w:p>
              </w:tc>
              <w:tc>
                <w:tcPr>
                  <w:tcW w:w="1985" w:type="pct"/>
                  <w:noWrap w:val="0"/>
                  <w:vAlign w:val="center"/>
                </w:tcPr>
                <w:p>
                  <w:pPr>
                    <w:rPr>
                      <w:rFonts w:cs="Times New Roman"/>
                      <w:sz w:val="21"/>
                      <w:szCs w:val="21"/>
                    </w:rPr>
                  </w:pPr>
                  <w:r>
                    <w:rPr>
                      <w:rFonts w:cs="Times New Roman"/>
                      <w:sz w:val="21"/>
                      <w:szCs w:val="21"/>
                    </w:rPr>
                    <w:t>有毒有害和易燃易爆危险物质存储量超过临界量的建设项目</w:t>
                  </w:r>
                </w:p>
              </w:tc>
              <w:tc>
                <w:tcPr>
                  <w:tcW w:w="1787" w:type="pct"/>
                  <w:noWrap w:val="0"/>
                  <w:vAlign w:val="center"/>
                </w:tcPr>
                <w:p>
                  <w:pPr>
                    <w:rPr>
                      <w:rFonts w:cs="Times New Roman"/>
                      <w:sz w:val="21"/>
                      <w:szCs w:val="21"/>
                    </w:rPr>
                  </w:pPr>
                  <w:r>
                    <w:rPr>
                      <w:rFonts w:hint="eastAsia" w:cs="Times New Roman"/>
                      <w:sz w:val="21"/>
                      <w:szCs w:val="21"/>
                    </w:rPr>
                    <w:t>根据第四章环境风险评价可知，本项目Q&lt;1，风险潜势为I，即有毒有害和易燃易爆危险物质存储量未超过临界量</w:t>
                  </w:r>
                </w:p>
              </w:tc>
              <w:tc>
                <w:tcPr>
                  <w:tcW w:w="613" w:type="pct"/>
                  <w:noWrap w:val="0"/>
                  <w:vAlign w:val="center"/>
                </w:tcPr>
                <w:p>
                  <w:pPr>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jc w:val="center"/>
                    <w:rPr>
                      <w:rFonts w:cs="Times New Roman"/>
                      <w:sz w:val="21"/>
                      <w:szCs w:val="21"/>
                    </w:rPr>
                  </w:pPr>
                  <w:r>
                    <w:rPr>
                      <w:rFonts w:cs="Times New Roman"/>
                      <w:sz w:val="21"/>
                      <w:szCs w:val="21"/>
                    </w:rPr>
                    <w:t>生态</w:t>
                  </w:r>
                </w:p>
              </w:tc>
              <w:tc>
                <w:tcPr>
                  <w:tcW w:w="1985" w:type="pct"/>
                  <w:noWrap w:val="0"/>
                  <w:vAlign w:val="center"/>
                </w:tcPr>
                <w:p>
                  <w:pPr>
                    <w:rPr>
                      <w:rFonts w:cs="Times New Roman"/>
                      <w:color w:val="auto"/>
                      <w:sz w:val="21"/>
                      <w:szCs w:val="21"/>
                    </w:rPr>
                  </w:pPr>
                  <w:r>
                    <w:rPr>
                      <w:rFonts w:cs="Times New Roman"/>
                      <w:color w:val="auto"/>
                      <w:sz w:val="21"/>
                      <w:szCs w:val="21"/>
                    </w:rPr>
                    <w:t>取水口下游500米范围内有重要水生生物的自然产卵场、索饵场、越冬场和洄游通道的新增河道取水的污染类建设项目</w:t>
                  </w:r>
                </w:p>
              </w:tc>
              <w:tc>
                <w:tcPr>
                  <w:tcW w:w="1787" w:type="pct"/>
                  <w:noWrap w:val="0"/>
                  <w:vAlign w:val="center"/>
                </w:tcPr>
                <w:p>
                  <w:pPr>
                    <w:rPr>
                      <w:rFonts w:hint="default" w:eastAsia="宋体" w:cs="Times New Roman"/>
                      <w:color w:val="auto"/>
                      <w:sz w:val="21"/>
                      <w:szCs w:val="21"/>
                      <w:lang w:val="en-US" w:eastAsia="zh-CN"/>
                    </w:rPr>
                  </w:pPr>
                  <w:r>
                    <w:rPr>
                      <w:rFonts w:hint="eastAsia" w:cs="Times New Roman"/>
                      <w:color w:val="auto"/>
                      <w:sz w:val="21"/>
                      <w:szCs w:val="21"/>
                      <w:lang w:val="en-US" w:eastAsia="zh-CN"/>
                    </w:rPr>
                    <w:t>不涉及</w:t>
                  </w:r>
                </w:p>
              </w:tc>
              <w:tc>
                <w:tcPr>
                  <w:tcW w:w="613" w:type="pct"/>
                  <w:noWrap w:val="0"/>
                  <w:vAlign w:val="center"/>
                </w:tcPr>
                <w:p>
                  <w:pPr>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jc w:val="center"/>
                    <w:rPr>
                      <w:rFonts w:cs="Times New Roman"/>
                      <w:sz w:val="21"/>
                      <w:szCs w:val="21"/>
                    </w:rPr>
                  </w:pPr>
                  <w:r>
                    <w:rPr>
                      <w:rFonts w:cs="Times New Roman"/>
                      <w:sz w:val="21"/>
                      <w:szCs w:val="21"/>
                    </w:rPr>
                    <w:t>海洋</w:t>
                  </w:r>
                </w:p>
              </w:tc>
              <w:tc>
                <w:tcPr>
                  <w:tcW w:w="1985" w:type="pct"/>
                  <w:noWrap w:val="0"/>
                  <w:vAlign w:val="center"/>
                </w:tcPr>
                <w:p>
                  <w:pPr>
                    <w:rPr>
                      <w:rFonts w:cs="Times New Roman"/>
                      <w:sz w:val="21"/>
                      <w:szCs w:val="21"/>
                    </w:rPr>
                  </w:pPr>
                  <w:r>
                    <w:rPr>
                      <w:rFonts w:cs="Times New Roman"/>
                      <w:sz w:val="21"/>
                      <w:szCs w:val="21"/>
                    </w:rPr>
                    <w:t>直接向海排放污染物的海洋工程建设项目</w:t>
                  </w:r>
                </w:p>
              </w:tc>
              <w:tc>
                <w:tcPr>
                  <w:tcW w:w="1787" w:type="pct"/>
                  <w:noWrap w:val="0"/>
                  <w:vAlign w:val="center"/>
                </w:tcPr>
                <w:p>
                  <w:pPr>
                    <w:rPr>
                      <w:rFonts w:cs="Times New Roman"/>
                      <w:sz w:val="21"/>
                      <w:szCs w:val="21"/>
                    </w:rPr>
                  </w:pPr>
                  <w:r>
                    <w:rPr>
                      <w:rFonts w:cs="Times New Roman"/>
                      <w:sz w:val="21"/>
                      <w:szCs w:val="21"/>
                    </w:rPr>
                    <w:t>不涉及</w:t>
                  </w:r>
                </w:p>
              </w:tc>
              <w:tc>
                <w:tcPr>
                  <w:tcW w:w="613" w:type="pct"/>
                  <w:noWrap w:val="0"/>
                  <w:vAlign w:val="center"/>
                </w:tcPr>
                <w:p>
                  <w:pPr>
                    <w:jc w:val="center"/>
                    <w:rPr>
                      <w:rFonts w:cs="Times New Roman"/>
                      <w:sz w:val="21"/>
                      <w:szCs w:val="21"/>
                    </w:rPr>
                  </w:pPr>
                  <w:r>
                    <w:rPr>
                      <w:rFonts w:cs="Times New Roman"/>
                      <w:sz w:val="21"/>
                      <w:szCs w:val="21"/>
                    </w:rPr>
                    <w:t>否</w:t>
                  </w:r>
                </w:p>
              </w:tc>
            </w:tr>
          </w:tbl>
          <w:p>
            <w:pPr>
              <w:autoSpaceDE w:val="0"/>
              <w:autoSpaceDN w:val="0"/>
              <w:adjustRightInd w:val="0"/>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853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《达州市城市总体规划》</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2011-2030）</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B050"/>
                <w:kern w:val="0"/>
                <w:sz w:val="24"/>
                <w:szCs w:val="24"/>
                <w:lang w:val="en-US" w:eastAsia="zh-CN"/>
              </w:rPr>
            </w:pPr>
            <w:r>
              <w:rPr>
                <w:rFonts w:hint="eastAsia" w:ascii="Times New Roman" w:hAnsi="Times New Roman" w:cs="Times New Roman"/>
                <w:b w:val="0"/>
                <w:bCs w:val="0"/>
                <w:color w:val="auto"/>
                <w:sz w:val="24"/>
                <w:szCs w:val="24"/>
                <w:lang w:val="en-US" w:eastAsia="zh-CN"/>
              </w:rPr>
              <w:t>《达州西南职教园区控制性详细规划修编方案》。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9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规划环境影响评价情况</w:t>
            </w:r>
          </w:p>
        </w:tc>
        <w:tc>
          <w:tcPr>
            <w:tcW w:w="853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规划名称：</w:t>
            </w:r>
            <w:r>
              <w:rPr>
                <w:rFonts w:hint="default" w:ascii="Times New Roman" w:hAnsi="Times New Roman" w:eastAsia="宋体" w:cs="Times New Roman"/>
                <w:kern w:val="0"/>
                <w:sz w:val="24"/>
                <w:szCs w:val="24"/>
                <w:lang w:val="en-US" w:eastAsia="zh-CN"/>
              </w:rPr>
              <w:t>《西南职业教育园区控制性详细规划环境影响报告书》</w:t>
            </w:r>
            <w:r>
              <w:rPr>
                <w:rFonts w:hint="eastAsia" w:ascii="Times New Roman" w:hAnsi="Times New Roman" w:eastAsia="宋体" w:cs="Times New Roman"/>
                <w:kern w:val="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审批机关：原达州市环保局；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审批文号：</w:t>
            </w:r>
            <w:r>
              <w:rPr>
                <w:rFonts w:hint="default" w:ascii="Times New Roman" w:hAnsi="Times New Roman" w:eastAsia="宋体" w:cs="Times New Roman"/>
                <w:kern w:val="0"/>
                <w:sz w:val="24"/>
                <w:szCs w:val="24"/>
                <w:lang w:val="en-US" w:eastAsia="zh-CN"/>
              </w:rPr>
              <w:t>达市环函</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r>
              <w:rPr>
                <w:rFonts w:hint="eastAsia" w:ascii="Times New Roman" w:hAnsi="Times New Roman" w:eastAsia="宋体" w:cs="Times New Roman"/>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kern w:val="0"/>
                <w:sz w:val="24"/>
                <w:szCs w:val="24"/>
                <w:lang w:val="en-US" w:eastAsia="zh-CN"/>
              </w:rPr>
              <w:t>71</w:t>
            </w:r>
            <w:r>
              <w:rPr>
                <w:rFonts w:hint="eastAsia" w:ascii="Times New Roman" w:hAnsi="Times New Roman" w:eastAsia="宋体" w:cs="Times New Roman"/>
                <w:kern w:val="0"/>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规划及规划环境影响评价符合性分析</w:t>
            </w:r>
          </w:p>
        </w:tc>
        <w:tc>
          <w:tcPr>
            <w:tcW w:w="853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、与《达州市城市总体规划》</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2011-2030）符合性分析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 xml:space="preserve"> 达州城市发展方向采取“南延西扩东跨，适度向北”的城市空间发展模式</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主要向西扩张莲花湖、复兴、双龙一带，并向南延伸至河市与铜钵河，适度向北发展张家坝和韩家坝，向东跨过雷音铺向亭子扩张。本项目属于达州市“</w:t>
            </w:r>
            <w:r>
              <w:rPr>
                <w:rFonts w:hint="eastAsia" w:ascii="Times New Roman" w:hAnsi="Times New Roman" w:eastAsia="宋体" w:cs="Times New Roman"/>
                <w:b w:val="0"/>
                <w:bCs w:val="0"/>
                <w:color w:val="000000"/>
                <w:kern w:val="0"/>
                <w:sz w:val="24"/>
                <w:szCs w:val="24"/>
                <w:lang w:val="en-US" w:eastAsia="zh-CN" w:bidi="ar"/>
              </w:rPr>
              <w:t>适度向北</w:t>
            </w:r>
            <w:r>
              <w:rPr>
                <w:rFonts w:hint="default" w:ascii="Times New Roman" w:hAnsi="Times New Roman" w:eastAsia="宋体" w:cs="Times New Roman"/>
                <w:b w:val="0"/>
                <w:bCs w:val="0"/>
                <w:color w:val="000000"/>
                <w:kern w:val="0"/>
                <w:sz w:val="24"/>
                <w:szCs w:val="24"/>
                <w:lang w:val="en-US" w:eastAsia="zh-CN" w:bidi="ar"/>
              </w:rPr>
              <w:t>”发展方向，该区域用地性质为居住、科研混合用地，符合《达州市城市总体规划》</w:t>
            </w:r>
            <w:r>
              <w:rPr>
                <w:rFonts w:hint="eastAsia" w:ascii="Times New Roman" w:hAnsi="Times New Roman" w:eastAsia="宋体" w:cs="Times New Roman"/>
                <w:b w:val="0"/>
                <w:bCs w:val="0"/>
                <w:color w:val="000000"/>
                <w:kern w:val="0"/>
                <w:sz w:val="24"/>
                <w:szCs w:val="24"/>
                <w:lang w:val="en-US" w:eastAsia="zh-CN" w:bidi="ar"/>
              </w:rPr>
              <w:t>（2011-2030）</w:t>
            </w:r>
            <w:r>
              <w:rPr>
                <w:rFonts w:hint="default"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color w:val="auto"/>
                <w:sz w:val="24"/>
                <w:szCs w:val="24"/>
                <w:lang w:val="en-US" w:eastAsia="zh-CN"/>
              </w:rPr>
              <w:t>2、与《达州西南职教园区控制性详细规划修编方案》及规划环评</w:t>
            </w:r>
            <w:r>
              <w:rPr>
                <w:rFonts w:hint="default" w:ascii="Times New Roman" w:hAnsi="Times New Roman" w:eastAsia="宋体" w:cs="Times New Roman"/>
                <w:b/>
                <w:bCs/>
                <w:color w:val="auto"/>
                <w:kern w:val="0"/>
                <w:sz w:val="24"/>
                <w:szCs w:val="24"/>
                <w:lang w:val="en-US" w:eastAsia="zh-CN" w:bidi="ar"/>
              </w:rPr>
              <w:t>符</w:t>
            </w:r>
            <w:r>
              <w:rPr>
                <w:rFonts w:hint="default" w:ascii="Times New Roman" w:hAnsi="Times New Roman" w:eastAsia="宋体" w:cs="Times New Roman"/>
                <w:b/>
                <w:bCs/>
                <w:color w:val="000000"/>
                <w:kern w:val="0"/>
                <w:sz w:val="24"/>
                <w:szCs w:val="24"/>
                <w:lang w:val="en-US" w:eastAsia="zh-CN" w:bidi="ar"/>
              </w:rPr>
              <w:t>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四川省环境保护科学研究院于2012年编制完成了《西南职业教育园区控制性详细规划环境影响报告书》</w:t>
            </w:r>
            <w:r>
              <w:rPr>
                <w:rFonts w:hint="eastAsia" w:ascii="Times New Roman" w:hAnsi="Times New Roman" w:eastAsia="宋体" w:cs="Times New Roman"/>
                <w:b w:val="0"/>
                <w:bCs w:val="0"/>
                <w:color w:val="auto"/>
                <w:sz w:val="24"/>
                <w:szCs w:val="24"/>
                <w:lang w:val="en-US" w:eastAsia="zh-CN"/>
              </w:rPr>
              <w:t>，并</w:t>
            </w:r>
            <w:r>
              <w:rPr>
                <w:rFonts w:hint="default" w:ascii="Times New Roman" w:hAnsi="Times New Roman" w:eastAsia="宋体" w:cs="Times New Roman"/>
                <w:b w:val="0"/>
                <w:bCs w:val="0"/>
                <w:color w:val="auto"/>
                <w:sz w:val="24"/>
                <w:szCs w:val="24"/>
                <w:lang w:val="en-US" w:eastAsia="zh-CN"/>
              </w:rPr>
              <w:t>取得了</w:t>
            </w:r>
            <w:r>
              <w:rPr>
                <w:rFonts w:hint="eastAsia" w:ascii="Times New Roman" w:hAnsi="Times New Roman" w:eastAsia="宋体" w:cs="Times New Roman"/>
                <w:b w:val="0"/>
                <w:bCs w:val="0"/>
                <w:color w:val="auto"/>
                <w:sz w:val="24"/>
                <w:szCs w:val="24"/>
                <w:lang w:val="en-US" w:eastAsia="zh-CN"/>
              </w:rPr>
              <w:t>原</w:t>
            </w:r>
            <w:r>
              <w:rPr>
                <w:rFonts w:hint="default" w:ascii="Times New Roman" w:hAnsi="Times New Roman" w:eastAsia="宋体" w:cs="Times New Roman"/>
                <w:b w:val="0"/>
                <w:bCs w:val="0"/>
                <w:color w:val="auto"/>
                <w:sz w:val="24"/>
                <w:szCs w:val="24"/>
                <w:lang w:val="en-US" w:eastAsia="zh-CN"/>
              </w:rPr>
              <w:t>达州市环保局</w:t>
            </w:r>
            <w:r>
              <w:rPr>
                <w:rFonts w:hint="eastAsia" w:ascii="Times New Roman" w:hAnsi="Times New Roman" w:eastAsia="宋体" w:cs="Times New Roman"/>
                <w:b w:val="0"/>
                <w:bCs w:val="0"/>
                <w:color w:val="auto"/>
                <w:sz w:val="24"/>
                <w:szCs w:val="24"/>
                <w:lang w:val="en-US" w:eastAsia="zh-CN"/>
              </w:rPr>
              <w:t>出具的</w:t>
            </w:r>
            <w:r>
              <w:rPr>
                <w:rFonts w:hint="default" w:ascii="Times New Roman" w:hAnsi="Times New Roman" w:eastAsia="宋体" w:cs="Times New Roman"/>
                <w:b w:val="0"/>
                <w:bCs w:val="0"/>
                <w:color w:val="auto"/>
                <w:sz w:val="24"/>
                <w:szCs w:val="24"/>
                <w:lang w:val="en-US" w:eastAsia="zh-CN"/>
              </w:rPr>
              <w:t>“达市环函</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r>
              <w:rPr>
                <w:rFonts w:hint="eastAsia" w:ascii="Times New Roman" w:hAnsi="Times New Roman" w:eastAsia="宋体" w:cs="Times New Roman"/>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b w:val="0"/>
                <w:bCs w:val="0"/>
                <w:color w:val="auto"/>
                <w:sz w:val="24"/>
                <w:szCs w:val="24"/>
                <w:lang w:val="en-US" w:eastAsia="zh-CN"/>
              </w:rPr>
              <w:t>71号”关于《西南职业教育园区控制规划性规划环境影响报告书》审查意见的函。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达州西南职教园区</w:t>
            </w:r>
            <w:r>
              <w:rPr>
                <w:rStyle w:val="28"/>
                <w:rFonts w:hint="default" w:ascii="Times New Roman" w:hAnsi="Times New Roman" w:eastAsia="宋体" w:cs="Times New Roman"/>
                <w:b w:val="0"/>
                <w:bCs w:val="0"/>
                <w:i w:val="0"/>
                <w:iCs w:val="0"/>
                <w:caps w:val="0"/>
                <w:color w:val="000000"/>
                <w:spacing w:val="0"/>
                <w:sz w:val="24"/>
                <w:szCs w:val="24"/>
              </w:rPr>
              <w:t>规划范围面积约3.91平方公里</w:t>
            </w:r>
            <w:r>
              <w:rPr>
                <w:rStyle w:val="28"/>
                <w:rFonts w:hint="default" w:ascii="Times New Roman" w:hAnsi="Times New Roman" w:eastAsia="宋体" w:cs="Times New Roman"/>
                <w:b w:val="0"/>
                <w:bCs w:val="0"/>
                <w:i w:val="0"/>
                <w:iCs w:val="0"/>
                <w:caps w:val="0"/>
                <w:color w:val="000000"/>
                <w:spacing w:val="0"/>
                <w:sz w:val="24"/>
                <w:szCs w:val="24"/>
                <w:lang w:eastAsia="zh-CN"/>
              </w:rPr>
              <w:t>，</w:t>
            </w:r>
            <w:r>
              <w:rPr>
                <w:rFonts w:hint="eastAsia" w:ascii="Times New Roman" w:hAnsi="Times New Roman" w:eastAsia="宋体" w:cs="Times New Roman"/>
                <w:sz w:val="24"/>
                <w:szCs w:val="24"/>
                <w:lang w:val="en-US" w:eastAsia="zh-CN"/>
              </w:rPr>
              <w:t xml:space="preserve">是以职业技术教育、配套产业为主，集商业服务、 医疗卫生、文化产业于一体的职教产业综合新区。园区以中央绿地为中心，围绕中心绿地的为教育用地，中央绿地南侧为产业开发区。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西南职业教育园区的规划定位为</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以职业技术教育、配套产业为主，集商业服务、医疗卫生、居住于一体的教职产业综合新区。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鼓励入园区的行业</w:t>
            </w: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符合园区产业规划的学校、商贸服务、孵化园、研发中心等为学校提供实训所配套的项目。</w:t>
            </w:r>
            <w:r>
              <w:rPr>
                <w:rFonts w:hint="eastAsia" w:ascii="Times New Roman" w:hAnsi="Times New Roman" w:eastAsia="宋体"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lang w:val="en-US" w:eastAsia="zh-CN"/>
              </w:rPr>
              <w:t>符合园区规划的酒店宾馆、接待中心、房地产项目等。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本项目为学校建设，属于西南职业教育园区的规划定位中鼓励进入园区的职业技术教育产业，根据用地布局规划图，本项目规划建设用地性质为</w:t>
            </w:r>
            <w:r>
              <w:rPr>
                <w:rFonts w:hint="eastAsia" w:ascii="Times New Roman" w:hAnsi="Times New Roman" w:eastAsia="宋体" w:cs="Times New Roman"/>
                <w:b w:val="0"/>
                <w:bCs w:val="0"/>
                <w:color w:val="auto"/>
                <w:sz w:val="24"/>
                <w:szCs w:val="24"/>
                <w:lang w:val="en-US" w:eastAsia="zh-CN"/>
              </w:rPr>
              <w:t>职业教育用地、防护</w:t>
            </w:r>
            <w:r>
              <w:rPr>
                <w:rFonts w:hint="default" w:ascii="Times New Roman" w:hAnsi="Times New Roman" w:eastAsia="宋体" w:cs="Times New Roman"/>
                <w:b w:val="0"/>
                <w:bCs w:val="0"/>
                <w:color w:val="auto"/>
                <w:sz w:val="24"/>
                <w:szCs w:val="24"/>
                <w:lang w:val="en-US" w:eastAsia="zh-CN"/>
              </w:rPr>
              <w:t>绿地，符合西南职业教育园区发展布局规划要求，符合西南职业教育园区产业发展要求。</w:t>
            </w:r>
            <w:r>
              <w:rPr>
                <w:rFonts w:hint="eastAsia" w:ascii="Times New Roman" w:hAnsi="Times New Roman" w:eastAsia="宋体" w:cs="Times New Roman"/>
                <w:b w:val="0"/>
                <w:bCs w:val="0"/>
                <w:color w:val="auto"/>
                <w:sz w:val="24"/>
                <w:szCs w:val="24"/>
                <w:lang w:val="en-US" w:eastAsia="zh-CN"/>
              </w:rPr>
              <w:t>本项目与其位置关系图见附图。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其他符合性分析</w:t>
            </w:r>
          </w:p>
        </w:tc>
        <w:tc>
          <w:tcPr>
            <w:tcW w:w="8535" w:type="dxa"/>
            <w:gridSpan w:val="4"/>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lang w:val="en-US" w:eastAsia="zh-CN"/>
              </w:rPr>
              <w:t>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根据《国民经济行业分类》（GB/T4754-2017）（2019年修订版）可知，本项目</w:t>
            </w:r>
            <w:r>
              <w:rPr>
                <w:rFonts w:hint="eastAsia" w:ascii="Times New Roman" w:hAnsi="Times New Roman" w:cs="Times New Roman"/>
                <w:sz w:val="24"/>
                <w:szCs w:val="24"/>
                <w:lang w:val="en-US" w:eastAsia="zh-CN"/>
              </w:rPr>
              <w:t>学校</w:t>
            </w:r>
            <w:r>
              <w:rPr>
                <w:rFonts w:hint="default" w:ascii="Times New Roman" w:hAnsi="Times New Roman" w:eastAsia="宋体" w:cs="Times New Roman"/>
                <w:color w:val="auto"/>
                <w:sz w:val="24"/>
                <w:szCs w:val="24"/>
              </w:rPr>
              <w:t>属于</w:t>
            </w:r>
            <w:r>
              <w:rPr>
                <w:rFonts w:hint="default" w:ascii="Times New Roman" w:hAnsi="Times New Roman" w:cs="Times New Roman"/>
                <w:sz w:val="24"/>
                <w:szCs w:val="24"/>
                <w:lang w:val="en-US" w:eastAsia="zh-CN"/>
              </w:rPr>
              <w:t>P8341 普通高等教育</w:t>
            </w:r>
            <w:r>
              <w:rPr>
                <w:rFonts w:hint="eastAsia" w:ascii="Times New Roman" w:hAnsi="Times New Roman" w:cs="Times New Roman"/>
                <w:sz w:val="24"/>
                <w:szCs w:val="24"/>
                <w:lang w:val="en-US" w:eastAsia="zh-CN"/>
              </w:rPr>
              <w:t>，河流改道属于</w:t>
            </w:r>
            <w:r>
              <w:rPr>
                <w:rFonts w:hint="default" w:ascii="Times New Roman" w:hAnsi="Times New Roman" w:cs="Times New Roman"/>
                <w:color w:val="auto"/>
                <w:sz w:val="24"/>
                <w:szCs w:val="24"/>
                <w:lang w:val="en-US" w:eastAsia="zh-CN"/>
              </w:rPr>
              <w:t>E4822</w:t>
            </w:r>
            <w:r>
              <w:rPr>
                <w:rFonts w:hint="default" w:ascii="Times New Roman" w:hAnsi="Times New Roman" w:cs="Times New Roman"/>
                <w:color w:val="auto"/>
                <w:sz w:val="24"/>
                <w:szCs w:val="24"/>
                <w:lang w:eastAsia="zh-CN"/>
              </w:rPr>
              <w:t>河湖治理及防洪设施工程建筑</w:t>
            </w:r>
            <w:r>
              <w:rPr>
                <w:rFonts w:hint="default" w:ascii="Times New Roman" w:hAnsi="Times New Roman" w:cs="Times New Roman"/>
                <w:sz w:val="24"/>
                <w:szCs w:val="24"/>
              </w:rPr>
              <w:t>。根据2019年10月30日国家发展改革委令第29号文《</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"http://www.gov.cn/xinwen/2019-11/06/5449193/files/26c9d25f713f4ed5b8dc51ae40ef37af.pdf" \t "_blank"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产业结构调整指导目录（2019年本）</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2021年修订</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有关政策规定，</w:t>
            </w:r>
            <w:r>
              <w:rPr>
                <w:rFonts w:hint="default" w:ascii="Times New Roman" w:hAnsi="Times New Roman" w:cs="Times New Roman"/>
                <w:color w:val="000000"/>
                <w:sz w:val="24"/>
                <w:szCs w:val="24"/>
              </w:rPr>
              <w:t>本项目</w:t>
            </w:r>
            <w:r>
              <w:rPr>
                <w:rFonts w:hint="eastAsia" w:ascii="Times New Roman" w:hAnsi="Times New Roman" w:cs="Times New Roman"/>
                <w:color w:val="000000"/>
                <w:sz w:val="24"/>
                <w:szCs w:val="24"/>
                <w:lang w:val="en-US" w:eastAsia="zh-CN"/>
              </w:rPr>
              <w:t>学校、河流改道分别</w:t>
            </w:r>
            <w:r>
              <w:rPr>
                <w:rFonts w:hint="default" w:ascii="Times New Roman" w:hAnsi="Times New Roman" w:cs="Times New Roman"/>
                <w:color w:val="000000"/>
                <w:sz w:val="24"/>
                <w:szCs w:val="24"/>
                <w:lang w:val="en-US" w:eastAsia="zh-CN"/>
              </w:rPr>
              <w:t>属于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spacing w:val="9"/>
                <w:sz w:val="24"/>
                <w:szCs w:val="24"/>
              </w:rPr>
              <w:t>“三十六</w:t>
            </w:r>
            <w:r>
              <w:rPr>
                <w:rFonts w:hint="default"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教育</w:t>
            </w:r>
            <w:r>
              <w:rPr>
                <w:rFonts w:hint="default" w:ascii="Times New Roman" w:hAnsi="Times New Roman" w:eastAsia="宋体" w:cs="Times New Roman"/>
                <w:spacing w:val="9"/>
                <w:sz w:val="24"/>
                <w:szCs w:val="24"/>
                <w:lang w:val="en-US" w:eastAsia="zh-CN"/>
              </w:rPr>
              <w:t>中的</w:t>
            </w:r>
            <w:r>
              <w:rPr>
                <w:rFonts w:hint="default" w:ascii="Times New Roman" w:hAnsi="Times New Roman" w:eastAsia="Times New Roman" w:cs="Times New Roman"/>
                <w:spacing w:val="9"/>
                <w:sz w:val="24"/>
                <w:szCs w:val="24"/>
              </w:rPr>
              <w:t>3</w:t>
            </w:r>
            <w:r>
              <w:rPr>
                <w:rFonts w:hint="default"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职业教育</w:t>
            </w:r>
            <w:r>
              <w:rPr>
                <w:rFonts w:hint="default" w:ascii="Times New Roman" w:hAnsi="Times New Roman" w:eastAsia="宋体" w:cs="Times New Roman"/>
                <w:b w:val="0"/>
                <w:bCs w:val="0"/>
                <w:spacing w:val="9"/>
                <w:sz w:val="24"/>
                <w:szCs w:val="24"/>
              </w:rPr>
              <w:t>”</w:t>
            </w:r>
            <w:r>
              <w:rPr>
                <w:rFonts w:hint="default" w:ascii="Times New Roman" w:hAnsi="Times New Roman" w:eastAsia="宋体" w:cs="Times New Roman"/>
                <w:b w:val="0"/>
                <w:bCs w:val="0"/>
                <w:spacing w:val="9"/>
                <w:sz w:val="24"/>
                <w:szCs w:val="24"/>
                <w:lang w:eastAsia="zh-CN"/>
              </w:rPr>
              <w:t>、</w:t>
            </w:r>
            <w:r>
              <w:rPr>
                <w:rFonts w:hint="default" w:ascii="Times New Roman" w:hAnsi="Times New Roman" w:eastAsia="宋体" w:cs="Times New Roman"/>
                <w:b w:val="0"/>
                <w:bCs w:val="0"/>
                <w:color w:val="auto"/>
                <w:sz w:val="24"/>
                <w:szCs w:val="24"/>
                <w:lang w:eastAsia="zh-CN"/>
              </w:rPr>
              <w:t>“二</w:t>
            </w:r>
            <w:r>
              <w:rPr>
                <w:rFonts w:hint="default" w:ascii="Times New Roman" w:hAnsi="Times New Roman" w:eastAsia="宋体" w:cs="Times New Roman"/>
                <w:b w:val="0"/>
                <w:bCs w:val="0"/>
                <w:color w:val="auto"/>
                <w:sz w:val="24"/>
                <w:szCs w:val="24"/>
                <w:lang w:val="en-US" w:eastAsia="zh-CN"/>
              </w:rPr>
              <w:t>、水利中的</w:t>
            </w:r>
            <w:r>
              <w:rPr>
                <w:rFonts w:hint="default" w:ascii="Times New Roman" w:hAnsi="Times New Roman" w:eastAsia="宋体" w:cs="Times New Roman"/>
                <w:b w:val="0"/>
                <w:bCs w:val="0"/>
                <w:color w:val="auto"/>
                <w:sz w:val="24"/>
                <w:szCs w:val="24"/>
                <w:lang w:eastAsia="zh-CN"/>
              </w:rPr>
              <w:t>1、江河湖海堤防建设及河道治理工程”</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eastAsia="宋体"/>
                <w:b w:val="0"/>
                <w:bCs/>
                <w:color w:val="auto"/>
                <w:kern w:val="0"/>
                <w:sz w:val="24"/>
                <w:lang w:val="en-US" w:eastAsia="zh-CN"/>
              </w:rPr>
            </w:pPr>
            <w:r>
              <w:rPr>
                <w:rFonts w:hint="eastAsia"/>
                <w:b w:val="0"/>
                <w:bCs/>
                <w:color w:val="auto"/>
                <w:kern w:val="0"/>
                <w:sz w:val="24"/>
                <w:lang w:val="en-US" w:eastAsia="zh-CN"/>
              </w:rPr>
              <w:t>同时，2022年10月13日，</w:t>
            </w:r>
            <w:r>
              <w:rPr>
                <w:rFonts w:hint="eastAsia" w:ascii="Times New Roman" w:hAnsi="Times New Roman" w:eastAsia="宋体" w:cs="Times New Roman"/>
                <w:color w:val="auto"/>
                <w:sz w:val="24"/>
                <w:szCs w:val="24"/>
                <w:lang w:val="en-US" w:eastAsia="zh-CN"/>
              </w:rPr>
              <w:t>达州市发展和改革委员会出具了《关于达州中医药职业学院产教融合实训与研究基地项目（一期）建议书的批复》（达市发改审</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r>
              <w:rPr>
                <w:rFonts w:hint="eastAsia" w:ascii="Times New Roman" w:hAnsi="Times New Roman" w:eastAsia="宋体" w:cs="Times New Roman"/>
                <w:color w:val="auto"/>
                <w:kern w:val="0"/>
                <w:sz w:val="24"/>
                <w:szCs w:val="24"/>
                <w:lang w:val="en-US" w:eastAsia="zh-CN" w:bidi="ar"/>
              </w:rPr>
              <w:t>22</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sz w:val="24"/>
                <w:szCs w:val="24"/>
                <w:lang w:val="en-US" w:eastAsia="zh-CN"/>
              </w:rPr>
              <w:t>74号），同意</w:t>
            </w:r>
            <w:r>
              <w:rPr>
                <w:rFonts w:hint="eastAsia"/>
                <w:b w:val="0"/>
                <w:bCs/>
                <w:color w:val="auto"/>
                <w:kern w:val="0"/>
                <w:sz w:val="24"/>
                <w:lang w:val="en-US" w:eastAsia="zh-CN"/>
              </w:rPr>
              <w:t>本意项目建设。</w:t>
            </w:r>
          </w:p>
          <w:p>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cs="Times New Roman"/>
                <w:b/>
                <w:bCs/>
                <w:kern w:val="0"/>
                <w:sz w:val="24"/>
                <w:szCs w:val="24"/>
                <w:lang w:val="en-US" w:eastAsia="zh-CN"/>
              </w:rPr>
            </w:pPr>
            <w:r>
              <w:rPr>
                <w:b w:val="0"/>
                <w:bCs/>
                <w:kern w:val="0"/>
                <w:sz w:val="24"/>
              </w:rPr>
              <w:t>因此，</w:t>
            </w:r>
            <w:r>
              <w:rPr>
                <w:b w:val="0"/>
                <w:bCs/>
                <w:sz w:val="24"/>
              </w:rPr>
              <w:t>本项目的建设符合国家现行产业政策。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2、用地规划符合性分析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ascii="Times New Roman" w:hAnsi="Times New Roman" w:eastAsia="宋体" w:cs="Times New Roman"/>
                <w:color w:val="auto"/>
                <w:sz w:val="24"/>
                <w:szCs w:val="24"/>
                <w:lang w:val="en-US" w:eastAsia="zh-CN"/>
              </w:rPr>
              <w:t>达州市通川区西南职教园区</w:t>
            </w:r>
            <w:r>
              <w:rPr>
                <w:rFonts w:hint="default" w:ascii="Times New Roman" w:hAnsi="Times New Roman" w:eastAsia="宋体" w:cs="Times New Roman"/>
                <w:color w:val="auto"/>
                <w:sz w:val="24"/>
                <w:szCs w:val="24"/>
                <w:lang w:val="en-US" w:eastAsia="zh-CN"/>
              </w:rPr>
              <w:t>，规划建设用地性质为</w:t>
            </w:r>
            <w:r>
              <w:rPr>
                <w:rFonts w:hint="eastAsia" w:ascii="Times New Roman" w:hAnsi="Times New Roman" w:eastAsia="宋体" w:cs="Times New Roman"/>
                <w:color w:val="auto"/>
                <w:sz w:val="24"/>
                <w:szCs w:val="24"/>
                <w:lang w:val="en-US" w:eastAsia="zh-CN"/>
              </w:rPr>
              <w:t>职业教育用地、防护</w:t>
            </w:r>
            <w:r>
              <w:rPr>
                <w:rFonts w:hint="default" w:ascii="Times New Roman" w:hAnsi="Times New Roman" w:eastAsia="宋体" w:cs="Times New Roman"/>
                <w:color w:val="auto"/>
                <w:sz w:val="24"/>
                <w:szCs w:val="24"/>
                <w:lang w:val="en-US" w:eastAsia="zh-CN"/>
              </w:rPr>
              <w:t>绿地。</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已取</w:t>
            </w:r>
            <w:r>
              <w:rPr>
                <w:rFonts w:hint="default" w:ascii="Times New Roman" w:hAnsi="Times New Roman" w:eastAsia="宋体" w:cs="Times New Roman"/>
                <w:color w:val="auto"/>
                <w:kern w:val="0"/>
                <w:sz w:val="24"/>
                <w:szCs w:val="24"/>
                <w:lang w:val="en-US" w:eastAsia="zh-CN" w:bidi="ar"/>
              </w:rPr>
              <w:t>得</w:t>
            </w:r>
            <w:r>
              <w:rPr>
                <w:rFonts w:hint="eastAsia" w:ascii="Times New Roman" w:hAnsi="Times New Roman" w:eastAsia="宋体" w:cs="Times New Roman"/>
                <w:color w:val="auto"/>
                <w:sz w:val="24"/>
                <w:szCs w:val="24"/>
                <w:highlight w:val="none"/>
                <w:lang w:val="en-US" w:eastAsia="zh-CN"/>
              </w:rPr>
              <w:t>达州市自然资源和规划局颁发的建设项目用地预审与选址意见书</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用字地511700202300002号），明确本项目符合国土空间用途管制要求。</w:t>
            </w:r>
            <w:r>
              <w:rPr>
                <w:rFonts w:hint="eastAsia" w:ascii="宋体" w:hAnsi="宋体" w:eastAsia="宋体" w:cs="宋体"/>
                <w:color w:val="auto"/>
                <w:kern w:val="0"/>
                <w:sz w:val="24"/>
                <w:szCs w:val="24"/>
                <w:lang w:val="en-US" w:eastAsia="zh-CN" w:bidi="ar"/>
              </w:rPr>
              <w:t>即本项目符合用地规划。</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3、“三线一单”符合性分析</w:t>
            </w:r>
          </w:p>
          <w:p>
            <w:pPr>
              <w:keepNext w:val="0"/>
              <w:keepLines w:val="0"/>
              <w:pageBreakBefore w:val="0"/>
              <w:widowControl w:val="0"/>
              <w:tabs>
                <w:tab w:val="left" w:pos="1327"/>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w:t>
            </w:r>
            <w:r>
              <w:rPr>
                <w:rFonts w:hint="eastAsia"/>
                <w:b/>
                <w:bCs/>
                <w:sz w:val="24"/>
                <w:szCs w:val="24"/>
              </w:rPr>
              <w:t>与《四川省人民政府关于落实生态保护红线、环境质量底线、资源利用上线制定生态环境准入清单实施生态环境分区管控的通知》（川府发〔2020〕9号）的符合性分析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t>本</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位于达州市</w:t>
            </w:r>
            <w:r>
              <w:rPr>
                <w:rFonts w:hint="eastAsia" w:ascii="Times New Roman" w:hAnsi="Times New Roman" w:eastAsia="宋体" w:cs="Times New Roman"/>
                <w:sz w:val="24"/>
                <w:szCs w:val="24"/>
                <w:lang w:val="en-US" w:eastAsia="zh-CN"/>
              </w:rPr>
              <w:t>通川区</w:t>
            </w:r>
            <w:r>
              <w:rPr>
                <w:rFonts w:hint="default" w:ascii="Times New Roman" w:hAnsi="Times New Roman" w:eastAsia="宋体" w:cs="Times New Roman"/>
                <w:sz w:val="24"/>
                <w:szCs w:val="24"/>
              </w:rPr>
              <w:t>，所在地属于川东北经济区，</w:t>
            </w:r>
            <w:r>
              <w:rPr>
                <w:rFonts w:hint="default" w:ascii="Times New Roman" w:hAnsi="Times New Roman" w:eastAsia="宋体" w:cs="Times New Roman"/>
                <w:color w:val="000000"/>
                <w:kern w:val="0"/>
                <w:sz w:val="24"/>
                <w:szCs w:val="24"/>
                <w:lang w:val="en-US" w:eastAsia="zh-CN" w:bidi="ar"/>
              </w:rPr>
              <w:t>本</w:t>
            </w:r>
            <w:r>
              <w:rPr>
                <w:rFonts w:hint="eastAsia" w:ascii="Times New Roman" w:hAnsi="Times New Roman" w:eastAsia="宋体" w:cs="Times New Roman"/>
                <w:color w:val="000000"/>
                <w:kern w:val="0"/>
                <w:sz w:val="24"/>
                <w:szCs w:val="24"/>
                <w:lang w:val="en-US" w:eastAsia="zh-CN" w:bidi="ar"/>
              </w:rPr>
              <w:t>项目涉及其中的重点</w:t>
            </w:r>
            <w:r>
              <w:rPr>
                <w:rFonts w:hint="default" w:ascii="Times New Roman" w:hAnsi="Times New Roman" w:eastAsia="宋体" w:cs="Times New Roman"/>
                <w:kern w:val="0"/>
                <w:sz w:val="24"/>
                <w:szCs w:val="24"/>
                <w:lang w:val="en-US" w:eastAsia="zh-CN"/>
              </w:rPr>
              <w:t>管控单元。</w:t>
            </w:r>
            <w:r>
              <w:rPr>
                <w:rFonts w:hint="default" w:ascii="Times New Roman" w:hAnsi="Times New Roman" w:eastAsia="宋体" w:cs="Times New Roman"/>
                <w:color w:val="000000"/>
                <w:kern w:val="0"/>
                <w:sz w:val="24"/>
                <w:szCs w:val="24"/>
                <w:lang w:val="en-US" w:eastAsia="zh-CN" w:bidi="ar"/>
              </w:rPr>
              <w:t>本</w:t>
            </w:r>
            <w:r>
              <w:rPr>
                <w:rFonts w:hint="eastAsia" w:ascii="Times New Roman" w:hAnsi="Times New Roman" w:eastAsia="宋体" w:cs="Times New Roman"/>
                <w:color w:val="000000"/>
                <w:kern w:val="0"/>
                <w:sz w:val="24"/>
                <w:szCs w:val="24"/>
                <w:lang w:val="en-US" w:eastAsia="zh-CN" w:bidi="ar"/>
              </w:rPr>
              <w:t>规划</w:t>
            </w:r>
            <w:r>
              <w:rPr>
                <w:rFonts w:hint="default" w:ascii="Times New Roman" w:hAnsi="Times New Roman" w:eastAsia="宋体" w:cs="Times New Roman"/>
                <w:color w:val="000000"/>
                <w:kern w:val="0"/>
                <w:sz w:val="24"/>
                <w:szCs w:val="24"/>
                <w:lang w:val="en-US" w:eastAsia="zh-CN" w:bidi="ar"/>
              </w:rPr>
              <w:t>与四川省生态环境分区管控情况相符性分析见</w:t>
            </w:r>
            <w:r>
              <w:rPr>
                <w:rFonts w:hint="eastAsia" w:ascii="Times New Roman" w:hAnsi="Times New Roman" w:eastAsia="宋体" w:cs="Times New Roman"/>
                <w:color w:val="000000"/>
                <w:kern w:val="0"/>
                <w:sz w:val="24"/>
                <w:szCs w:val="24"/>
                <w:lang w:val="en-US" w:eastAsia="zh-CN" w:bidi="ar"/>
              </w:rPr>
              <w:t>下表</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b/>
                <w:bCs/>
                <w:sz w:val="21"/>
                <w:szCs w:val="21"/>
                <w:vertAlign w:val="baseline"/>
              </w:rPr>
            </w:pPr>
            <w:r>
              <w:rPr>
                <w:rFonts w:hint="default" w:ascii="Times New Roman" w:hAnsi="Times New Roman" w:eastAsia="黑体" w:cs="Times New Roman"/>
                <w:b w:val="0"/>
                <w:bCs w:val="0"/>
                <w:sz w:val="21"/>
                <w:szCs w:val="21"/>
              </w:rPr>
              <w:t>表</w:t>
            </w:r>
            <w:r>
              <w:rPr>
                <w:rFonts w:hint="default" w:ascii="Times New Roman" w:hAnsi="Times New Roman" w:eastAsia="黑体" w:cs="Times New Roman"/>
                <w:b w:val="0"/>
                <w:bCs w:val="0"/>
                <w:sz w:val="21"/>
                <w:szCs w:val="21"/>
                <w:lang w:val="en-US" w:eastAsia="zh-CN"/>
              </w:rPr>
              <w:t>1-2</w:t>
            </w:r>
            <w:r>
              <w:rPr>
                <w:rFonts w:hint="default" w:ascii="Times New Roman" w:hAnsi="Times New Roman" w:eastAsia="黑体" w:cs="Times New Roman"/>
                <w:b w:val="0"/>
                <w:bCs w:val="0"/>
                <w:sz w:val="21"/>
                <w:szCs w:val="21"/>
              </w:rPr>
              <w:t xml:space="preserve">   </w:t>
            </w:r>
            <w:r>
              <w:rPr>
                <w:rFonts w:hint="default" w:ascii="Times New Roman" w:hAnsi="Times New Roman" w:eastAsia="黑体" w:cs="Times New Roman"/>
                <w:b w:val="0"/>
                <w:bCs w:val="0"/>
                <w:sz w:val="21"/>
                <w:szCs w:val="21"/>
                <w:lang w:val="en-US" w:eastAsia="zh-CN"/>
              </w:rPr>
              <w:t>项目</w:t>
            </w:r>
            <w:r>
              <w:rPr>
                <w:rFonts w:hint="default" w:ascii="Times New Roman" w:hAnsi="Times New Roman" w:eastAsia="黑体" w:cs="Times New Roman"/>
                <w:b w:val="0"/>
                <w:bCs w:val="0"/>
                <w:sz w:val="21"/>
                <w:szCs w:val="21"/>
              </w:rPr>
              <w:t>与四川省生态环境分区管控</w:t>
            </w:r>
            <w:r>
              <w:rPr>
                <w:rFonts w:hint="default" w:ascii="Times New Roman" w:hAnsi="Times New Roman" w:eastAsia="黑体" w:cs="Times New Roman"/>
                <w:b w:val="0"/>
                <w:bCs w:val="0"/>
                <w:sz w:val="21"/>
                <w:szCs w:val="21"/>
                <w:lang w:val="en-US" w:eastAsia="zh-CN"/>
              </w:rPr>
              <w:t>要求</w:t>
            </w:r>
            <w:r>
              <w:rPr>
                <w:rFonts w:hint="default" w:ascii="Times New Roman" w:hAnsi="Times New Roman" w:eastAsia="黑体" w:cs="Times New Roman"/>
                <w:b w:val="0"/>
                <w:bCs w:val="0"/>
                <w:sz w:val="21"/>
                <w:szCs w:val="21"/>
              </w:rPr>
              <w:t>相符性分析</w:t>
            </w:r>
          </w:p>
          <w:tbl>
            <w:tblPr>
              <w:tblStyle w:val="26"/>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79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环境管控单元类型</w:t>
                  </w:r>
                </w:p>
              </w:tc>
              <w:tc>
                <w:tcPr>
                  <w:tcW w:w="3795"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总体管控要求</w:t>
                  </w:r>
                </w:p>
              </w:tc>
              <w:tc>
                <w:tcPr>
                  <w:tcW w:w="3074"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优先保护单元</w:t>
                  </w:r>
                </w:p>
              </w:tc>
              <w:tc>
                <w:tcPr>
                  <w:tcW w:w="3795"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rPr>
                    <w:t>般生态空间按限制开发区域的要求进行管理，原则上不再新建各类开发区和扩大现有工业园区面积，已有的工业开发区要逐步改造成为低能耗、可循环、“零污染”的生态型工业区，鼓励发展“飞地经济”。</w:t>
                  </w:r>
                </w:p>
              </w:tc>
              <w:tc>
                <w:tcPr>
                  <w:tcW w:w="3074"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重点管控单元</w:t>
                  </w:r>
                </w:p>
              </w:tc>
              <w:tc>
                <w:tcPr>
                  <w:tcW w:w="3795" w:type="dxa"/>
                  <w:noWrap w:val="0"/>
                  <w:vAlign w:val="center"/>
                </w:tcPr>
                <w:p>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000000"/>
                      <w:kern w:val="0"/>
                      <w:sz w:val="21"/>
                      <w:szCs w:val="21"/>
                      <w:lang w:val="en-US" w:eastAsia="zh-CN"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3074"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pPr>
                  <w:r>
                    <w:rPr>
                      <w:rStyle w:val="28"/>
                      <w:rFonts w:hint="eastAsia" w:ascii="Times New Roman" w:hAnsi="Times New Roman" w:eastAsia="宋体" w:cs="Times New Roman"/>
                      <w:b w:val="0"/>
                      <w:bCs w:val="0"/>
                      <w:i w:val="0"/>
                      <w:iCs w:val="0"/>
                      <w:caps w:val="0"/>
                      <w:color w:val="auto"/>
                      <w:spacing w:val="0"/>
                      <w:sz w:val="21"/>
                      <w:szCs w:val="21"/>
                      <w:shd w:val="clear" w:color="auto" w:fill="FFFFFF"/>
                      <w:lang w:val="en-US" w:eastAsia="zh-CN"/>
                    </w:rPr>
                    <w:t>本项目所在区域为</w:t>
                  </w:r>
                  <w:r>
                    <w:rPr>
                      <w:rFonts w:hint="eastAsia" w:ascii="宋体" w:hAnsi="宋体" w:eastAsia="宋体" w:cs="宋体"/>
                      <w:color w:val="auto"/>
                      <w:kern w:val="0"/>
                      <w:sz w:val="21"/>
                      <w:szCs w:val="21"/>
                      <w:lang w:val="en-US" w:eastAsia="zh-CN" w:bidi="ar"/>
                    </w:rPr>
                    <w:t>环境质量达标区域，</w:t>
                  </w:r>
                  <w:r>
                    <w:rPr>
                      <w:rFonts w:hint="eastAsia" w:ascii="Times New Roman" w:hAnsi="Times New Roman" w:eastAsia="宋体" w:cs="Times New Roman"/>
                      <w:b w:val="0"/>
                      <w:bCs w:val="0"/>
                      <w:color w:val="auto"/>
                      <w:sz w:val="21"/>
                      <w:szCs w:val="21"/>
                      <w:lang w:val="en-US" w:eastAsia="zh-CN"/>
                    </w:rPr>
                    <w:t>建设单位在采取本项目提出的环保措施后，废水、废气、噪声能够达标排放，固废能够得到妥善处置，能够落实生态环境保护基本要求。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一般管控单元</w:t>
                  </w:r>
                </w:p>
              </w:tc>
              <w:tc>
                <w:tcPr>
                  <w:tcW w:w="3795" w:type="dxa"/>
                  <w:noWrap w:val="0"/>
                  <w:vAlign w:val="center"/>
                </w:tcPr>
                <w:p>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 w:val="21"/>
                      <w:szCs w:val="21"/>
                      <w:lang w:val="en-US" w:eastAsia="zh-CN" w:bidi="ar"/>
                    </w:rPr>
                    <w:t>一般管控单元中，执行区域生态环境保护的基本要求，对其中的永久基本农田实施永久特殊保护，不得擅自占用或者改变用途；对其中要素重点管控区提出水和大气污染重点管控要求。</w:t>
                  </w:r>
                </w:p>
              </w:tc>
              <w:tc>
                <w:tcPr>
                  <w:tcW w:w="3074"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川东北经济区</w:t>
                  </w:r>
                </w:p>
              </w:tc>
              <w:tc>
                <w:tcPr>
                  <w:tcW w:w="3795" w:type="dxa"/>
                  <w:noWrap w:val="0"/>
                  <w:vAlign w:val="center"/>
                </w:tcPr>
                <w:p>
                  <w:pPr>
                    <w:keepNext w:val="0"/>
                    <w:keepLines w:val="0"/>
                    <w:pageBreakBefore w:val="0"/>
                    <w:widowControl/>
                    <w:suppressLineNumbers w:val="0"/>
                    <w:kinsoku/>
                    <w:wordWrap/>
                    <w:overflowPunct/>
                    <w:topLinePunct w:val="0"/>
                    <w:autoSpaceDE/>
                    <w:autoSpaceDN/>
                    <w:bidi w:val="0"/>
                    <w:ind w:left="0" w:leftChars="0" w:right="0" w:rightChars="0"/>
                    <w:jc w:val="left"/>
                    <w:textAlignment w:val="auto"/>
                  </w:pPr>
                  <w:r>
                    <w:rPr>
                      <w:rFonts w:hint="eastAsia" w:ascii="宋体" w:hAnsi="宋体" w:eastAsia="宋体" w:cs="宋体"/>
                      <w:color w:val="000000"/>
                      <w:kern w:val="0"/>
                      <w:sz w:val="21"/>
                      <w:szCs w:val="21"/>
                      <w:lang w:val="en-US" w:eastAsia="zh-CN" w:bidi="ar"/>
                    </w:rPr>
                    <w:t xml:space="preserve">①控制农村面源污大气污染防治染，提高废水收集处理率，加快乡镇污水处理基础设施建设。 </w:t>
                  </w:r>
                </w:p>
                <w:p>
                  <w:pPr>
                    <w:keepNext w:val="0"/>
                    <w:keepLines w:val="0"/>
                    <w:pageBreakBefore w:val="0"/>
                    <w:widowControl/>
                    <w:suppressLineNumbers w:val="0"/>
                    <w:kinsoku/>
                    <w:wordWrap/>
                    <w:overflowPunct/>
                    <w:topLinePunct w:val="0"/>
                    <w:autoSpaceDE/>
                    <w:autoSpaceDN/>
                    <w:bidi w:val="0"/>
                    <w:ind w:left="0" w:leftChars="0" w:right="0" w:rightChars="0"/>
                    <w:jc w:val="left"/>
                    <w:textAlignment w:val="auto"/>
                  </w:pPr>
                  <w:r>
                    <w:rPr>
                      <w:rFonts w:hint="eastAsia" w:ascii="宋体" w:hAnsi="宋体" w:eastAsia="宋体" w:cs="宋体"/>
                      <w:color w:val="000000"/>
                      <w:kern w:val="0"/>
                      <w:sz w:val="21"/>
                      <w:szCs w:val="21"/>
                      <w:lang w:val="en-US" w:eastAsia="zh-CN" w:bidi="ar"/>
                    </w:rPr>
                    <w:t xml:space="preserve">②建设流域水环境风险联防联控体系。 </w:t>
                  </w:r>
                </w:p>
                <w:p>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 w:val="21"/>
                      <w:szCs w:val="21"/>
                      <w:lang w:val="en-US" w:eastAsia="zh-CN" w:bidi="ar"/>
                    </w:rPr>
                    <w:t>③提高水平。</w:t>
                  </w:r>
                </w:p>
              </w:tc>
              <w:tc>
                <w:tcPr>
                  <w:tcW w:w="3074" w:type="dxa"/>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iCs/>
                      <w:snapToGrid w:val="0"/>
                      <w:color w:val="auto"/>
                      <w:kern w:val="0"/>
                      <w:sz w:val="21"/>
                      <w:szCs w:val="21"/>
                      <w:highlight w:val="none"/>
                      <w:lang w:val="en-US" w:eastAsia="zh-CN"/>
                    </w:rPr>
                    <w:t>本项目运营期食堂废水经隔油处理后、实验室废水经中和处理后</w:t>
                  </w:r>
                  <w:r>
                    <w:rPr>
                      <w:rFonts w:hint="eastAsia" w:ascii="Times New Roman" w:hAnsi="Times New Roman" w:eastAsia="宋体" w:cs="Times New Roman"/>
                      <w:b w:val="0"/>
                      <w:bCs w:val="0"/>
                      <w:color w:val="auto"/>
                      <w:kern w:val="0"/>
                      <w:sz w:val="21"/>
                      <w:szCs w:val="21"/>
                      <w:lang w:val="en-US" w:eastAsia="zh-CN" w:bidi="ar"/>
                    </w:rPr>
                    <w:t>排入化粪池与生活污水一同处理达《污水综合排放标准》（GB8978-1996）中三级排放标准后排入市政污水管网。</w:t>
                  </w:r>
                  <w:r>
                    <w:rPr>
                      <w:rFonts w:hint="eastAsia" w:ascii="Times New Roman" w:hAnsi="Times New Roman" w:cs="Times New Roman"/>
                      <w:color w:val="auto"/>
                      <w:sz w:val="21"/>
                      <w:szCs w:val="21"/>
                      <w:highlight w:val="none"/>
                      <w:lang w:val="en-US" w:eastAsia="zh-CN" w:bidi="ar"/>
                    </w:rPr>
                    <w:t>实验室废气</w:t>
                  </w:r>
                  <w:r>
                    <w:rPr>
                      <w:rFonts w:hint="eastAsia" w:ascii="Times New Roman" w:hAnsi="Times New Roman" w:eastAsia="宋体" w:cs="Times New Roman"/>
                      <w:b w:val="0"/>
                      <w:bCs w:val="0"/>
                      <w:color w:val="auto"/>
                      <w:kern w:val="0"/>
                      <w:sz w:val="21"/>
                      <w:szCs w:val="21"/>
                      <w:lang w:val="en-US" w:eastAsia="zh-CN" w:bidi="ar"/>
                    </w:rPr>
                    <w:t>经通风橱收集，</w:t>
                  </w: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通风橱上方安装活性炭吸附罐，废气通过活性炭吸附后引至楼顶排放</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食堂油烟</w:t>
                  </w:r>
                  <w:r>
                    <w:rPr>
                      <w:rFonts w:hint="default" w:ascii="Times New Roman" w:hAnsi="Times New Roman" w:eastAsia="宋体" w:cs="Times New Roman"/>
                      <w:b w:val="0"/>
                      <w:bCs w:val="0"/>
                      <w:color w:val="auto"/>
                      <w:kern w:val="0"/>
                      <w:sz w:val="21"/>
                      <w:szCs w:val="21"/>
                      <w:lang w:val="en-US" w:eastAsia="zh-CN" w:bidi="ar"/>
                    </w:rPr>
                    <w:t>安装油烟净化器处理后，经专用管道引至屋顶排放</w:t>
                  </w:r>
                  <w:r>
                    <w:rPr>
                      <w:rFonts w:hint="eastAsia" w:ascii="Times New Roman" w:hAnsi="Times New Roman" w:eastAsia="宋体" w:cs="Times New Roman"/>
                      <w:b w:val="0"/>
                      <w:bCs w:val="0"/>
                      <w:color w:val="auto"/>
                      <w:kern w:val="0"/>
                      <w:sz w:val="21"/>
                      <w:szCs w:val="21"/>
                      <w:lang w:val="en-US" w:eastAsia="zh-CN" w:bidi="ar"/>
                    </w:rPr>
                    <w:t>。</w:t>
                  </w:r>
                  <w:r>
                    <w:rPr>
                      <w:rFonts w:hint="eastAsia" w:ascii="Times New Roman" w:hAnsi="Times New Roman" w:cs="Times New Roman"/>
                      <w:color w:val="auto"/>
                      <w:sz w:val="21"/>
                      <w:szCs w:val="21"/>
                      <w:highlight w:val="none"/>
                      <w:lang w:val="en-US" w:eastAsia="zh-CN" w:bidi="ar"/>
                    </w:rPr>
                    <w:t>柴油发电机废气</w:t>
                  </w: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r>
                    <w:rPr>
                      <w:rFonts w:hint="eastAsia" w:ascii="Times New Roman" w:hAnsi="Times New Roman" w:eastAsia="宋体" w:cs="Times New Roman"/>
                      <w:b w:val="0"/>
                      <w:bCs w:val="0"/>
                      <w:color w:val="auto"/>
                      <w:kern w:val="0"/>
                      <w:sz w:val="21"/>
                      <w:szCs w:val="21"/>
                      <w:lang w:val="en-US" w:eastAsia="zh-CN" w:bidi="ar"/>
                    </w:rPr>
                    <w:t>。</w:t>
                  </w:r>
                  <w:r>
                    <w:rPr>
                      <w:rFonts w:hint="eastAsia" w:ascii="Times New Roman" w:hAnsi="Times New Roman" w:eastAsia="宋体" w:cs="Times New Roman"/>
                      <w:sz w:val="21"/>
                      <w:szCs w:val="21"/>
                      <w:lang w:val="en-US" w:eastAsia="zh-CN"/>
                    </w:rPr>
                    <w:t>本项目</w:t>
                  </w:r>
                  <w:r>
                    <w:rPr>
                      <w:rFonts w:hint="eastAsia" w:ascii="Times New Roman" w:hAnsi="Times New Roman" w:eastAsia="宋体" w:cs="Times New Roman"/>
                      <w:kern w:val="0"/>
                      <w:sz w:val="21"/>
                      <w:szCs w:val="21"/>
                      <w:lang w:val="en-US" w:eastAsia="zh-CN"/>
                    </w:rPr>
                    <w:t>不属于</w:t>
                  </w:r>
                  <w:r>
                    <w:rPr>
                      <w:rFonts w:hint="eastAsia"/>
                      <w:sz w:val="21"/>
                      <w:szCs w:val="21"/>
                    </w:rPr>
                    <w:t>高耗能及化工项目，符合四川省三线一单中对川东北经济区总体生态管控要求。</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与《达州市人民政府关于落实生态保护红线、环境质量底线、资源利用上线制定生态环境准入清单实施生态环境分区管控的通知》（达市府发〔2021〕17号）</w:t>
            </w:r>
            <w:r>
              <w:rPr>
                <w:rFonts w:hint="eastAsia" w:ascii="Times New Roman" w:hAnsi="Times New Roman" w:eastAsia="宋体" w:cs="Times New Roman"/>
                <w:b/>
                <w:bCs/>
                <w:sz w:val="24"/>
                <w:szCs w:val="24"/>
                <w:lang w:eastAsia="zh-CN"/>
              </w:rPr>
              <w:t>的</w:t>
            </w:r>
            <w:r>
              <w:rPr>
                <w:rFonts w:hint="default" w:ascii="Times New Roman" w:hAnsi="Times New Roman" w:eastAsia="宋体" w:cs="Times New Roman"/>
                <w:b/>
                <w:bCs/>
                <w:sz w:val="24"/>
                <w:szCs w:val="24"/>
              </w:rPr>
              <w:t>符合性</w:t>
            </w:r>
            <w:r>
              <w:rPr>
                <w:rFonts w:hint="eastAsia" w:ascii="Times New Roman" w:hAnsi="Times New Roman" w:eastAsia="宋体" w:cs="Times New Roman"/>
                <w:b/>
                <w:bCs/>
                <w:sz w:val="24"/>
                <w:szCs w:val="24"/>
                <w:lang w:val="en-US" w:eastAsia="zh-CN"/>
              </w:rPr>
              <w:t>分析</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根据达州市人民政府发布的《关于落实生态保护红线、环境质量底线、资源利用上线制定生态环境准人清单实施生态环境分区管控的通知》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达市府发</w:t>
            </w:r>
            <w:r>
              <w:rPr>
                <w:rFonts w:hint="default" w:ascii="Times New Roman" w:hAnsi="Times New Roman" w:eastAsia="宋体" w:cs="Times New Roman"/>
                <w:b w:val="0"/>
                <w:bCs w:val="0"/>
                <w:sz w:val="24"/>
                <w:szCs w:val="24"/>
              </w:rPr>
              <w:t>〔2021〕</w:t>
            </w:r>
            <w:r>
              <w:rPr>
                <w:rFonts w:hint="default" w:ascii="Times New Roman" w:hAnsi="Times New Roman" w:eastAsia="宋体" w:cs="Times New Roman"/>
                <w:sz w:val="24"/>
                <w:szCs w:val="24"/>
                <w:lang w:val="en-US" w:eastAsia="zh-CN"/>
              </w:rPr>
              <w:t>17号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为深入贯彻习近平生态文明思想，全面落实党中央、国务院和省委、省政府关于全面加强生态环境保护深入打好污染防治攻坚战的重大决策部署，推动全市生态环境质量持续改善和经济社会高质量发展，根据《四川省人民政府关于落实生态保护红线、环境质量底线、资源利用上线制定生态环境准入清单实施生态环境分区管控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川府发</w:t>
            </w:r>
            <w:r>
              <w:rPr>
                <w:rFonts w:hint="default" w:ascii="Times New Roman" w:hAnsi="Times New Roman" w:eastAsia="宋体" w:cs="Times New Roman"/>
                <w:b w:val="0"/>
                <w:bCs w:val="0"/>
                <w:sz w:val="24"/>
                <w:szCs w:val="24"/>
              </w:rPr>
              <w:t>〔202</w:t>
            </w:r>
            <w:r>
              <w:rPr>
                <w:rFonts w:hint="default" w:ascii="Times New Roman" w:hAnsi="Times New Roman" w:eastAsia="宋体" w:cs="Times New Roman"/>
                <w:b w:val="0"/>
                <w:bCs w:val="0"/>
                <w:sz w:val="24"/>
                <w:szCs w:val="24"/>
                <w:lang w:val="en-US" w:eastAsia="zh-CN"/>
              </w:rPr>
              <w:t>0</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sz w:val="24"/>
                <w:szCs w:val="24"/>
                <w:lang w:val="en-US" w:eastAsia="zh-CN"/>
              </w:rPr>
              <w:t>9号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精神</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现就落实生态保护红线、环境质量底线、资源利用上线，制定生态环境准入清单。达州市及</w:t>
            </w:r>
            <w:r>
              <w:rPr>
                <w:rFonts w:hint="eastAsia" w:ascii="Times New Roman" w:hAnsi="Times New Roman" w:eastAsia="宋体" w:cs="Times New Roman"/>
                <w:sz w:val="24"/>
                <w:szCs w:val="24"/>
                <w:lang w:val="en-US" w:eastAsia="zh-CN"/>
              </w:rPr>
              <w:t>通川区</w:t>
            </w:r>
            <w:r>
              <w:rPr>
                <w:rFonts w:hint="default" w:ascii="Times New Roman" w:hAnsi="Times New Roman" w:eastAsia="宋体" w:cs="Times New Roman"/>
                <w:sz w:val="24"/>
                <w:szCs w:val="24"/>
                <w:lang w:val="en-US" w:eastAsia="zh-CN"/>
              </w:rPr>
              <w:t>管控要求如下</w:t>
            </w:r>
            <w:r>
              <w:rPr>
                <w:rFonts w:hint="eastAsia" w:ascii="Times New Roman" w:hAnsi="Times New Roman" w:eastAsia="宋体" w:cs="Times New Roman"/>
                <w:sz w:val="24"/>
                <w:szCs w:val="24"/>
                <w:lang w:val="en-US" w:eastAsia="zh-CN"/>
              </w:rPr>
              <w:t>。</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表</w:t>
            </w:r>
            <w:r>
              <w:rPr>
                <w:rFonts w:hint="eastAsia" w:ascii="Times New Roman" w:hAnsi="Times New Roman" w:eastAsia="黑体" w:cs="Times New Roman"/>
                <w:b w:val="0"/>
                <w:bCs w:val="0"/>
                <w:kern w:val="2"/>
                <w:sz w:val="21"/>
                <w:szCs w:val="21"/>
                <w:lang w:val="en-US" w:eastAsia="zh-CN" w:bidi="ar-SA"/>
              </w:rPr>
              <w:t>1-3</w:t>
            </w:r>
            <w:r>
              <w:rPr>
                <w:rFonts w:hint="default" w:ascii="Times New Roman" w:hAnsi="Times New Roman" w:eastAsia="黑体" w:cs="Times New Roman"/>
                <w:b w:val="0"/>
                <w:bCs w:val="0"/>
                <w:kern w:val="2"/>
                <w:sz w:val="21"/>
                <w:szCs w:val="21"/>
                <w:lang w:val="en-US" w:eastAsia="zh-CN" w:bidi="ar-SA"/>
              </w:rPr>
              <w:t xml:space="preserve">   </w:t>
            </w:r>
            <w:r>
              <w:rPr>
                <w:rFonts w:hint="eastAsia" w:ascii="Times New Roman" w:hAnsi="Times New Roman" w:eastAsia="黑体" w:cs="Times New Roman"/>
                <w:b w:val="0"/>
                <w:bCs w:val="0"/>
                <w:kern w:val="2"/>
                <w:sz w:val="21"/>
                <w:szCs w:val="21"/>
                <w:lang w:val="en-US" w:eastAsia="zh-CN" w:bidi="ar-SA"/>
              </w:rPr>
              <w:t>项目</w:t>
            </w:r>
            <w:r>
              <w:rPr>
                <w:rFonts w:hint="default" w:ascii="Times New Roman" w:hAnsi="Times New Roman" w:eastAsia="黑体" w:cs="Times New Roman"/>
                <w:b w:val="0"/>
                <w:bCs w:val="0"/>
                <w:kern w:val="2"/>
                <w:sz w:val="21"/>
                <w:szCs w:val="21"/>
                <w:lang w:val="en-US" w:eastAsia="zh-CN" w:bidi="ar-SA"/>
              </w:rPr>
              <w:t>与达州市及</w:t>
            </w:r>
            <w:r>
              <w:rPr>
                <w:rFonts w:hint="eastAsia" w:ascii="Times New Roman" w:hAnsi="Times New Roman" w:eastAsia="黑体" w:cs="Times New Roman"/>
                <w:b w:val="0"/>
                <w:bCs w:val="0"/>
                <w:kern w:val="2"/>
                <w:sz w:val="21"/>
                <w:szCs w:val="21"/>
                <w:lang w:val="en-US" w:eastAsia="zh-CN" w:bidi="ar-SA"/>
              </w:rPr>
              <w:t>通川</w:t>
            </w:r>
            <w:r>
              <w:rPr>
                <w:rFonts w:hint="default" w:ascii="Times New Roman" w:hAnsi="Times New Roman" w:eastAsia="黑体" w:cs="Times New Roman"/>
                <w:b w:val="0"/>
                <w:bCs w:val="0"/>
                <w:kern w:val="2"/>
                <w:sz w:val="21"/>
                <w:szCs w:val="21"/>
                <w:lang w:val="en-US" w:eastAsia="zh-CN" w:bidi="ar-SA"/>
              </w:rPr>
              <w:t>分区管控要求相符性分析</w:t>
            </w:r>
          </w:p>
          <w:tbl>
            <w:tblPr>
              <w:tblStyle w:val="26"/>
              <w:tblW w:w="831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1"/>
              <w:gridCol w:w="4170"/>
              <w:gridCol w:w="2580"/>
              <w:gridCol w:w="7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行政区划</w:t>
                  </w: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总体生态管控要求</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本规划</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达州市</w:t>
                  </w: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1、对钢铁行业提出严格资源环境绩效水平要求；</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2、污染企业限期退城入园；</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3、普光气田开发污染防治和环境管理等方面要达到国内先进水平；</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4、引进项目应符合园区规划环评和区域产业准入清单要求；</w:t>
                  </w:r>
                </w:p>
              </w:tc>
              <w:tc>
                <w:tcPr>
                  <w:tcW w:w="25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w:t>
                  </w:r>
                  <w:r>
                    <w:rPr>
                      <w:rFonts w:hint="default" w:ascii="Times New Roman" w:hAnsi="Times New Roman" w:eastAsia="宋体" w:cs="Times New Roman"/>
                      <w:b w:val="0"/>
                      <w:bCs w:val="0"/>
                      <w:color w:val="auto"/>
                      <w:sz w:val="21"/>
                      <w:szCs w:val="21"/>
                      <w:lang w:val="en-US" w:eastAsia="zh-CN"/>
                    </w:rPr>
                    <w:t>属于西南职业教育园区鼓励进入园区的职业技术教育产业</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5、长江干支流岸线1 km范围内，不得新建、扩建化工园区和化工项目；</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6、严控产业转移环境准入；</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7、造纸等产业污染治理和环境管理应达到国内先进水平。优化制浆造纸产业布局，提升行业清洁生产水平，推动制浆造纸I业向节能、环保、绿色方向发展。</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通川区</w:t>
                  </w: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调整农作物种植结构，加强农业氨污染控制，大力发展节水农业</w:t>
                  </w:r>
                  <w:r>
                    <w:rPr>
                      <w:rFonts w:hint="eastAsia" w:ascii="Times New Roman" w:hAnsi="Times New Roman" w:eastAsia="宋体" w:cs="Times New Roman"/>
                      <w:sz w:val="21"/>
                      <w:szCs w:val="21"/>
                      <w:vertAlign w:val="baseline"/>
                      <w:lang w:val="en-US" w:eastAsia="zh-CN"/>
                    </w:rPr>
                    <w:t>；</w:t>
                  </w:r>
                </w:p>
              </w:tc>
              <w:tc>
                <w:tcPr>
                  <w:tcW w:w="25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加强建筑工程日常监管，对重点环节采取遮盖、洒水、封闭等措施控制扬尘排放。提高道路硬化率，减少道路起尘源。推动非道路移动机械达标排放示范企业建设</w:t>
                  </w:r>
                  <w:r>
                    <w:rPr>
                      <w:rFonts w:hint="eastAsia" w:ascii="Times New Roman" w:hAnsi="Times New Roman" w:eastAsia="宋体" w:cs="Times New Roman"/>
                      <w:sz w:val="21"/>
                      <w:szCs w:val="21"/>
                      <w:vertAlign w:val="baseline"/>
                      <w:lang w:val="en-US" w:eastAsia="zh-CN"/>
                    </w:rPr>
                    <w:t>；</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施工现场设不低于2.5m高封闭围挡、设置雾状喷淋，主要道路硬化、设车辆冲洗平台、设高压冲洗设施、车辆密闭运输</w:t>
                  </w:r>
                  <w:r>
                    <w:rPr>
                      <w:rFonts w:hint="default" w:ascii="Times New Roman" w:hAnsi="Times New Roman" w:eastAsia="宋体" w:cs="Times New Roman"/>
                      <w:sz w:val="21"/>
                      <w:szCs w:val="21"/>
                      <w:vertAlign w:val="baseline"/>
                      <w:lang w:val="en-US" w:eastAsia="zh-CN"/>
                    </w:rPr>
                    <w:t>、及时清扫路面尘土、对裸露地面</w:t>
                  </w:r>
                  <w:r>
                    <w:rPr>
                      <w:rFonts w:hint="eastAsia" w:ascii="Times New Roman" w:hAnsi="Times New Roman" w:eastAsia="宋体" w:cs="Times New Roman"/>
                      <w:sz w:val="21"/>
                      <w:szCs w:val="21"/>
                      <w:vertAlign w:val="baseline"/>
                      <w:lang w:val="en-US" w:eastAsia="zh-CN"/>
                    </w:rPr>
                    <w:t>临时堆场</w:t>
                  </w:r>
                  <w:r>
                    <w:rPr>
                      <w:rFonts w:hint="default" w:ascii="Times New Roman" w:hAnsi="Times New Roman" w:eastAsia="宋体" w:cs="Times New Roman"/>
                      <w:sz w:val="21"/>
                      <w:szCs w:val="21"/>
                      <w:vertAlign w:val="baseline"/>
                      <w:lang w:val="en-US" w:eastAsia="zh-CN"/>
                    </w:rPr>
                    <w:t>覆盖防尘布或防尘网等</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优化调整产业布局，以PM</w:t>
                  </w:r>
                  <w:r>
                    <w:rPr>
                      <w:rFonts w:hint="eastAsia" w:ascii="Times New Roman" w:hAnsi="Times New Roman" w:eastAsia="宋体" w:cs="Times New Roman"/>
                      <w:sz w:val="21"/>
                      <w:szCs w:val="21"/>
                      <w:vertAlign w:val="subscript"/>
                      <w:lang w:val="en-US" w:eastAsia="zh-CN"/>
                    </w:rPr>
                    <w:t>2.5</w:t>
                  </w:r>
                  <w:r>
                    <w:rPr>
                      <w:rFonts w:hint="default" w:ascii="Times New Roman" w:hAnsi="Times New Roman" w:eastAsia="宋体" w:cs="Times New Roman"/>
                      <w:sz w:val="21"/>
                      <w:szCs w:val="21"/>
                      <w:vertAlign w:val="baseline"/>
                      <w:lang w:val="en-US" w:eastAsia="zh-CN"/>
                    </w:rPr>
                    <w:t>和臭氧污染协同控制为重点，全面开展VO</w:t>
                  </w:r>
                  <w:r>
                    <w:rPr>
                      <w:rFonts w:hint="eastAsia" w:ascii="Times New Roman" w:hAnsi="Times New Roman" w:eastAsia="宋体" w:cs="Times New Roman"/>
                      <w:sz w:val="21"/>
                      <w:szCs w:val="21"/>
                      <w:vertAlign w:val="baseline"/>
                      <w:lang w:val="en-US" w:eastAsia="zh-CN"/>
                    </w:rPr>
                    <w:t>C</w:t>
                  </w:r>
                  <w:r>
                    <w:rPr>
                      <w:rFonts w:hint="default" w:ascii="Times New Roman" w:hAnsi="Times New Roman" w:eastAsia="宋体" w:cs="Times New Roman"/>
                      <w:sz w:val="21"/>
                      <w:szCs w:val="21"/>
                      <w:vertAlign w:val="baseline"/>
                      <w:lang w:val="en-US" w:eastAsia="zh-CN"/>
                    </w:rPr>
                    <w:t>s治理，实施移动源整治，持续推进空气质量精细化管理</w:t>
                  </w:r>
                  <w:r>
                    <w:rPr>
                      <w:rFonts w:hint="eastAsia" w:ascii="Times New Roman" w:hAnsi="Times New Roman" w:eastAsia="宋体" w:cs="Times New Roman"/>
                      <w:sz w:val="21"/>
                      <w:szCs w:val="21"/>
                      <w:vertAlign w:val="baseline"/>
                      <w:lang w:val="en-US" w:eastAsia="zh-CN"/>
                    </w:rPr>
                    <w:t>；</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color w:val="auto"/>
                      <w:sz w:val="21"/>
                      <w:szCs w:val="21"/>
                      <w:highlight w:val="none"/>
                      <w:lang w:val="en-US" w:eastAsia="zh-CN" w:bidi="ar"/>
                    </w:rPr>
                    <w:t>实验室废气</w:t>
                  </w:r>
                  <w:r>
                    <w:rPr>
                      <w:rFonts w:hint="eastAsia" w:ascii="Times New Roman" w:hAnsi="Times New Roman" w:eastAsia="宋体" w:cs="Times New Roman"/>
                      <w:b w:val="0"/>
                      <w:bCs w:val="0"/>
                      <w:color w:val="auto"/>
                      <w:kern w:val="0"/>
                      <w:sz w:val="21"/>
                      <w:szCs w:val="21"/>
                      <w:lang w:val="en-US" w:eastAsia="zh-CN" w:bidi="ar"/>
                    </w:rPr>
                    <w:t>经通风橱收集，</w:t>
                  </w: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通风橱上方安装活性炭吸附罐，废气通过活性炭吸附后引至楼顶排放</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1" w:type="dxa"/>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17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建立健全农业节水体系，推广使用节水灌溉技术，探索乡镇、农村生活污染水资源化还田利用。大力整治沿河畜禽养殖污染整治，实现畜禽粪污减量化排放、无害化处理和资源化利用。</w:t>
                  </w:r>
                </w:p>
              </w:tc>
              <w:tc>
                <w:tcPr>
                  <w:tcW w:w="2580"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不涉及</w:t>
                  </w:r>
                </w:p>
              </w:tc>
              <w:tc>
                <w:tcPr>
                  <w:tcW w:w="799"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r>
          </w:tbl>
          <w:p>
            <w:pPr>
              <w:pStyle w:val="15"/>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与达州市“三线一单”成果符合性分析</w:t>
            </w:r>
          </w:p>
          <w:p>
            <w:pPr>
              <w:pStyle w:val="9"/>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firstLine="482"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①环境管控单元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shd w:val="clear" w:color="auto" w:fill="FFFFFF"/>
                <w:lang w:val="en-US" w:eastAsia="zh-CN"/>
              </w:rPr>
            </w:pPr>
            <w:r>
              <w:rPr>
                <w:rFonts w:hint="eastAsia" w:ascii="Times New Roman" w:hAnsi="Times New Roman" w:eastAsia="宋体" w:cs="Times New Roman"/>
                <w:color w:val="auto"/>
                <w:sz w:val="24"/>
                <w:szCs w:val="24"/>
                <w:lang w:val="en-US" w:eastAsia="zh-CN"/>
              </w:rPr>
              <w:t>通过四川省政务服务网“三线一单”数据分析系统、“三线一单”冲突分析系统进行比对分析，以及查阅达州市生态环境局的《长江经济带战略环境评价四川省达州市“三线一单”生态环境分区管控优化完善研究报告》，本项目位于</w:t>
            </w:r>
            <w:r>
              <w:rPr>
                <w:rFonts w:hint="eastAsia" w:ascii="Times New Roman" w:hAnsi="Times New Roman" w:eastAsia="宋体" w:cs="Times New Roman"/>
                <w:b/>
                <w:bCs/>
                <w:color w:val="auto"/>
                <w:sz w:val="24"/>
                <w:szCs w:val="24"/>
                <w:lang w:val="en-US" w:eastAsia="zh-CN"/>
              </w:rPr>
              <w:t>达州市通川区环境综合管控单元城镇重点管控单元</w:t>
            </w:r>
            <w:r>
              <w:rPr>
                <w:rFonts w:hint="eastAsia" w:ascii="Times New Roman" w:hAnsi="Times New Roman" w:eastAsia="宋体" w:cs="Times New Roman"/>
                <w:color w:val="auto"/>
                <w:sz w:val="24"/>
                <w:szCs w:val="24"/>
                <w:lang w:val="en-US" w:eastAsia="zh-CN"/>
              </w:rPr>
              <w:t xml:space="preserve">。管控单元编码为 </w:t>
            </w:r>
            <w:r>
              <w:rPr>
                <w:rFonts w:hint="eastAsia" w:ascii="Times New Roman" w:hAnsi="Times New Roman" w:eastAsia="宋体" w:cs="Times New Roman"/>
                <w:b/>
                <w:bCs/>
                <w:color w:val="auto"/>
                <w:sz w:val="24"/>
                <w:szCs w:val="24"/>
                <w:lang w:val="en-US" w:eastAsia="zh-CN"/>
              </w:rPr>
              <w:t>ZH51170220001</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管控单元名称为</w:t>
            </w:r>
            <w:r>
              <w:rPr>
                <w:rFonts w:hint="eastAsia" w:ascii="Times New Roman" w:hAnsi="Times New Roman" w:eastAsia="宋体" w:cs="Times New Roman"/>
                <w:b/>
                <w:bCs/>
                <w:color w:val="auto"/>
                <w:sz w:val="24"/>
                <w:szCs w:val="24"/>
                <w:highlight w:val="none"/>
                <w:lang w:val="en-US" w:eastAsia="zh-CN"/>
              </w:rPr>
              <w:t>通川区中心城区</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项目属于</w:t>
            </w:r>
            <w:r>
              <w:rPr>
                <w:rFonts w:hint="eastAsia" w:ascii="Times New Roman" w:hAnsi="Times New Roman" w:eastAsia="宋体" w:cs="Times New Roman"/>
                <w:b/>
                <w:bCs/>
                <w:i w:val="0"/>
                <w:iCs w:val="0"/>
                <w:color w:val="auto"/>
                <w:sz w:val="24"/>
                <w:szCs w:val="24"/>
                <w:lang w:val="en-US" w:eastAsia="zh-CN"/>
              </w:rPr>
              <w:t>水环境城镇生活污染重点管控区、大气环境受体敏感重点管控区</w:t>
            </w:r>
            <w:r>
              <w:rPr>
                <w:rFonts w:hint="eastAsia" w:ascii="Times New Roman" w:hAnsi="Times New Roman" w:eastAsia="宋体" w:cs="Times New Roman"/>
                <w:color w:val="auto"/>
                <w:sz w:val="24"/>
                <w:szCs w:val="24"/>
                <w:lang w:val="en-US" w:eastAsia="zh-CN"/>
              </w:rPr>
              <w:t>。</w:t>
            </w:r>
            <w:r>
              <w:rPr>
                <w:rFonts w:hint="eastAsia"/>
                <w:color w:val="auto"/>
                <w:sz w:val="24"/>
                <w:szCs w:val="24"/>
                <w:shd w:val="clear" w:color="auto" w:fill="FFFFFF"/>
              </w:rPr>
              <w:t>查询情况见下图，涉及到的管控单元见</w:t>
            </w:r>
            <w:r>
              <w:rPr>
                <w:rFonts w:hint="eastAsia"/>
                <w:color w:val="auto"/>
                <w:sz w:val="24"/>
                <w:szCs w:val="24"/>
                <w:shd w:val="clear" w:color="auto" w:fill="FFFFFF"/>
                <w:lang w:val="en-US" w:eastAsia="zh-CN"/>
              </w:rPr>
              <w:t>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s="Times New Roman"/>
                <w:color w:val="auto"/>
                <w:szCs w:val="21"/>
              </w:rPr>
            </w:pPr>
            <w:r>
              <w:rPr>
                <w:rFonts w:hint="eastAsia" w:eastAsia="黑体" w:cs="Times New Roman"/>
                <w:color w:val="auto"/>
                <w:szCs w:val="21"/>
              </w:rPr>
              <w:t>表</w:t>
            </w:r>
            <w:r>
              <w:rPr>
                <w:rFonts w:eastAsia="黑体" w:cs="Times New Roman"/>
                <w:color w:val="auto"/>
                <w:szCs w:val="21"/>
              </w:rPr>
              <w:t>1-</w:t>
            </w:r>
            <w:r>
              <w:rPr>
                <w:rFonts w:hint="eastAsia" w:eastAsia="黑体" w:cs="Times New Roman"/>
                <w:color w:val="auto"/>
                <w:szCs w:val="21"/>
                <w:lang w:val="en-US" w:eastAsia="zh-CN"/>
              </w:rPr>
              <w:t>4</w:t>
            </w:r>
            <w:r>
              <w:rPr>
                <w:rFonts w:eastAsia="黑体" w:cs="Times New Roman"/>
                <w:color w:val="auto"/>
                <w:szCs w:val="21"/>
              </w:rPr>
              <w:t xml:space="preserve">  </w:t>
            </w:r>
            <w:r>
              <w:rPr>
                <w:rFonts w:hint="eastAsia" w:eastAsia="黑体" w:cs="Times New Roman"/>
                <w:color w:val="auto"/>
                <w:szCs w:val="21"/>
              </w:rPr>
              <w:t>项目涉及环境管控单元表</w:t>
            </w:r>
          </w:p>
          <w:tbl>
            <w:tblPr>
              <w:tblStyle w:val="66"/>
              <w:tblW w:w="78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9"/>
              <w:gridCol w:w="1514"/>
              <w:gridCol w:w="1141"/>
              <w:gridCol w:w="877"/>
              <w:gridCol w:w="1445"/>
              <w:gridCol w:w="15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4" w:hRule="atLeast"/>
                <w:jc w:val="center"/>
              </w:trPr>
              <w:tc>
                <w:tcPr>
                  <w:tcW w:w="12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39"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环</w:t>
                  </w:r>
                  <w:r>
                    <w:rPr>
                      <w:rFonts w:hint="default" w:ascii="Times New Roman" w:hAnsi="Times New Roman" w:eastAsia="宋体" w:cs="Times New Roman"/>
                      <w:b/>
                      <w:bCs/>
                      <w:spacing w:val="8"/>
                      <w:sz w:val="21"/>
                      <w:szCs w:val="21"/>
                    </w:rPr>
                    <w:t>境管控单元编码</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环境管控单元</w:t>
                  </w:r>
                  <w:r>
                    <w:rPr>
                      <w:rFonts w:hint="default" w:ascii="Times New Roman" w:hAnsi="Times New Roman" w:eastAsia="宋体" w:cs="Times New Roman"/>
                      <w:b/>
                      <w:bCs/>
                      <w:spacing w:val="5"/>
                      <w:sz w:val="21"/>
                      <w:szCs w:val="21"/>
                    </w:rPr>
                    <w:t>名</w:t>
                  </w:r>
                  <w:r>
                    <w:rPr>
                      <w:rFonts w:hint="default" w:ascii="Times New Roman" w:hAnsi="Times New Roman" w:eastAsia="宋体" w:cs="Times New Roman"/>
                      <w:b/>
                      <w:bCs/>
                      <w:spacing w:val="4"/>
                      <w:sz w:val="21"/>
                      <w:szCs w:val="21"/>
                    </w:rPr>
                    <w:t>称</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71"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position w:val="4"/>
                      <w:sz w:val="21"/>
                      <w:szCs w:val="21"/>
                    </w:rPr>
                    <w:t>所</w:t>
                  </w:r>
                  <w:r>
                    <w:rPr>
                      <w:rFonts w:hint="default" w:ascii="Times New Roman" w:hAnsi="Times New Roman" w:eastAsia="宋体" w:cs="Times New Roman"/>
                      <w:b/>
                      <w:bCs/>
                      <w:spacing w:val="7"/>
                      <w:position w:val="4"/>
                      <w:sz w:val="21"/>
                      <w:szCs w:val="21"/>
                    </w:rPr>
                    <w:t>属市</w:t>
                  </w:r>
                </w:p>
                <w:p>
                  <w:pPr>
                    <w:keepNext w:val="0"/>
                    <w:keepLines w:val="0"/>
                    <w:pageBreakBefore w:val="0"/>
                    <w:widowControl w:val="0"/>
                    <w:kinsoku/>
                    <w:wordWrap/>
                    <w:overflowPunct/>
                    <w:topLinePunct w:val="0"/>
                    <w:autoSpaceDE/>
                    <w:autoSpaceDN/>
                    <w:bidi w:val="0"/>
                    <w:adjustRightInd/>
                    <w:snapToGrid/>
                    <w:spacing w:line="227"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4"/>
                      <w:sz w:val="21"/>
                      <w:szCs w:val="21"/>
                    </w:rPr>
                    <w:t>(州</w:t>
                  </w:r>
                  <w:r>
                    <w:rPr>
                      <w:rFonts w:hint="default" w:ascii="Times New Roman" w:hAnsi="Times New Roman" w:eastAsia="宋体" w:cs="Times New Roman"/>
                      <w:b/>
                      <w:bCs/>
                      <w:spacing w:val="33"/>
                      <w:sz w:val="21"/>
                      <w:szCs w:val="21"/>
                    </w:rPr>
                    <w:t>)</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所</w:t>
                  </w:r>
                  <w:r>
                    <w:rPr>
                      <w:rFonts w:hint="default" w:ascii="Times New Roman" w:hAnsi="Times New Roman" w:eastAsia="宋体" w:cs="Times New Roman"/>
                      <w:b/>
                      <w:bCs/>
                      <w:spacing w:val="7"/>
                      <w:sz w:val="21"/>
                      <w:szCs w:val="21"/>
                    </w:rPr>
                    <w:t>属区</w:t>
                  </w:r>
                  <w:r>
                    <w:rPr>
                      <w:rFonts w:hint="default" w:ascii="Times New Roman" w:hAnsi="Times New Roman" w:eastAsia="宋体" w:cs="Times New Roman"/>
                      <w:b/>
                      <w:bCs/>
                      <w:sz w:val="21"/>
                      <w:szCs w:val="21"/>
                    </w:rPr>
                    <w:t xml:space="preserve"> 县</w:t>
                  </w:r>
                </w:p>
              </w:tc>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准</w:t>
                  </w:r>
                  <w:r>
                    <w:rPr>
                      <w:rFonts w:hint="default" w:ascii="Times New Roman" w:hAnsi="Times New Roman" w:eastAsia="宋体" w:cs="Times New Roman"/>
                      <w:b/>
                      <w:bCs/>
                      <w:spacing w:val="8"/>
                      <w:sz w:val="21"/>
                      <w:szCs w:val="21"/>
                    </w:rPr>
                    <w:t>入清单类</w:t>
                  </w:r>
                  <w:r>
                    <w:rPr>
                      <w:rFonts w:hint="default" w:ascii="Times New Roman" w:hAnsi="Times New Roman" w:eastAsia="宋体" w:cs="Times New Roman"/>
                      <w:b/>
                      <w:bCs/>
                      <w:sz w:val="21"/>
                      <w:szCs w:val="21"/>
                    </w:rPr>
                    <w:t xml:space="preserve"> 型</w:t>
                  </w:r>
                </w:p>
              </w:tc>
              <w:tc>
                <w:tcPr>
                  <w:tcW w:w="1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管</w:t>
                  </w:r>
                  <w:r>
                    <w:rPr>
                      <w:rFonts w:hint="default" w:ascii="Times New Roman" w:hAnsi="Times New Roman" w:eastAsia="宋体" w:cs="Times New Roman"/>
                      <w:b/>
                      <w:bCs/>
                      <w:spacing w:val="7"/>
                      <w:sz w:val="21"/>
                      <w:szCs w:val="21"/>
                    </w:rPr>
                    <w:t>控类型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1" w:hRule="atLeast"/>
                <w:jc w:val="center"/>
              </w:trPr>
              <w:tc>
                <w:tcPr>
                  <w:tcW w:w="12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ZH</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eastAsia" w:ascii="Times New Roman" w:hAnsi="Times New Roman" w:eastAsia="宋体" w:cs="Times New Roman"/>
                      <w:spacing w:val="5"/>
                      <w:sz w:val="21"/>
                      <w:szCs w:val="21"/>
                      <w:lang w:val="en-US" w:eastAsia="zh-CN"/>
                    </w:rPr>
                    <w:t>2</w:t>
                  </w:r>
                  <w:r>
                    <w:rPr>
                      <w:rFonts w:hint="default" w:ascii="Times New Roman" w:hAnsi="Times New Roman" w:eastAsia="宋体" w:cs="Times New Roman"/>
                      <w:spacing w:val="4"/>
                      <w:sz w:val="21"/>
                      <w:szCs w:val="21"/>
                    </w:rPr>
                    <w:t>0001</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通</w:t>
                  </w:r>
                  <w:r>
                    <w:rPr>
                      <w:rFonts w:hint="default" w:ascii="Times New Roman" w:hAnsi="Times New Roman" w:eastAsia="宋体" w:cs="Times New Roman"/>
                      <w:spacing w:val="8"/>
                      <w:sz w:val="21"/>
                      <w:szCs w:val="21"/>
                    </w:rPr>
                    <w:t>川区中心城</w:t>
                  </w:r>
                  <w:r>
                    <w:rPr>
                      <w:rFonts w:hint="default" w:ascii="Times New Roman" w:hAnsi="Times New Roman" w:eastAsia="宋体" w:cs="Times New Roman"/>
                      <w:sz w:val="21"/>
                      <w:szCs w:val="21"/>
                    </w:rPr>
                    <w:t xml:space="preserve"> 区</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达州市</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通川</w:t>
                  </w:r>
                  <w:r>
                    <w:rPr>
                      <w:rFonts w:hint="default" w:ascii="Times New Roman" w:hAnsi="Times New Roman" w:eastAsia="宋体" w:cs="Times New Roman"/>
                      <w:spacing w:val="6"/>
                      <w:sz w:val="21"/>
                      <w:szCs w:val="21"/>
                    </w:rPr>
                    <w:t>区</w:t>
                  </w:r>
                </w:p>
              </w:tc>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5"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环境管控单</w:t>
                  </w:r>
                  <w:r>
                    <w:rPr>
                      <w:rFonts w:hint="default" w:ascii="Times New Roman" w:hAnsi="Times New Roman" w:eastAsia="宋体" w:cs="Times New Roman"/>
                      <w:sz w:val="21"/>
                      <w:szCs w:val="21"/>
                    </w:rPr>
                    <w:t xml:space="preserve"> 元</w:t>
                  </w:r>
                </w:p>
              </w:tc>
              <w:tc>
                <w:tcPr>
                  <w:tcW w:w="1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环</w:t>
                  </w:r>
                  <w:r>
                    <w:rPr>
                      <w:rFonts w:hint="default" w:ascii="Times New Roman" w:hAnsi="Times New Roman" w:eastAsia="宋体" w:cs="Times New Roman"/>
                      <w:spacing w:val="8"/>
                      <w:sz w:val="21"/>
                      <w:szCs w:val="21"/>
                    </w:rPr>
                    <w:t>境综合管控单元城镇重</w:t>
                  </w:r>
                  <w:r>
                    <w:rPr>
                      <w:rFonts w:hint="default" w:ascii="Times New Roman" w:hAnsi="Times New Roman" w:eastAsia="宋体" w:cs="Times New Roman"/>
                      <w:spacing w:val="7"/>
                      <w:sz w:val="21"/>
                      <w:szCs w:val="21"/>
                    </w:rPr>
                    <w:t>点管</w:t>
                  </w:r>
                  <w:r>
                    <w:rPr>
                      <w:rFonts w:hint="default" w:ascii="Times New Roman" w:hAnsi="Times New Roman" w:eastAsia="宋体" w:cs="Times New Roman"/>
                      <w:spacing w:val="6"/>
                      <w:sz w:val="21"/>
                      <w:szCs w:val="21"/>
                    </w:rPr>
                    <w:t>控单元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jc w:val="center"/>
              </w:trPr>
              <w:tc>
                <w:tcPr>
                  <w:tcW w:w="12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9"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YS</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default" w:ascii="Times New Roman" w:hAnsi="Times New Roman" w:eastAsia="宋体" w:cs="Times New Roman"/>
                      <w:spacing w:val="7"/>
                      <w:sz w:val="21"/>
                      <w:szCs w:val="21"/>
                    </w:rPr>
                    <w:t>2</w:t>
                  </w:r>
                  <w:r>
                    <w:rPr>
                      <w:rFonts w:hint="default" w:ascii="Times New Roman" w:hAnsi="Times New Roman" w:eastAsia="宋体" w:cs="Times New Roman"/>
                      <w:spacing w:val="4"/>
                      <w:sz w:val="21"/>
                      <w:szCs w:val="21"/>
                    </w:rPr>
                    <w:t>220001</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5"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州河通川区车</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8"/>
                      <w:sz w:val="21"/>
                      <w:szCs w:val="21"/>
                    </w:rPr>
                    <w:t>家河控制单</w:t>
                  </w:r>
                  <w:r>
                    <w:rPr>
                      <w:rFonts w:hint="default" w:ascii="Times New Roman" w:hAnsi="Times New Roman" w:eastAsia="宋体" w:cs="Times New Roman"/>
                      <w:spacing w:val="7"/>
                      <w:sz w:val="21"/>
                      <w:szCs w:val="21"/>
                    </w:rPr>
                    <w:t>元</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达州市</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通川</w:t>
                  </w:r>
                  <w:r>
                    <w:rPr>
                      <w:rFonts w:hint="default" w:ascii="Times New Roman" w:hAnsi="Times New Roman" w:eastAsia="宋体" w:cs="Times New Roman"/>
                      <w:spacing w:val="6"/>
                      <w:sz w:val="21"/>
                      <w:szCs w:val="21"/>
                    </w:rPr>
                    <w:t>区</w:t>
                  </w:r>
                </w:p>
              </w:tc>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5"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水</w:t>
                  </w:r>
                  <w:r>
                    <w:rPr>
                      <w:rFonts w:hint="default" w:ascii="Times New Roman" w:hAnsi="Times New Roman" w:eastAsia="宋体" w:cs="Times New Roman"/>
                      <w:spacing w:val="7"/>
                      <w:sz w:val="21"/>
                      <w:szCs w:val="21"/>
                    </w:rPr>
                    <w:t>环境管控</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4"/>
                      <w:sz w:val="21"/>
                      <w:szCs w:val="21"/>
                    </w:rPr>
                    <w:t>分</w:t>
                  </w:r>
                  <w:r>
                    <w:rPr>
                      <w:rFonts w:hint="default" w:ascii="Times New Roman" w:hAnsi="Times New Roman" w:eastAsia="宋体" w:cs="Times New Roman"/>
                      <w:spacing w:val="3"/>
                      <w:sz w:val="21"/>
                      <w:szCs w:val="21"/>
                    </w:rPr>
                    <w:t>区</w:t>
                  </w:r>
                </w:p>
              </w:tc>
              <w:tc>
                <w:tcPr>
                  <w:tcW w:w="1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水环境城镇</w:t>
                  </w:r>
                  <w:r>
                    <w:rPr>
                      <w:rFonts w:hint="default" w:ascii="Times New Roman" w:hAnsi="Times New Roman" w:eastAsia="宋体" w:cs="Times New Roman"/>
                      <w:spacing w:val="7"/>
                      <w:sz w:val="21"/>
                      <w:szCs w:val="21"/>
                    </w:rPr>
                    <w:t>生</w:t>
                  </w:r>
                  <w:r>
                    <w:rPr>
                      <w:rFonts w:hint="default" w:ascii="Times New Roman" w:hAnsi="Times New Roman" w:eastAsia="宋体" w:cs="Times New Roman"/>
                      <w:spacing w:val="11"/>
                      <w:sz w:val="21"/>
                      <w:szCs w:val="21"/>
                    </w:rPr>
                    <w:t>活</w:t>
                  </w:r>
                  <w:r>
                    <w:rPr>
                      <w:rFonts w:hint="default" w:ascii="Times New Roman" w:hAnsi="Times New Roman" w:eastAsia="宋体" w:cs="Times New Roman"/>
                      <w:spacing w:val="7"/>
                      <w:sz w:val="21"/>
                      <w:szCs w:val="21"/>
                    </w:rPr>
                    <w:t>污染重点管</w:t>
                  </w:r>
                  <w:r>
                    <w:rPr>
                      <w:rFonts w:hint="default" w:ascii="Times New Roman" w:hAnsi="Times New Roman" w:eastAsia="宋体" w:cs="Times New Roman"/>
                      <w:spacing w:val="5"/>
                      <w:sz w:val="21"/>
                      <w:szCs w:val="21"/>
                    </w:rPr>
                    <w:t>控区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jc w:val="center"/>
              </w:trPr>
              <w:tc>
                <w:tcPr>
                  <w:tcW w:w="12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YS</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default" w:ascii="Times New Roman" w:hAnsi="Times New Roman" w:eastAsia="宋体" w:cs="Times New Roman"/>
                      <w:spacing w:val="7"/>
                      <w:sz w:val="21"/>
                      <w:szCs w:val="21"/>
                    </w:rPr>
                    <w:t>2</w:t>
                  </w:r>
                  <w:r>
                    <w:rPr>
                      <w:rFonts w:hint="default" w:ascii="Times New Roman" w:hAnsi="Times New Roman" w:eastAsia="宋体" w:cs="Times New Roman"/>
                      <w:spacing w:val="4"/>
                      <w:sz w:val="21"/>
                      <w:szCs w:val="21"/>
                    </w:rPr>
                    <w:t>340005</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7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通</w:t>
                  </w:r>
                  <w:r>
                    <w:rPr>
                      <w:rFonts w:hint="default" w:ascii="Times New Roman" w:hAnsi="Times New Roman" w:eastAsia="宋体" w:cs="Times New Roman"/>
                      <w:spacing w:val="8"/>
                      <w:sz w:val="21"/>
                      <w:szCs w:val="21"/>
                    </w:rPr>
                    <w:t>川区中心城</w:t>
                  </w:r>
                  <w:r>
                    <w:rPr>
                      <w:rFonts w:hint="default" w:ascii="Times New Roman" w:hAnsi="Times New Roman" w:eastAsia="宋体" w:cs="Times New Roman"/>
                      <w:sz w:val="21"/>
                      <w:szCs w:val="21"/>
                    </w:rPr>
                    <w:t xml:space="preserve"> 区</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达州市</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通川</w:t>
                  </w:r>
                  <w:r>
                    <w:rPr>
                      <w:rFonts w:hint="default" w:ascii="Times New Roman" w:hAnsi="Times New Roman" w:eastAsia="宋体" w:cs="Times New Roman"/>
                      <w:spacing w:val="6"/>
                      <w:sz w:val="21"/>
                      <w:szCs w:val="21"/>
                    </w:rPr>
                    <w:t>区</w:t>
                  </w:r>
                </w:p>
              </w:tc>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大</w:t>
                  </w:r>
                  <w:r>
                    <w:rPr>
                      <w:rFonts w:hint="default" w:ascii="Times New Roman" w:hAnsi="Times New Roman" w:eastAsia="宋体" w:cs="Times New Roman"/>
                      <w:spacing w:val="7"/>
                      <w:sz w:val="21"/>
                      <w:szCs w:val="21"/>
                    </w:rPr>
                    <w:t>气环境管</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控分区</w:t>
                  </w:r>
                </w:p>
              </w:tc>
              <w:tc>
                <w:tcPr>
                  <w:tcW w:w="1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9"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大气环境受</w:t>
                  </w:r>
                  <w:r>
                    <w:rPr>
                      <w:rFonts w:hint="default" w:ascii="Times New Roman" w:hAnsi="Times New Roman" w:eastAsia="宋体" w:cs="Times New Roman"/>
                      <w:spacing w:val="7"/>
                      <w:sz w:val="21"/>
                      <w:szCs w:val="21"/>
                    </w:rPr>
                    <w:t>体</w:t>
                  </w:r>
                  <w:r>
                    <w:rPr>
                      <w:rFonts w:hint="default" w:ascii="Times New Roman" w:hAnsi="Times New Roman" w:eastAsia="宋体" w:cs="Times New Roman"/>
                      <w:spacing w:val="8"/>
                      <w:sz w:val="21"/>
                      <w:szCs w:val="21"/>
                    </w:rPr>
                    <w:t>敏感重点管控</w:t>
                  </w:r>
                  <w:r>
                    <w:rPr>
                      <w:rFonts w:hint="default" w:ascii="Times New Roman" w:hAnsi="Times New Roman" w:eastAsia="宋体" w:cs="Times New Roman"/>
                      <w:sz w:val="21"/>
                      <w:szCs w:val="21"/>
                    </w:rPr>
                    <w:t>区</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rPr>
                <w:rFonts w:ascii="宋体" w:hAnsi="宋体" w:eastAsia="宋体" w:cs="宋体"/>
                <w:kern w:val="0"/>
                <w:sz w:val="24"/>
                <w:szCs w:val="24"/>
                <w:lang w:val="en-US" w:eastAsia="zh-CN" w:bidi="ar"/>
              </w:rPr>
              <w:drawing>
                <wp:inline distT="0" distB="0" distL="114300" distR="114300">
                  <wp:extent cx="5019675" cy="3620135"/>
                  <wp:effectExtent l="0" t="0" r="9525" b="18415"/>
                  <wp:docPr id="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56"/>
                          <pic:cNvPicPr>
                            <a:picLocks noChangeAspect="1"/>
                          </pic:cNvPicPr>
                        </pic:nvPicPr>
                        <pic:blipFill>
                          <a:blip r:embed="rId8"/>
                          <a:stretch>
                            <a:fillRect/>
                          </a:stretch>
                        </pic:blipFill>
                        <pic:spPr>
                          <a:xfrm>
                            <a:off x="0" y="0"/>
                            <a:ext cx="5019675" cy="3620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rPr>
            </w:pPr>
            <w:r>
              <w:rPr>
                <w:sz w:val="24"/>
              </w:rPr>
              <mc:AlternateContent>
                <mc:Choice Requires="wps">
                  <w:drawing>
                    <wp:anchor distT="0" distB="0" distL="114300" distR="114300" simplePos="0" relativeHeight="251663360" behindDoc="0" locked="0" layoutInCell="1" allowOverlap="1">
                      <wp:simplePos x="0" y="0"/>
                      <wp:positionH relativeFrom="column">
                        <wp:posOffset>2397125</wp:posOffset>
                      </wp:positionH>
                      <wp:positionV relativeFrom="paragraph">
                        <wp:posOffset>586105</wp:posOffset>
                      </wp:positionV>
                      <wp:extent cx="725170" cy="325120"/>
                      <wp:effectExtent l="7620" t="7620" r="10160" b="715010"/>
                      <wp:wrapNone/>
                      <wp:docPr id="4" name="矩形标注 8"/>
                      <wp:cNvGraphicFramePr/>
                      <a:graphic xmlns:a="http://schemas.openxmlformats.org/drawingml/2006/main">
                        <a:graphicData uri="http://schemas.microsoft.com/office/word/2010/wordprocessingShape">
                          <wps:wsp>
                            <wps:cNvSpPr/>
                            <wps:spPr>
                              <a:xfrm>
                                <a:off x="2330450" y="2983230"/>
                                <a:ext cx="143002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wps:txbx>
                            <wps:bodyPr wrap="square" upright="1"/>
                          </wps:wsp>
                        </a:graphicData>
                      </a:graphic>
                    </wp:anchor>
                  </w:drawing>
                </mc:Choice>
                <mc:Fallback>
                  <w:pict>
                    <v:shape id="矩形标注 8" o:spid="_x0000_s1026" o:spt="61" type="#_x0000_t61" style="position:absolute;left:0pt;margin-left:188.75pt;margin-top:46.15pt;height:25.6pt;width:57.1pt;z-index:251663360;mso-width-relative:page;mso-height-relative:page;" filled="f" stroked="t" coordsize="21600,21600" o:gfxdata="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kEO33AAAAAoB&#10;AAAPAAAAAAAAAAEAIAAAACIAAABkcnMvZG93bnJldi54bWxQSwECFAAUAAAACACHTuJAAB0ecVAC&#10;AACNBAAADgAAAAAAAAABACAAAAArAQAAZHJzL2Uyb0RvYy54bWxQSwUGAAAAAAYABgBZAQAA7QUA&#10;AAAA&#10;" adj="20670,64666">
                      <v:fill on="f" focussize="0,0"/>
                      <v:stroke weight="1.25pt"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v:textbox>
                    </v:shape>
                  </w:pict>
                </mc:Fallback>
              </mc:AlternateContent>
            </w:r>
            <w:r>
              <w:rPr>
                <w:rFonts w:hint="eastAsia" w:eastAsia="黑体"/>
                <w:szCs w:val="21"/>
              </w:rPr>
              <w:t>图</w:t>
            </w:r>
            <w:r>
              <w:rPr>
                <w:rFonts w:eastAsia="黑体"/>
                <w:szCs w:val="21"/>
              </w:rPr>
              <w:t xml:space="preserve">1-1  </w:t>
            </w:r>
            <w:r>
              <w:rPr>
                <w:rFonts w:hint="eastAsia" w:eastAsia="黑体"/>
                <w:szCs w:val="21"/>
              </w:rPr>
              <w:t>项目“三线一单”符合性分析查询截图</w:t>
            </w:r>
            <w:r>
              <w:rPr>
                <w:rFonts w:hint="default" w:ascii="Helvetica" w:hAnsi="Helvetica" w:eastAsia="Helvetica"/>
                <w:sz w:val="28"/>
                <w:szCs w:val="24"/>
              </w:rPr>
              <w:drawing>
                <wp:inline distT="0" distB="0" distL="114300" distR="114300">
                  <wp:extent cx="5273675" cy="3164840"/>
                  <wp:effectExtent l="0" t="0" r="3175" b="16510"/>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9"/>
                          <a:stretch>
                            <a:fillRect/>
                          </a:stretch>
                        </pic:blipFill>
                        <pic:spPr>
                          <a:xfrm>
                            <a:off x="0" y="0"/>
                            <a:ext cx="5273675" cy="31648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lang w:val="en-US" w:eastAsia="zh-CN" w:bidi="ar"/>
              </w:rPr>
            </w:pPr>
            <w:r>
              <w:rPr>
                <w:rFonts w:hint="eastAsia" w:eastAsia="黑体"/>
                <w:szCs w:val="21"/>
              </w:rPr>
              <w:t>图</w:t>
            </w:r>
            <w:r>
              <w:rPr>
                <w:rFonts w:eastAsia="黑体"/>
                <w:szCs w:val="21"/>
              </w:rPr>
              <w:t xml:space="preserve">1-2  </w:t>
            </w:r>
            <w:r>
              <w:rPr>
                <w:rFonts w:hint="eastAsia" w:eastAsia="黑体"/>
                <w:szCs w:val="21"/>
              </w:rPr>
              <w:t>项目与管控单元相对位置图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②</w:t>
            </w:r>
            <w:r>
              <w:rPr>
                <w:rFonts w:hint="default" w:ascii="Times New Roman" w:hAnsi="Times New Roman" w:eastAsia="宋体" w:cs="Times New Roman"/>
                <w:b/>
                <w:bCs/>
                <w:color w:val="000000"/>
                <w:kern w:val="0"/>
                <w:sz w:val="24"/>
                <w:szCs w:val="24"/>
                <w:lang w:val="en-US" w:eastAsia="zh-CN" w:bidi="ar"/>
              </w:rPr>
              <w:t>生态保护红线</w:t>
            </w:r>
          </w:p>
          <w:p>
            <w:pPr>
              <w:pStyle w:val="9"/>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根据《长江经济带战略环境评价四川省达州市“三线一单”生态环境分区管控优化完善研究报告》，达州市生态保护红线面积1214.56km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，占达州市国土面积比例的7.33%，与原2018年相比，面积减少了 42.40km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，其中调入红线 287.98km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，调出红线330.38km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 xml:space="preserve"> 。达州市生态保护红线主要分布在大巴山和盆地区域，涉及大巴山生物多样性维护—水源涵养生态保护红线、盆中城市饮用水源—水土保持生态保护红线。达州市生态保护红线分布图见下图。</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eastAsia"/>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1168400</wp:posOffset>
                      </wp:positionH>
                      <wp:positionV relativeFrom="paragraph">
                        <wp:posOffset>948690</wp:posOffset>
                      </wp:positionV>
                      <wp:extent cx="725170" cy="325120"/>
                      <wp:effectExtent l="7620" t="7620" r="10160" b="715010"/>
                      <wp:wrapNone/>
                      <wp:docPr id="8" name="矩形标注 8"/>
                      <wp:cNvGraphicFramePr/>
                      <a:graphic xmlns:a="http://schemas.openxmlformats.org/drawingml/2006/main">
                        <a:graphicData uri="http://schemas.microsoft.com/office/word/2010/wordprocessingShape">
                          <wps:wsp>
                            <wps:cNvSpPr/>
                            <wps:spPr>
                              <a:xfrm>
                                <a:off x="2330450" y="2983230"/>
                                <a:ext cx="143002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wps:txbx>
                            <wps:bodyPr wrap="square" upright="1"/>
                          </wps:wsp>
                        </a:graphicData>
                      </a:graphic>
                    </wp:anchor>
                  </w:drawing>
                </mc:Choice>
                <mc:Fallback>
                  <w:pict>
                    <v:shape id="_x0000_s1026" o:spid="_x0000_s1026" o:spt="61" type="#_x0000_t61" style="position:absolute;left:0pt;margin-left:92pt;margin-top:74.7pt;height:25.6pt;width:57.1pt;z-index:251660288;mso-width-relative:page;mso-height-relative:page;" filled="f" stroked="t" coordsize="21600,21600" o:gfxdata="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8iutgAAAALAQAADwAA&#10;AAAAAAABACAAAAAiAAAAZHJzL2Rvd25yZXYueG1sUEsBAhQAFAAAAAgAh07iQIzrVL5PAgAAjQQA&#10;AA4AAAAAAAAAAQAgAAAAJwEAAGRycy9lMm9Eb2MueG1sUEsFBgAAAAAGAAYAWQEAAOgFAAAAAA==&#10;" adj="20670,64666">
                      <v:fill on="f" focussize="0,0"/>
                      <v:stroke weight="1.25pt"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1798320</wp:posOffset>
                      </wp:positionH>
                      <wp:positionV relativeFrom="paragraph">
                        <wp:posOffset>1877060</wp:posOffset>
                      </wp:positionV>
                      <wp:extent cx="171450" cy="180975"/>
                      <wp:effectExtent l="21590" t="24130" r="35560" b="23495"/>
                      <wp:wrapNone/>
                      <wp:docPr id="1" name="自选图形 15"/>
                      <wp:cNvGraphicFramePr/>
                      <a:graphic xmlns:a="http://schemas.openxmlformats.org/drawingml/2006/main">
                        <a:graphicData uri="http://schemas.microsoft.com/office/word/2010/wordprocessingShape">
                          <wps:wsp>
                            <wps:cNvSpPr/>
                            <wps:spPr>
                              <a:xfrm>
                                <a:off x="0" y="0"/>
                                <a:ext cx="171450" cy="180975"/>
                              </a:xfrm>
                              <a:prstGeom prst="star4">
                                <a:avLst>
                                  <a:gd name="adj" fmla="val 12500"/>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15" o:spid="_x0000_s1026" o:spt="187" type="#_x0000_t187" style="position:absolute;left:0pt;margin-left:141.6pt;margin-top:147.8pt;height:14.25pt;width:13.5pt;z-index:251659264;mso-width-relative:page;mso-height-relative:page;" fillcolor="#FFFFFF" filled="t" stroked="t" coordsize="21600,21600" o:gfxdata="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&#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9nz5toAAAALAQAADwAAAAAAAAABACAAAAAiAAAA&#10;ZHJzL2Rvd25yZXYueG1sUEsBAhQAFAAAAAgAh07iQD1pq+E+AgAAhAQAAA4AAAAAAAAAAQAgAAAA&#10;KQEAAGRycy9lMm9Eb2MueG1sUEsFBgAAAAAGAAYAWQEAANkFAAAAAA==&#10;" adj="8100">
                      <v:fill on="t" focussize="0,0"/>
                      <v:stroke color="#000000" joinstyle="miter"/>
                      <v:imagedata o:title=""/>
                      <o:lock v:ext="edit" aspectratio="f"/>
                    </v:shape>
                  </w:pict>
                </mc:Fallback>
              </mc:AlternateContent>
            </w:r>
            <w:r>
              <w:rPr>
                <w:rFonts w:ascii="Times New Roman" w:hAnsi="Times New Roman" w:eastAsia="仿宋_GB2312" w:cs="Times New Roman"/>
                <w:spacing w:val="-4"/>
                <w:sz w:val="28"/>
                <w:szCs w:val="28"/>
              </w:rPr>
              <w:drawing>
                <wp:inline distT="0" distB="0" distL="114300" distR="114300">
                  <wp:extent cx="4642485" cy="3279775"/>
                  <wp:effectExtent l="0" t="0" r="5715" b="15875"/>
                  <wp:docPr id="7" name="图片 27"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G:\1\达州成果\现阶段成果\达州5月出图\生态保护红线.jpg"/>
                          <pic:cNvPicPr>
                            <a:picLocks noChangeAspect="1"/>
                          </pic:cNvPicPr>
                        </pic:nvPicPr>
                        <pic:blipFill>
                          <a:blip r:embed="rId10"/>
                          <a:stretch>
                            <a:fillRect/>
                          </a:stretch>
                        </pic:blipFill>
                        <pic:spPr>
                          <a:xfrm>
                            <a:off x="0" y="0"/>
                            <a:ext cx="4642485" cy="3279775"/>
                          </a:xfrm>
                          <a:prstGeom prst="rect">
                            <a:avLst/>
                          </a:prstGeom>
                          <a:noFill/>
                          <a:ln>
                            <a:noFill/>
                          </a:ln>
                        </pic:spPr>
                      </pic:pic>
                    </a:graphicData>
                  </a:graphic>
                </wp:inline>
              </w:drawing>
            </w:r>
          </w:p>
          <w:p>
            <w:pPr>
              <w:pStyle w:val="9"/>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jc w:val="center"/>
              <w:textAlignment w:val="auto"/>
              <w:rPr>
                <w:rFonts w:hint="default" w:ascii="Times New Roman" w:hAnsi="Times New Roman" w:eastAsia="黑体" w:cs="黑体"/>
                <w:kern w:val="2"/>
                <w:sz w:val="21"/>
                <w:szCs w:val="21"/>
                <w:lang w:val="en-US" w:eastAsia="zh-CN" w:bidi="ar-SA"/>
              </w:rPr>
            </w:pPr>
            <w:r>
              <w:rPr>
                <w:rFonts w:hint="eastAsia" w:ascii="Times New Roman" w:hAnsi="Times New Roman" w:eastAsia="黑体" w:cs="黑体"/>
                <w:kern w:val="2"/>
                <w:sz w:val="21"/>
                <w:szCs w:val="21"/>
                <w:lang w:val="en-US" w:eastAsia="zh-CN" w:bidi="ar-SA"/>
              </w:rPr>
              <w:t>图1-3  项目与达州市生态红线分布位置关系图</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bCs/>
                <w:color w:val="auto"/>
                <w:sz w:val="24"/>
                <w:szCs w:val="24"/>
                <w:highlight w:val="none"/>
              </w:rPr>
            </w:pPr>
            <w:r>
              <w:rPr>
                <w:rFonts w:hint="eastAsia" w:ascii="Times New Roman" w:hAnsi="Times New Roman" w:eastAsia="宋体" w:cs="Times New Roman"/>
                <w:color w:val="auto"/>
                <w:sz w:val="24"/>
                <w:szCs w:val="24"/>
                <w:lang w:val="en-US" w:eastAsia="zh-CN"/>
              </w:rPr>
              <w:t>由上图可知，本项目</w:t>
            </w:r>
            <w:r>
              <w:rPr>
                <w:rFonts w:hint="eastAsia" w:ascii="宋体" w:hAnsi="宋体" w:eastAsia="宋体" w:cs="宋体"/>
                <w:color w:val="000000"/>
                <w:kern w:val="0"/>
                <w:sz w:val="24"/>
                <w:szCs w:val="24"/>
                <w:lang w:val="en-US" w:eastAsia="zh-CN" w:bidi="ar"/>
              </w:rPr>
              <w:t>不在饮用水源保护区、自然保护区、风景名胜区、湿地公园、地质公园等各类生态保护重要区域和已划定的达州市生态保护红线范围内。</w:t>
            </w:r>
            <w:r>
              <w:rPr>
                <w:rFonts w:hint="default" w:ascii="Times New Roman" w:hAnsi="Times New Roman" w:eastAsia="宋体" w:cs="Times New Roman"/>
                <w:color w:val="auto"/>
                <w:sz w:val="24"/>
                <w:szCs w:val="24"/>
              </w:rPr>
              <w:t>选址与《</w:t>
            </w:r>
            <w:r>
              <w:rPr>
                <w:rFonts w:hint="eastAsia" w:ascii="Times New Roman" w:hAnsi="Times New Roman" w:eastAsia="宋体" w:cs="Times New Roman"/>
                <w:color w:val="auto"/>
                <w:sz w:val="24"/>
                <w:szCs w:val="24"/>
                <w:lang w:val="en-US" w:eastAsia="zh-CN"/>
              </w:rPr>
              <w:t>长江经济带战略环境评价四川省达州市“三线一单”生态环境分区管控优化完善研究报告</w:t>
            </w:r>
            <w:r>
              <w:rPr>
                <w:rFonts w:hint="default" w:ascii="Times New Roman" w:hAnsi="Times New Roman" w:eastAsia="宋体" w:cs="Times New Roman"/>
                <w:color w:val="auto"/>
                <w:sz w:val="24"/>
                <w:szCs w:val="24"/>
              </w:rPr>
              <w:t>》是相协调的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项目不涉及生态红线。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③</w:t>
            </w:r>
            <w:r>
              <w:rPr>
                <w:rFonts w:hint="default" w:ascii="Times New Roman" w:hAnsi="Times New Roman" w:eastAsia="宋体" w:cs="Times New Roman"/>
                <w:b/>
                <w:bCs/>
                <w:color w:val="auto"/>
                <w:sz w:val="24"/>
                <w:szCs w:val="24"/>
                <w:lang w:val="en-US" w:eastAsia="zh-CN"/>
              </w:rPr>
              <w:t>生态环境准入清单符合性分析</w:t>
            </w:r>
          </w:p>
          <w:p>
            <w:pPr>
              <w:pStyle w:val="9"/>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项目生态环境准入清单见下表。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黑体" w:cs="Times New Roman"/>
                <w:color w:val="auto"/>
                <w:szCs w:val="21"/>
              </w:rPr>
              <w:t>表</w:t>
            </w:r>
            <w:r>
              <w:rPr>
                <w:rFonts w:hint="default" w:ascii="Times New Roman" w:hAnsi="Times New Roman" w:eastAsia="黑体" w:cs="Times New Roman"/>
                <w:color w:val="auto"/>
                <w:szCs w:val="21"/>
                <w:lang w:val="en-US" w:eastAsia="zh-CN"/>
              </w:rPr>
              <w:t>1-</w:t>
            </w:r>
            <w:r>
              <w:rPr>
                <w:rFonts w:hint="eastAsia" w:ascii="Times New Roman" w:hAnsi="Times New Roman" w:eastAsia="黑体" w:cs="Times New Roman"/>
                <w:color w:val="auto"/>
                <w:szCs w:val="21"/>
                <w:lang w:val="en-US" w:eastAsia="zh-CN"/>
              </w:rPr>
              <w:t>5</w:t>
            </w:r>
            <w:r>
              <w:rPr>
                <w:rFonts w:hint="default" w:ascii="Times New Roman" w:hAnsi="Times New Roman" w:eastAsia="黑体" w:cs="Times New Roman"/>
                <w:color w:val="auto"/>
                <w:szCs w:val="21"/>
                <w:lang w:val="en-US" w:eastAsia="zh-CN"/>
              </w:rPr>
              <w:t xml:space="preserve">  生态环境</w:t>
            </w:r>
            <w:r>
              <w:rPr>
                <w:rFonts w:hint="default" w:ascii="Times New Roman" w:hAnsi="Times New Roman" w:eastAsia="黑体" w:cs="Times New Roman"/>
                <w:color w:val="auto"/>
                <w:szCs w:val="21"/>
              </w:rPr>
              <w:t>准入清单</w:t>
            </w:r>
          </w:p>
          <w:tbl>
            <w:tblPr>
              <w:tblStyle w:val="25"/>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90"/>
              <w:gridCol w:w="495"/>
              <w:gridCol w:w="420"/>
              <w:gridCol w:w="4062"/>
              <w:gridCol w:w="1432"/>
              <w:gridCol w:w="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blHeader/>
                <w:jc w:val="center"/>
              </w:trPr>
              <w:tc>
                <w:tcPr>
                  <w:tcW w:w="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环境管控单元编码</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环境管控单元名称</w:t>
                  </w:r>
                </w:p>
              </w:tc>
              <w:tc>
                <w:tcPr>
                  <w:tcW w:w="495"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pacing w:val="-8"/>
                      <w:sz w:val="21"/>
                      <w:szCs w:val="21"/>
                    </w:rPr>
                  </w:pPr>
                  <w:r>
                    <w:rPr>
                      <w:rFonts w:hint="default" w:ascii="Times New Roman" w:hAnsi="Times New Roman" w:eastAsia="宋体" w:cs="Times New Roman"/>
                      <w:b/>
                      <w:bCs/>
                      <w:kern w:val="0"/>
                      <w:sz w:val="21"/>
                      <w:szCs w:val="21"/>
                    </w:rPr>
                    <w:t>管控单元分类</w:t>
                  </w: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管控要求</w:t>
                  </w:r>
                </w:p>
              </w:tc>
              <w:tc>
                <w:tcPr>
                  <w:tcW w:w="1432"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项目对应情况介绍</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72" w:type="dxa"/>
                  <w:vMerge w:val="restart"/>
                  <w:tcBorders>
                    <w:top w:val="nil"/>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rPr>
                    <w:t>ZH</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eastAsia" w:ascii="Times New Roman" w:hAnsi="Times New Roman" w:eastAsia="宋体" w:cs="Times New Roman"/>
                      <w:spacing w:val="5"/>
                      <w:sz w:val="21"/>
                      <w:szCs w:val="21"/>
                      <w:lang w:val="en-US" w:eastAsia="zh-CN"/>
                    </w:rPr>
                    <w:t>2</w:t>
                  </w:r>
                  <w:r>
                    <w:rPr>
                      <w:rFonts w:hint="default" w:ascii="Times New Roman" w:hAnsi="Times New Roman" w:eastAsia="宋体" w:cs="Times New Roman"/>
                      <w:spacing w:val="4"/>
                      <w:sz w:val="21"/>
                      <w:szCs w:val="21"/>
                    </w:rPr>
                    <w:t>0001</w:t>
                  </w:r>
                </w:p>
              </w:tc>
              <w:tc>
                <w:tcPr>
                  <w:tcW w:w="690" w:type="dxa"/>
                  <w:vMerge w:val="restart"/>
                  <w:tcBorders>
                    <w:top w:val="nil"/>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pacing w:val="9"/>
                      <w:sz w:val="21"/>
                      <w:szCs w:val="21"/>
                    </w:rPr>
                    <w:t>通</w:t>
                  </w:r>
                  <w:r>
                    <w:rPr>
                      <w:rFonts w:hint="default" w:ascii="Times New Roman" w:hAnsi="Times New Roman" w:eastAsia="宋体" w:cs="Times New Roman"/>
                      <w:spacing w:val="8"/>
                      <w:sz w:val="21"/>
                      <w:szCs w:val="21"/>
                    </w:rPr>
                    <w:t>川区中心城</w:t>
                  </w:r>
                  <w:r>
                    <w:rPr>
                      <w:rFonts w:hint="default" w:ascii="Times New Roman" w:hAnsi="Times New Roman" w:eastAsia="宋体" w:cs="Times New Roman"/>
                      <w:sz w:val="21"/>
                      <w:szCs w:val="21"/>
                    </w:rPr>
                    <w:t xml:space="preserve"> 区</w:t>
                  </w:r>
                </w:p>
              </w:tc>
              <w:tc>
                <w:tcPr>
                  <w:tcW w:w="495" w:type="dxa"/>
                  <w:vMerge w:val="restart"/>
                  <w:tcBorders>
                    <w:top w:val="nil"/>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sz w:val="21"/>
                      <w:szCs w:val="21"/>
                      <w:lang w:val="en-US" w:eastAsia="zh-CN"/>
                    </w:rPr>
                  </w:pPr>
                  <w:r>
                    <w:rPr>
                      <w:rFonts w:ascii="Times New Roman" w:hAnsi="Times New Roman" w:eastAsia="宋体" w:cs="Times New Roman"/>
                      <w:b w:val="0"/>
                      <w:bCs/>
                      <w:color w:val="auto"/>
                      <w:sz w:val="21"/>
                      <w:szCs w:val="21"/>
                    </w:rPr>
                    <w:t>普 适 性 清 单 管 控 要 求</w:t>
                  </w:r>
                </w:p>
              </w:tc>
              <w:tc>
                <w:tcPr>
                  <w:tcW w:w="42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空间布局约束</w:t>
                  </w:r>
                </w:p>
              </w:tc>
              <w:tc>
                <w:tcPr>
                  <w:tcW w:w="4062" w:type="dxa"/>
                  <w:tcBorders>
                    <w:top w:val="single" w:color="auto" w:sz="4" w:space="0"/>
                    <w:left w:val="nil"/>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5"/>
                      <w:sz w:val="21"/>
                      <w:szCs w:val="21"/>
                    </w:rPr>
                    <w:t>1</w:t>
                  </w:r>
                  <w:r>
                    <w:rPr>
                      <w:rFonts w:hint="eastAsia" w:ascii="Times New Roman" w:hAnsi="Times New Roman" w:eastAsia="宋体" w:cs="Times New Roman"/>
                      <w:b/>
                      <w:bCs/>
                      <w:spacing w:val="15"/>
                      <w:sz w:val="21"/>
                      <w:szCs w:val="21"/>
                      <w:lang w:eastAsia="zh-CN"/>
                    </w:rPr>
                    <w:t>）</w:t>
                  </w:r>
                  <w:r>
                    <w:rPr>
                      <w:rFonts w:hint="default" w:ascii="Times New Roman" w:hAnsi="Times New Roman" w:eastAsia="宋体" w:cs="Times New Roman"/>
                      <w:b/>
                      <w:bCs/>
                      <w:spacing w:val="8"/>
                      <w:sz w:val="21"/>
                      <w:szCs w:val="21"/>
                    </w:rPr>
                    <w:t>禁止开发建设活动的要求</w:t>
                  </w:r>
                </w:p>
                <w:p>
                  <w:pPr>
                    <w:keepNext w:val="0"/>
                    <w:keepLines w:val="0"/>
                    <w:pageBreakBefore w:val="0"/>
                    <w:widowControl/>
                    <w:kinsoku w:val="0"/>
                    <w:wordWrap/>
                    <w:overflowPunct/>
                    <w:topLinePunct w:val="0"/>
                    <w:autoSpaceDE w:val="0"/>
                    <w:autoSpaceDN w:val="0"/>
                    <w:bidi w:val="0"/>
                    <w:adjustRightInd w:val="0"/>
                    <w:snapToGrid w:val="0"/>
                    <w:spacing w:line="247" w:lineRule="auto"/>
                    <w:ind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禁</w:t>
                  </w:r>
                  <w:r>
                    <w:rPr>
                      <w:rFonts w:hint="default" w:ascii="Times New Roman" w:hAnsi="Times New Roman" w:eastAsia="宋体" w:cs="Times New Roman"/>
                      <w:spacing w:val="8"/>
                      <w:sz w:val="21"/>
                      <w:szCs w:val="21"/>
                    </w:rPr>
                    <w:t>止在长江干支流岸线一公里范围内新建、扩建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化</w:t>
                  </w:r>
                  <w:r>
                    <w:rPr>
                      <w:rFonts w:hint="default" w:ascii="Times New Roman" w:hAnsi="Times New Roman" w:eastAsia="宋体" w:cs="Times New Roman"/>
                      <w:spacing w:val="11"/>
                      <w:sz w:val="21"/>
                      <w:szCs w:val="21"/>
                    </w:rPr>
                    <w:t>工</w:t>
                  </w:r>
                  <w:r>
                    <w:rPr>
                      <w:rFonts w:hint="default" w:ascii="Times New Roman" w:hAnsi="Times New Roman" w:eastAsia="宋体" w:cs="Times New Roman"/>
                      <w:spacing w:val="9"/>
                      <w:sz w:val="21"/>
                      <w:szCs w:val="21"/>
                    </w:rPr>
                    <w:t>园区和化工项目。禁止在长江干流岸线三公里</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范</w:t>
                  </w:r>
                  <w:r>
                    <w:rPr>
                      <w:rFonts w:hint="default" w:ascii="Times New Roman" w:hAnsi="Times New Roman" w:eastAsia="宋体" w:cs="Times New Roman"/>
                      <w:spacing w:val="11"/>
                      <w:sz w:val="21"/>
                      <w:szCs w:val="21"/>
                    </w:rPr>
                    <w:t>围</w:t>
                  </w:r>
                  <w:r>
                    <w:rPr>
                      <w:rFonts w:hint="default" w:ascii="Times New Roman" w:hAnsi="Times New Roman" w:eastAsia="宋体" w:cs="Times New Roman"/>
                      <w:spacing w:val="9"/>
                      <w:sz w:val="21"/>
                      <w:szCs w:val="21"/>
                    </w:rPr>
                    <w:t>内和重要支流岸线一公里范围内新建、改建、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扩</w:t>
                  </w:r>
                  <w:r>
                    <w:rPr>
                      <w:rFonts w:hint="default" w:ascii="Times New Roman" w:hAnsi="Times New Roman" w:eastAsia="宋体" w:cs="Times New Roman"/>
                      <w:spacing w:val="11"/>
                      <w:sz w:val="21"/>
                      <w:szCs w:val="21"/>
                    </w:rPr>
                    <w:t>建</w:t>
                  </w:r>
                  <w:r>
                    <w:rPr>
                      <w:rFonts w:hint="default" w:ascii="Times New Roman" w:hAnsi="Times New Roman" w:eastAsia="宋体" w:cs="Times New Roman"/>
                      <w:spacing w:val="9"/>
                      <w:sz w:val="21"/>
                      <w:szCs w:val="21"/>
                    </w:rPr>
                    <w:t>尾矿库；但是以提升安全、生态环境保护水平</w:t>
                  </w:r>
                  <w:r>
                    <w:rPr>
                      <w:rFonts w:hint="default" w:ascii="Times New Roman" w:hAnsi="Times New Roman" w:eastAsia="宋体" w:cs="Times New Roman"/>
                      <w:spacing w:val="13"/>
                      <w:sz w:val="21"/>
                      <w:szCs w:val="21"/>
                    </w:rPr>
                    <w:t>为</w:t>
                  </w:r>
                  <w:r>
                    <w:rPr>
                      <w:rFonts w:hint="default" w:ascii="Times New Roman" w:hAnsi="Times New Roman" w:eastAsia="宋体" w:cs="Times New Roman"/>
                      <w:spacing w:val="7"/>
                      <w:sz w:val="21"/>
                      <w:szCs w:val="21"/>
                    </w:rPr>
                    <w:t>目的的改建除外。</w:t>
                  </w:r>
                </w:p>
                <w:p>
                  <w:pPr>
                    <w:keepNext w:val="0"/>
                    <w:keepLines w:val="0"/>
                    <w:pageBreakBefore w:val="0"/>
                    <w:widowControl/>
                    <w:kinsoku w:val="0"/>
                    <w:wordWrap/>
                    <w:overflowPunct/>
                    <w:topLinePunct w:val="0"/>
                    <w:autoSpaceDE w:val="0"/>
                    <w:autoSpaceDN w:val="0"/>
                    <w:bidi w:val="0"/>
                    <w:adjustRightInd w:val="0"/>
                    <w:snapToGrid w:val="0"/>
                    <w:ind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8"/>
                      <w:sz w:val="21"/>
                      <w:szCs w:val="21"/>
                    </w:rPr>
                    <w:t>原则上禁止新建工业企业 (新建工业企业原则上</w:t>
                  </w:r>
                  <w:r>
                    <w:rPr>
                      <w:rFonts w:hint="default" w:ascii="Times New Roman" w:hAnsi="Times New Roman" w:eastAsia="宋体" w:cs="Times New Roman"/>
                      <w:spacing w:val="14"/>
                      <w:sz w:val="21"/>
                      <w:szCs w:val="21"/>
                    </w:rPr>
                    <w:t>都</w:t>
                  </w:r>
                  <w:r>
                    <w:rPr>
                      <w:rFonts w:hint="default" w:ascii="Times New Roman" w:hAnsi="Times New Roman" w:eastAsia="宋体" w:cs="Times New Roman"/>
                      <w:spacing w:val="7"/>
                      <w:sz w:val="21"/>
                      <w:szCs w:val="21"/>
                    </w:rPr>
                    <w:t>应在工业园区内建设) 。</w:t>
                  </w:r>
                </w:p>
                <w:p>
                  <w:pPr>
                    <w:keepNext w:val="0"/>
                    <w:keepLines w:val="0"/>
                    <w:pageBreakBefore w:val="0"/>
                    <w:widowControl/>
                    <w:kinsoku w:val="0"/>
                    <w:wordWrap/>
                    <w:overflowPunct/>
                    <w:topLinePunct w:val="0"/>
                    <w:autoSpaceDE w:val="0"/>
                    <w:autoSpaceDN w:val="0"/>
                    <w:bidi w:val="0"/>
                    <w:adjustRightInd w:val="0"/>
                    <w:snapToGrid w:val="0"/>
                    <w:spacing w:line="246"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禁</w:t>
                  </w:r>
                  <w:r>
                    <w:rPr>
                      <w:rFonts w:hint="default" w:ascii="Times New Roman" w:hAnsi="Times New Roman" w:eastAsia="宋体" w:cs="Times New Roman"/>
                      <w:spacing w:val="8"/>
                      <w:sz w:val="21"/>
                      <w:szCs w:val="21"/>
                    </w:rPr>
                    <w:t>止在居民区、学校、医疗和养老机构等周边新</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建</w:t>
                  </w:r>
                  <w:r>
                    <w:rPr>
                      <w:rFonts w:hint="default" w:ascii="Times New Roman" w:hAnsi="Times New Roman" w:eastAsia="宋体" w:cs="Times New Roman"/>
                      <w:spacing w:val="12"/>
                      <w:sz w:val="21"/>
                      <w:szCs w:val="21"/>
                    </w:rPr>
                    <w:t>有</w:t>
                  </w:r>
                  <w:r>
                    <w:rPr>
                      <w:rFonts w:hint="default" w:ascii="Times New Roman" w:hAnsi="Times New Roman" w:eastAsia="宋体" w:cs="Times New Roman"/>
                      <w:spacing w:val="9"/>
                      <w:sz w:val="21"/>
                      <w:szCs w:val="21"/>
                    </w:rPr>
                    <w:t>色金属冶炼、焦化、化工、铅蓄电池制造等行</w:t>
                  </w:r>
                  <w:r>
                    <w:rPr>
                      <w:rFonts w:hint="default" w:ascii="Times New Roman" w:hAnsi="Times New Roman" w:eastAsia="宋体" w:cs="Times New Roman"/>
                      <w:spacing w:val="18"/>
                      <w:sz w:val="21"/>
                      <w:szCs w:val="21"/>
                    </w:rPr>
                    <w:t>业</w:t>
                  </w:r>
                  <w:r>
                    <w:rPr>
                      <w:rFonts w:hint="default" w:ascii="Times New Roman" w:hAnsi="Times New Roman" w:eastAsia="宋体" w:cs="Times New Roman"/>
                      <w:spacing w:val="12"/>
                      <w:sz w:val="21"/>
                      <w:szCs w:val="21"/>
                    </w:rPr>
                    <w:t>企</w:t>
                  </w:r>
                  <w:r>
                    <w:rPr>
                      <w:rFonts w:hint="default" w:ascii="Times New Roman" w:hAnsi="Times New Roman" w:eastAsia="宋体" w:cs="Times New Roman"/>
                      <w:spacing w:val="9"/>
                      <w:sz w:val="21"/>
                      <w:szCs w:val="21"/>
                    </w:rPr>
                    <w:t>业，有序搬迁或依法关闭对土壤造成严重污染</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的现有企业</w:t>
                  </w:r>
                  <w:r>
                    <w:rPr>
                      <w:rFonts w:hint="default" w:ascii="Times New Roman" w:hAnsi="Times New Roman" w:eastAsia="宋体" w:cs="Times New Roman"/>
                      <w:spacing w:val="6"/>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1" w:lineRule="auto"/>
                    <w:ind w:left="0" w:right="0" w:firstLine="18"/>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禁</w:t>
                  </w:r>
                  <w:r>
                    <w:rPr>
                      <w:rFonts w:hint="default" w:ascii="Times New Roman" w:hAnsi="Times New Roman" w:eastAsia="宋体" w:cs="Times New Roman"/>
                      <w:spacing w:val="8"/>
                      <w:sz w:val="21"/>
                      <w:szCs w:val="21"/>
                    </w:rPr>
                    <w:t>止在长江流域河湖管理范围内倾倒、填埋、堆</w:t>
                  </w:r>
                  <w:r>
                    <w:rPr>
                      <w:rFonts w:hint="default" w:ascii="Times New Roman" w:hAnsi="Times New Roman" w:eastAsia="宋体" w:cs="Times New Roman"/>
                      <w:spacing w:val="12"/>
                      <w:sz w:val="21"/>
                      <w:szCs w:val="21"/>
                    </w:rPr>
                    <w:t>放</w:t>
                  </w:r>
                  <w:r>
                    <w:rPr>
                      <w:rFonts w:hint="default" w:ascii="Times New Roman" w:hAnsi="Times New Roman" w:eastAsia="宋体" w:cs="Times New Roman"/>
                      <w:spacing w:val="8"/>
                      <w:sz w:val="21"/>
                      <w:szCs w:val="21"/>
                    </w:rPr>
                    <w:t>、弃置、处理固体废物。</w:t>
                  </w:r>
                </w:p>
                <w:p>
                  <w:pPr>
                    <w:keepNext w:val="0"/>
                    <w:keepLines w:val="0"/>
                    <w:pageBreakBefore w:val="0"/>
                    <w:widowControl/>
                    <w:kinsoku w:val="0"/>
                    <w:wordWrap/>
                    <w:overflowPunct/>
                    <w:topLinePunct w:val="0"/>
                    <w:autoSpaceDE w:val="0"/>
                    <w:autoSpaceDN w:val="0"/>
                    <w:bidi w:val="0"/>
                    <w:adjustRightInd w:val="0"/>
                    <w:snapToGrid w:val="0"/>
                    <w:spacing w:line="229"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2</w:t>
                  </w:r>
                  <w:r>
                    <w:rPr>
                      <w:rFonts w:hint="eastAsia" w:ascii="Times New Roman" w:hAnsi="Times New Roman" w:eastAsia="宋体" w:cs="Times New Roman"/>
                      <w:b/>
                      <w:bCs/>
                      <w:spacing w:val="10"/>
                      <w:sz w:val="21"/>
                      <w:szCs w:val="21"/>
                      <w:lang w:eastAsia="zh-CN"/>
                    </w:rPr>
                    <w:t>）</w:t>
                  </w:r>
                  <w:r>
                    <w:rPr>
                      <w:rFonts w:hint="default" w:ascii="Times New Roman" w:hAnsi="Times New Roman" w:eastAsia="宋体" w:cs="Times New Roman"/>
                      <w:b/>
                      <w:bCs/>
                      <w:spacing w:val="9"/>
                      <w:sz w:val="21"/>
                      <w:szCs w:val="21"/>
                    </w:rPr>
                    <w:t>限制开发建设活动的要求</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11"/>
                      <w:sz w:val="21"/>
                      <w:szCs w:val="21"/>
                    </w:rPr>
                    <w:t>现</w:t>
                  </w:r>
                  <w:r>
                    <w:rPr>
                      <w:rFonts w:hint="default" w:ascii="Times New Roman" w:hAnsi="Times New Roman" w:eastAsia="宋体" w:cs="Times New Roman"/>
                      <w:spacing w:val="7"/>
                      <w:sz w:val="21"/>
                      <w:szCs w:val="21"/>
                    </w:rPr>
                    <w:t>有工业企业不得新增污染物排放。</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允</w:t>
                  </w:r>
                  <w:r>
                    <w:rPr>
                      <w:rFonts w:hint="default" w:ascii="Times New Roman" w:hAnsi="Times New Roman" w:eastAsia="宋体" w:cs="Times New Roman"/>
                      <w:spacing w:val="8"/>
                      <w:sz w:val="21"/>
                      <w:szCs w:val="21"/>
                    </w:rPr>
                    <w:t>许企业以提升安全、生态环境保护水平为目的</w:t>
                  </w:r>
                  <w:r>
                    <w:rPr>
                      <w:rFonts w:hint="default" w:ascii="Times New Roman" w:hAnsi="Times New Roman" w:eastAsia="宋体" w:cs="Times New Roman"/>
                      <w:spacing w:val="18"/>
                      <w:sz w:val="21"/>
                      <w:szCs w:val="21"/>
                    </w:rPr>
                    <w:t>的</w:t>
                  </w:r>
                  <w:r>
                    <w:rPr>
                      <w:rFonts w:hint="default" w:ascii="Times New Roman" w:hAnsi="Times New Roman" w:eastAsia="宋体" w:cs="Times New Roman"/>
                      <w:spacing w:val="9"/>
                      <w:sz w:val="21"/>
                      <w:szCs w:val="21"/>
                    </w:rPr>
                    <w:t>改建，引导企业结合推进新型城镇化、产业结构</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9"/>
                      <w:sz w:val="21"/>
                      <w:szCs w:val="21"/>
                    </w:rPr>
                    <w:t>调整和化解过剩产能等，退城入园，有序搬迁</w:t>
                  </w:r>
                  <w:r>
                    <w:rPr>
                      <w:rFonts w:hint="default" w:ascii="Times New Roman" w:hAnsi="Times New Roman" w:eastAsia="宋体" w:cs="Times New Roman"/>
                      <w:spacing w:val="7"/>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6" w:lineRule="auto"/>
                    <w:ind w:left="0" w:right="0" w:firstLine="1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严</w:t>
                  </w:r>
                  <w:r>
                    <w:rPr>
                      <w:rFonts w:hint="default" w:ascii="Times New Roman" w:hAnsi="Times New Roman" w:eastAsia="宋体" w:cs="Times New Roman"/>
                      <w:spacing w:val="8"/>
                      <w:sz w:val="21"/>
                      <w:szCs w:val="21"/>
                    </w:rPr>
                    <w:t>格控制在城镇空间范围内新布设工业园区。若</w:t>
                  </w:r>
                  <w:r>
                    <w:rPr>
                      <w:rFonts w:hint="default" w:ascii="Times New Roman" w:hAnsi="Times New Roman" w:eastAsia="宋体" w:cs="Times New Roman"/>
                      <w:spacing w:val="18"/>
                      <w:sz w:val="21"/>
                      <w:szCs w:val="21"/>
                    </w:rPr>
                    <w:t>新</w:t>
                  </w:r>
                  <w:r>
                    <w:rPr>
                      <w:rFonts w:hint="default" w:ascii="Times New Roman" w:hAnsi="Times New Roman" w:eastAsia="宋体" w:cs="Times New Roman"/>
                      <w:spacing w:val="10"/>
                      <w:sz w:val="21"/>
                      <w:szCs w:val="21"/>
                    </w:rPr>
                    <w:t>布</w:t>
                  </w:r>
                  <w:r>
                    <w:rPr>
                      <w:rFonts w:hint="default" w:ascii="Times New Roman" w:hAnsi="Times New Roman" w:eastAsia="宋体" w:cs="Times New Roman"/>
                      <w:spacing w:val="9"/>
                      <w:sz w:val="21"/>
                      <w:szCs w:val="21"/>
                    </w:rPr>
                    <w:t>局工业园区，应符合达州市国土空间规划，并</w:t>
                  </w:r>
                  <w:r>
                    <w:rPr>
                      <w:rFonts w:hint="default" w:ascii="Times New Roman" w:hAnsi="Times New Roman" w:eastAsia="宋体" w:cs="Times New Roman"/>
                      <w:spacing w:val="18"/>
                      <w:sz w:val="21"/>
                      <w:szCs w:val="21"/>
                    </w:rPr>
                    <w:t>结</w:t>
                  </w:r>
                  <w:r>
                    <w:rPr>
                      <w:rFonts w:hint="default" w:ascii="Times New Roman" w:hAnsi="Times New Roman" w:eastAsia="宋体" w:cs="Times New Roman"/>
                      <w:spacing w:val="10"/>
                      <w:sz w:val="21"/>
                      <w:szCs w:val="21"/>
                    </w:rPr>
                    <w:t>合</w:t>
                  </w:r>
                  <w:r>
                    <w:rPr>
                      <w:rFonts w:hint="default" w:ascii="Times New Roman" w:hAnsi="Times New Roman" w:eastAsia="宋体" w:cs="Times New Roman"/>
                      <w:spacing w:val="9"/>
                      <w:sz w:val="21"/>
                      <w:szCs w:val="21"/>
                    </w:rPr>
                    <w:t>区域环境特点、三线成果、园区产业类别，充</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1"/>
                      <w:sz w:val="21"/>
                      <w:szCs w:val="21"/>
                    </w:rPr>
                    <w:t>分</w:t>
                  </w:r>
                  <w:r>
                    <w:rPr>
                      <w:rFonts w:hint="default" w:ascii="Times New Roman" w:hAnsi="Times New Roman" w:eastAsia="宋体" w:cs="Times New Roman"/>
                      <w:spacing w:val="8"/>
                      <w:sz w:val="21"/>
                      <w:szCs w:val="21"/>
                    </w:rPr>
                    <w:t>论证选址的环境合理性。</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－严格控制</w:t>
                  </w:r>
                  <w:r>
                    <w:rPr>
                      <w:rFonts w:hint="default" w:ascii="Times New Roman" w:hAnsi="Times New Roman" w:eastAsia="宋体" w:cs="Times New Roman"/>
                      <w:spacing w:val="4"/>
                      <w:sz w:val="21"/>
                      <w:szCs w:val="21"/>
                    </w:rPr>
                    <w:t>新</w:t>
                  </w:r>
                  <w:r>
                    <w:rPr>
                      <w:rFonts w:hint="default" w:ascii="Times New Roman" w:hAnsi="Times New Roman" w:eastAsia="宋体" w:cs="Times New Roman"/>
                      <w:spacing w:val="3"/>
                      <w:sz w:val="21"/>
                      <w:szCs w:val="21"/>
                    </w:rPr>
                    <w:t>增建设用地规模，法定城乡规划除外。</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8"/>
                      <w:sz w:val="21"/>
                      <w:szCs w:val="21"/>
                    </w:rPr>
                    <w:t>3</w:t>
                  </w:r>
                  <w:r>
                    <w:rPr>
                      <w:rFonts w:hint="eastAsia" w:ascii="Times New Roman" w:hAnsi="Times New Roman" w:eastAsia="宋体" w:cs="Times New Roman"/>
                      <w:b/>
                      <w:bCs/>
                      <w:spacing w:val="18"/>
                      <w:sz w:val="21"/>
                      <w:szCs w:val="21"/>
                      <w:lang w:eastAsia="zh-CN"/>
                    </w:rPr>
                    <w:t>）</w:t>
                  </w:r>
                  <w:r>
                    <w:rPr>
                      <w:rFonts w:hint="default" w:ascii="Times New Roman" w:hAnsi="Times New Roman" w:eastAsia="宋体" w:cs="Times New Roman"/>
                      <w:b/>
                      <w:bCs/>
                      <w:spacing w:val="9"/>
                      <w:sz w:val="21"/>
                      <w:szCs w:val="21"/>
                    </w:rPr>
                    <w:t>不符合空间布局要求活动的退出要求</w:t>
                  </w:r>
                </w:p>
                <w:p>
                  <w:pPr>
                    <w:keepNext w:val="0"/>
                    <w:keepLines w:val="0"/>
                    <w:pageBreakBefore w:val="0"/>
                    <w:widowControl/>
                    <w:kinsoku w:val="0"/>
                    <w:wordWrap/>
                    <w:overflowPunct/>
                    <w:topLinePunct w:val="0"/>
                    <w:autoSpaceDE w:val="0"/>
                    <w:autoSpaceDN w:val="0"/>
                    <w:bidi w:val="0"/>
                    <w:adjustRightInd w:val="0"/>
                    <w:snapToGrid w:val="0"/>
                    <w:spacing w:line="229"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7"/>
                      <w:sz w:val="21"/>
                      <w:szCs w:val="21"/>
                    </w:rPr>
                    <w:t>现有工业企业适时进行有序退出。</w:t>
                  </w:r>
                </w:p>
                <w:p>
                  <w:pPr>
                    <w:keepNext w:val="0"/>
                    <w:keepLines w:val="0"/>
                    <w:pageBreakBefore w:val="0"/>
                    <w:widowControl/>
                    <w:kinsoku w:val="0"/>
                    <w:wordWrap/>
                    <w:overflowPunct/>
                    <w:topLinePunct w:val="0"/>
                    <w:autoSpaceDE w:val="0"/>
                    <w:autoSpaceDN w:val="0"/>
                    <w:bidi w:val="0"/>
                    <w:adjustRightInd w:val="0"/>
                    <w:snapToGrid w:val="0"/>
                    <w:spacing w:line="239"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按</w:t>
                  </w:r>
                  <w:r>
                    <w:rPr>
                      <w:rFonts w:hint="default" w:ascii="Times New Roman" w:hAnsi="Times New Roman" w:eastAsia="宋体" w:cs="Times New Roman"/>
                      <w:spacing w:val="8"/>
                      <w:sz w:val="21"/>
                      <w:szCs w:val="21"/>
                    </w:rPr>
                    <w:t>照相关规划和要求，清理整顿非法采砂、非法</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4"/>
                      <w:sz w:val="21"/>
                      <w:szCs w:val="21"/>
                    </w:rPr>
                    <w:t>码</w:t>
                  </w:r>
                  <w:r>
                    <w:rPr>
                      <w:rFonts w:hint="default" w:ascii="Times New Roman" w:hAnsi="Times New Roman" w:eastAsia="宋体" w:cs="Times New Roman"/>
                      <w:spacing w:val="8"/>
                      <w:sz w:val="21"/>
                      <w:szCs w:val="21"/>
                    </w:rPr>
                    <w:t>头，全面清除不合规码头。</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在</w:t>
                  </w:r>
                  <w:r>
                    <w:rPr>
                      <w:rFonts w:hint="default" w:ascii="Times New Roman" w:hAnsi="Times New Roman" w:eastAsia="宋体" w:cs="Times New Roman"/>
                      <w:spacing w:val="8"/>
                      <w:sz w:val="21"/>
                      <w:szCs w:val="21"/>
                    </w:rPr>
                    <w:t>全市范围深入开展集中整治“散乱污”工业企</w:t>
                  </w:r>
                  <w:r>
                    <w:rPr>
                      <w:rFonts w:hint="default" w:ascii="Times New Roman" w:hAnsi="Times New Roman" w:eastAsia="宋体" w:cs="Times New Roman"/>
                      <w:spacing w:val="18"/>
                      <w:sz w:val="21"/>
                      <w:szCs w:val="21"/>
                    </w:rPr>
                    <w:t>业</w:t>
                  </w:r>
                  <w:r>
                    <w:rPr>
                      <w:rFonts w:hint="default" w:ascii="Times New Roman" w:hAnsi="Times New Roman" w:eastAsia="宋体" w:cs="Times New Roman"/>
                      <w:spacing w:val="12"/>
                      <w:sz w:val="21"/>
                      <w:szCs w:val="21"/>
                    </w:rPr>
                    <w:t>，</w:t>
                  </w:r>
                  <w:r>
                    <w:rPr>
                      <w:rFonts w:hint="default" w:ascii="Times New Roman" w:hAnsi="Times New Roman" w:eastAsia="宋体" w:cs="Times New Roman"/>
                      <w:spacing w:val="9"/>
                      <w:sz w:val="21"/>
                      <w:szCs w:val="21"/>
                    </w:rPr>
                    <w:t>对不符合产业政策和规划布局的，一律责令停产</w:t>
                  </w:r>
                  <w:r>
                    <w:rPr>
                      <w:rFonts w:hint="default" w:ascii="Times New Roman" w:hAnsi="Times New Roman" w:eastAsia="宋体" w:cs="Times New Roman"/>
                      <w:spacing w:val="8"/>
                      <w:sz w:val="21"/>
                      <w:szCs w:val="21"/>
                    </w:rPr>
                    <w:t>、限期搬迁或关停。</w:t>
                  </w:r>
                </w:p>
                <w:p>
                  <w:pPr>
                    <w:keepNext w:val="0"/>
                    <w:keepLines w:val="0"/>
                    <w:pageBreakBefore w:val="0"/>
                    <w:widowControl/>
                    <w:kinsoku w:val="0"/>
                    <w:wordWrap/>
                    <w:overflowPunct/>
                    <w:topLinePunct w:val="0"/>
                    <w:autoSpaceDE w:val="0"/>
                    <w:autoSpaceDN w:val="0"/>
                    <w:bidi w:val="0"/>
                    <w:adjustRightInd w:val="0"/>
                    <w:snapToGrid w:val="0"/>
                    <w:spacing w:line="246" w:lineRule="auto"/>
                    <w:ind w:left="0" w:right="0" w:firstLine="15"/>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有</w:t>
                  </w:r>
                  <w:r>
                    <w:rPr>
                      <w:rFonts w:hint="default" w:ascii="Times New Roman" w:hAnsi="Times New Roman" w:eastAsia="宋体" w:cs="Times New Roman"/>
                      <w:spacing w:val="8"/>
                      <w:sz w:val="21"/>
                      <w:szCs w:val="21"/>
                    </w:rPr>
                    <w:t>序搬迁或依法关闭对土壤造成严重污染的现有</w:t>
                  </w:r>
                  <w:r>
                    <w:rPr>
                      <w:rFonts w:hint="default" w:ascii="Times New Roman" w:hAnsi="Times New Roman" w:eastAsia="宋体" w:cs="Times New Roman"/>
                      <w:spacing w:val="2"/>
                      <w:sz w:val="21"/>
                      <w:szCs w:val="21"/>
                    </w:rPr>
                    <w:t>企业。</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－到 2025 年，城镇人口</w:t>
                  </w:r>
                  <w:r>
                    <w:rPr>
                      <w:rFonts w:hint="default" w:ascii="Times New Roman" w:hAnsi="Times New Roman" w:eastAsia="宋体" w:cs="Times New Roman"/>
                      <w:spacing w:val="1"/>
                      <w:sz w:val="21"/>
                      <w:szCs w:val="21"/>
                    </w:rPr>
                    <w:t>密集区现有不符合安全和卫</w:t>
                  </w:r>
                  <w:r>
                    <w:rPr>
                      <w:rFonts w:hint="default" w:ascii="Times New Roman" w:hAnsi="Times New Roman" w:eastAsia="宋体" w:cs="Times New Roman"/>
                      <w:spacing w:val="18"/>
                      <w:sz w:val="21"/>
                      <w:szCs w:val="21"/>
                    </w:rPr>
                    <w:t>生</w:t>
                  </w:r>
                  <w:r>
                    <w:rPr>
                      <w:rFonts w:hint="default" w:ascii="Times New Roman" w:hAnsi="Times New Roman" w:eastAsia="宋体" w:cs="Times New Roman"/>
                      <w:spacing w:val="9"/>
                      <w:sz w:val="21"/>
                      <w:szCs w:val="21"/>
                    </w:rPr>
                    <w:t>防护距离要求的危险化学品生产企业搬迁进入规</w:t>
                  </w:r>
                  <w:r>
                    <w:rPr>
                      <w:rFonts w:hint="default" w:ascii="Times New Roman" w:hAnsi="Times New Roman" w:eastAsia="宋体" w:cs="Times New Roman"/>
                      <w:spacing w:val="8"/>
                      <w:sz w:val="21"/>
                      <w:szCs w:val="21"/>
                    </w:rPr>
                    <w:t>范化工园区或关闭退出</w:t>
                  </w:r>
                  <w:r>
                    <w:rPr>
                      <w:rFonts w:hint="default" w:ascii="Times New Roman" w:hAnsi="Times New Roman" w:eastAsia="宋体" w:cs="Times New Roman"/>
                      <w:spacing w:val="7"/>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不</w:t>
                  </w:r>
                  <w:r>
                    <w:rPr>
                      <w:rFonts w:hint="default" w:ascii="Times New Roman" w:hAnsi="Times New Roman" w:eastAsia="宋体" w:cs="Times New Roman"/>
                      <w:spacing w:val="8"/>
                      <w:sz w:val="21"/>
                      <w:szCs w:val="21"/>
                    </w:rPr>
                    <w:t>断优化长江经济带化工行业空间布局，有效控</w:t>
                  </w:r>
                  <w:r>
                    <w:rPr>
                      <w:rFonts w:hint="default" w:ascii="Times New Roman" w:hAnsi="Times New Roman" w:eastAsia="宋体" w:cs="Times New Roman"/>
                      <w:spacing w:val="18"/>
                      <w:sz w:val="21"/>
                      <w:szCs w:val="21"/>
                    </w:rPr>
                    <w:t>制</w:t>
                  </w:r>
                  <w:r>
                    <w:rPr>
                      <w:rFonts w:hint="default" w:ascii="Times New Roman" w:hAnsi="Times New Roman" w:eastAsia="宋体" w:cs="Times New Roman"/>
                      <w:spacing w:val="10"/>
                      <w:sz w:val="21"/>
                      <w:szCs w:val="21"/>
                    </w:rPr>
                    <w:t>化</w:t>
                  </w:r>
                  <w:r>
                    <w:rPr>
                      <w:rFonts w:hint="default" w:ascii="Times New Roman" w:hAnsi="Times New Roman" w:eastAsia="宋体" w:cs="Times New Roman"/>
                      <w:spacing w:val="9"/>
                      <w:sz w:val="21"/>
                      <w:szCs w:val="21"/>
                    </w:rPr>
                    <w:t>工污染。推进化工企业搬迁入园，加强化工园</w:t>
                  </w:r>
                  <w:r>
                    <w:rPr>
                      <w:rFonts w:hint="default" w:ascii="Times New Roman" w:hAnsi="Times New Roman" w:eastAsia="宋体" w:cs="Times New Roman"/>
                      <w:spacing w:val="10"/>
                      <w:sz w:val="21"/>
                      <w:szCs w:val="21"/>
                    </w:rPr>
                    <w:t>区</w:t>
                  </w:r>
                  <w:r>
                    <w:rPr>
                      <w:rFonts w:hint="default" w:ascii="Times New Roman" w:hAnsi="Times New Roman" w:eastAsia="宋体" w:cs="Times New Roman"/>
                      <w:spacing w:val="7"/>
                      <w:sz w:val="21"/>
                      <w:szCs w:val="21"/>
                    </w:rPr>
                    <w:t>基础设施建设。</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4</w:t>
                  </w:r>
                  <w:r>
                    <w:rPr>
                      <w:rFonts w:hint="eastAsia" w:ascii="Times New Roman" w:hAnsi="Times New Roman" w:eastAsia="宋体" w:cs="Times New Roman"/>
                      <w:b/>
                      <w:bCs/>
                      <w:spacing w:val="9"/>
                      <w:sz w:val="21"/>
                      <w:szCs w:val="21"/>
                      <w:lang w:eastAsia="zh-CN"/>
                    </w:rPr>
                    <w:t>）</w:t>
                  </w:r>
                  <w:r>
                    <w:rPr>
                      <w:rFonts w:hint="default" w:ascii="Times New Roman" w:hAnsi="Times New Roman" w:eastAsia="宋体" w:cs="Times New Roman"/>
                      <w:b/>
                      <w:bCs/>
                      <w:spacing w:val="9"/>
                      <w:sz w:val="21"/>
                      <w:szCs w:val="21"/>
                    </w:rPr>
                    <w:t>其他空间布局约束要</w:t>
                  </w:r>
                  <w:r>
                    <w:rPr>
                      <w:rFonts w:hint="default" w:ascii="Times New Roman" w:hAnsi="Times New Roman" w:eastAsia="宋体" w:cs="Times New Roman"/>
                      <w:b/>
                      <w:bCs/>
                      <w:spacing w:val="8"/>
                      <w:sz w:val="21"/>
                      <w:szCs w:val="21"/>
                    </w:rPr>
                    <w:t>求</w:t>
                  </w:r>
                </w:p>
                <w:p>
                  <w:pPr>
                    <w:textAlignment w:val="bottom"/>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spacing w:val="2"/>
                      <w:sz w:val="21"/>
                      <w:szCs w:val="21"/>
                    </w:rPr>
                    <w:t>暂</w:t>
                  </w:r>
                  <w:r>
                    <w:rPr>
                      <w:rFonts w:hint="default" w:ascii="Times New Roman" w:hAnsi="Times New Roman" w:eastAsia="宋体" w:cs="Times New Roman"/>
                      <w:spacing w:val="1"/>
                      <w:sz w:val="21"/>
                      <w:szCs w:val="21"/>
                    </w:rPr>
                    <w:t>无</w:t>
                  </w:r>
                  <w:r>
                    <w:rPr>
                      <w:rFonts w:hint="eastAsia" w:ascii="Times New Roman" w:hAnsi="Times New Roman" w:eastAsia="宋体" w:cs="Times New Roman"/>
                      <w:spacing w:val="1"/>
                      <w:sz w:val="21"/>
                      <w:szCs w:val="21"/>
                      <w:lang w:eastAsia="zh-CN"/>
                    </w:rPr>
                    <w:t>。</w:t>
                  </w:r>
                </w:p>
              </w:tc>
              <w:tc>
                <w:tcPr>
                  <w:tcW w:w="1432"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本项目</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spacing w:val="-14"/>
                      <w:sz w:val="21"/>
                      <w:szCs w:val="21"/>
                    </w:rPr>
                    <w:t>学校</w:t>
                  </w:r>
                  <w:r>
                    <w:rPr>
                      <w:rFonts w:hint="default" w:ascii="Times New Roman" w:hAnsi="Times New Roman" w:eastAsia="宋体" w:cs="Times New Roman"/>
                      <w:spacing w:val="-3"/>
                      <w:sz w:val="21"/>
                      <w:szCs w:val="21"/>
                    </w:rPr>
                    <w:t>项</w:t>
                  </w:r>
                  <w:r>
                    <w:rPr>
                      <w:rFonts w:hint="default" w:ascii="Times New Roman" w:hAnsi="Times New Roman" w:eastAsia="宋体" w:cs="Times New Roman"/>
                      <w:spacing w:val="-2"/>
                      <w:sz w:val="21"/>
                      <w:szCs w:val="21"/>
                    </w:rPr>
                    <w:t>目</w:t>
                  </w:r>
                  <w:r>
                    <w:rPr>
                      <w:rFonts w:hint="eastAsia" w:ascii="Times New Roman" w:hAnsi="Times New Roman" w:eastAsia="宋体" w:cs="Times New Roman"/>
                      <w:color w:val="auto"/>
                      <w:spacing w:val="-2"/>
                      <w:sz w:val="21"/>
                      <w:szCs w:val="21"/>
                      <w:lang w:eastAsia="zh-CN"/>
                    </w:rPr>
                    <w:t>（</w:t>
                  </w:r>
                  <w:r>
                    <w:rPr>
                      <w:rFonts w:ascii="宋体" w:hAnsi="宋体" w:eastAsia="宋体" w:cs="宋体"/>
                      <w:color w:val="auto"/>
                      <w:spacing w:val="2"/>
                      <w:sz w:val="21"/>
                      <w:szCs w:val="21"/>
                    </w:rPr>
                    <w:t>有化学、生物实验室的学校</w:t>
                  </w:r>
                  <w:r>
                    <w:rPr>
                      <w:rFonts w:hint="eastAsia" w:ascii="Times New Roman" w:hAnsi="Times New Roman" w:eastAsia="宋体" w:cs="Times New Roman"/>
                      <w:color w:val="auto"/>
                      <w:spacing w:val="-2"/>
                      <w:sz w:val="21"/>
                      <w:szCs w:val="21"/>
                      <w:lang w:eastAsia="zh-CN"/>
                    </w:rPr>
                    <w:t>）</w:t>
                  </w:r>
                  <w:r>
                    <w:rPr>
                      <w:rFonts w:hint="eastAsia" w:ascii="Times New Roman" w:hAnsi="Times New Roman" w:eastAsia="宋体" w:cs="Times New Roman"/>
                      <w:b w:val="0"/>
                      <w:bCs/>
                      <w:sz w:val="21"/>
                      <w:szCs w:val="21"/>
                      <w:lang w:eastAsia="zh-CN"/>
                    </w:rPr>
                    <w:t>、</w:t>
                  </w:r>
                  <w:r>
                    <w:rPr>
                      <w:rStyle w:val="65"/>
                      <w:rFonts w:hint="eastAsia" w:ascii="Times New Roman" w:hAnsi="Times New Roman" w:eastAsia="宋体" w:cs="Times New Roman"/>
                      <w:color w:val="auto"/>
                      <w:sz w:val="21"/>
                      <w:szCs w:val="21"/>
                      <w:lang w:val="en-US" w:eastAsia="zh-CN"/>
                    </w:rPr>
                    <w:t>河流改道</w:t>
                  </w:r>
                  <w:r>
                    <w:rPr>
                      <w:rStyle w:val="65"/>
                      <w:rFonts w:hint="default" w:ascii="Times New Roman" w:hAnsi="Times New Roman" w:eastAsia="宋体" w:cs="Times New Roman"/>
                      <w:color w:val="auto"/>
                      <w:sz w:val="21"/>
                      <w:szCs w:val="21"/>
                      <w:lang w:eastAsia="zh-CN"/>
                    </w:rPr>
                    <w:t>工程</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不属于禁止开发</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lang w:val="en-US" w:eastAsia="zh-CN"/>
                    </w:rPr>
                    <w:t>限制开发、</w:t>
                  </w:r>
                  <w:r>
                    <w:rPr>
                      <w:rFonts w:hint="default" w:ascii="Times New Roman" w:hAnsi="Times New Roman" w:eastAsia="宋体" w:cs="Times New Roman"/>
                      <w:b w:val="0"/>
                      <w:bCs/>
                      <w:sz w:val="21"/>
                      <w:szCs w:val="21"/>
                    </w:rPr>
                    <w:t>不符合空间布局要求等建设活动，符合要求。</w:t>
                  </w:r>
                </w:p>
              </w:tc>
              <w:tc>
                <w:tcPr>
                  <w:tcW w:w="40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sz w:val="21"/>
                      <w:szCs w:val="21"/>
                      <w:lang w:val="en-US" w:eastAsia="zh-CN"/>
                    </w:rPr>
                  </w:pPr>
                </w:p>
              </w:tc>
              <w:tc>
                <w:tcPr>
                  <w:tcW w:w="420" w:type="dxa"/>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污染物排放管控</w:t>
                  </w:r>
                </w:p>
              </w:tc>
              <w:tc>
                <w:tcPr>
                  <w:tcW w:w="4062" w:type="dxa"/>
                  <w:tcBorders>
                    <w:top w:val="single" w:color="auto" w:sz="4" w:space="0"/>
                    <w:left w:val="nil"/>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3"/>
                      <w:sz w:val="21"/>
                      <w:szCs w:val="21"/>
                    </w:rPr>
                    <w:t>1</w:t>
                  </w:r>
                  <w:r>
                    <w:rPr>
                      <w:rFonts w:hint="eastAsia" w:ascii="Times New Roman" w:hAnsi="Times New Roman" w:eastAsia="宋体" w:cs="Times New Roman"/>
                      <w:b/>
                      <w:bCs/>
                      <w:spacing w:val="13"/>
                      <w:sz w:val="21"/>
                      <w:szCs w:val="21"/>
                      <w:lang w:eastAsia="zh-CN"/>
                    </w:rPr>
                    <w:t>）</w:t>
                  </w:r>
                  <w:r>
                    <w:rPr>
                      <w:rFonts w:hint="default" w:ascii="Times New Roman" w:hAnsi="Times New Roman" w:eastAsia="宋体" w:cs="Times New Roman"/>
                      <w:b/>
                      <w:bCs/>
                      <w:spacing w:val="7"/>
                      <w:sz w:val="21"/>
                      <w:szCs w:val="21"/>
                    </w:rPr>
                    <w:t>允许排放量要求</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7"/>
                      <w:sz w:val="21"/>
                      <w:szCs w:val="21"/>
                    </w:rPr>
                    <w:t>达</w:t>
                  </w:r>
                  <w:r>
                    <w:rPr>
                      <w:rFonts w:hint="default" w:ascii="Times New Roman" w:hAnsi="Times New Roman" w:eastAsia="宋体" w:cs="Times New Roman"/>
                      <w:spacing w:val="5"/>
                      <w:sz w:val="21"/>
                      <w:szCs w:val="21"/>
                    </w:rPr>
                    <w:t>州市2025年水污染物允许排放量</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COD33136.93t ，氨氮2055. 16t ，T</w:t>
                  </w:r>
                  <w:r>
                    <w:rPr>
                      <w:rFonts w:hint="default" w:ascii="Times New Roman" w:hAnsi="Times New Roman" w:eastAsia="宋体" w:cs="Times New Roman"/>
                      <w:sz w:val="21"/>
                      <w:szCs w:val="21"/>
                    </w:rPr>
                    <w:t>P</w:t>
                  </w:r>
                  <w:r>
                    <w:rPr>
                      <w:rFonts w:hint="default" w:ascii="Times New Roman" w:hAnsi="Times New Roman" w:eastAsia="宋体" w:cs="Times New Roman"/>
                      <w:spacing w:val="-2"/>
                      <w:sz w:val="21"/>
                      <w:szCs w:val="21"/>
                    </w:rPr>
                    <w:t>252.53</w:t>
                  </w:r>
                  <w:r>
                    <w:rPr>
                      <w:rFonts w:hint="default" w:ascii="Times New Roman" w:hAnsi="Times New Roman" w:eastAsia="宋体" w:cs="Times New Roman"/>
                      <w:sz w:val="21"/>
                      <w:szCs w:val="21"/>
                    </w:rPr>
                    <w:t>t</w:t>
                  </w:r>
                  <w:r>
                    <w:rPr>
                      <w:rFonts w:hint="eastAsia" w:ascii="Times New Roman" w:hAnsi="Times New Roman" w:eastAsia="宋体" w:cs="Times New Roman"/>
                      <w:spacing w:val="-2"/>
                      <w:sz w:val="21"/>
                      <w:szCs w:val="21"/>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2</w:t>
                  </w:r>
                  <w:r>
                    <w:rPr>
                      <w:rFonts w:hint="eastAsia" w:ascii="Times New Roman" w:hAnsi="Times New Roman" w:eastAsia="宋体" w:cs="Times New Roman"/>
                      <w:b/>
                      <w:bCs/>
                      <w:spacing w:val="9"/>
                      <w:sz w:val="21"/>
                      <w:szCs w:val="21"/>
                      <w:lang w:eastAsia="zh-CN"/>
                    </w:rPr>
                    <w:t>）</w:t>
                  </w:r>
                  <w:r>
                    <w:rPr>
                      <w:rFonts w:hint="default" w:ascii="Times New Roman" w:hAnsi="Times New Roman" w:eastAsia="宋体" w:cs="Times New Roman"/>
                      <w:b/>
                      <w:bCs/>
                      <w:spacing w:val="9"/>
                      <w:sz w:val="21"/>
                      <w:szCs w:val="21"/>
                    </w:rPr>
                    <w:t>现有源提标升级改</w:t>
                  </w:r>
                  <w:r>
                    <w:rPr>
                      <w:rFonts w:hint="default" w:ascii="Times New Roman" w:hAnsi="Times New Roman" w:eastAsia="宋体" w:cs="Times New Roman"/>
                      <w:b/>
                      <w:bCs/>
                      <w:spacing w:val="8"/>
                      <w:sz w:val="21"/>
                      <w:szCs w:val="21"/>
                    </w:rPr>
                    <w:t>造</w:t>
                  </w:r>
                </w:p>
                <w:p>
                  <w:pPr>
                    <w:keepNext w:val="0"/>
                    <w:keepLines w:val="0"/>
                    <w:pageBreakBefore w:val="0"/>
                    <w:widowControl/>
                    <w:kinsoku w:val="0"/>
                    <w:wordWrap/>
                    <w:overflowPunct/>
                    <w:topLinePunct w:val="0"/>
                    <w:autoSpaceDE w:val="0"/>
                    <w:autoSpaceDN w:val="0"/>
                    <w:bidi w:val="0"/>
                    <w:adjustRightInd w:val="0"/>
                    <w:snapToGrid w:val="0"/>
                    <w:ind w:left="0" w:right="0" w:firstLine="15"/>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－到2025年，水环境敏</w:t>
                  </w:r>
                  <w:r>
                    <w:rPr>
                      <w:rFonts w:hint="default" w:ascii="Times New Roman" w:hAnsi="Times New Roman" w:eastAsia="宋体" w:cs="Times New Roman"/>
                      <w:spacing w:val="1"/>
                      <w:sz w:val="21"/>
                      <w:szCs w:val="21"/>
                    </w:rPr>
                    <w:t>感地区污水处理基本达到一</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 xml:space="preserve">级 </w:t>
                  </w:r>
                  <w:r>
                    <w:rPr>
                      <w:rFonts w:hint="default" w:ascii="Times New Roman" w:hAnsi="Times New Roman" w:eastAsia="宋体" w:cs="Times New Roman"/>
                      <w:sz w:val="21"/>
                      <w:szCs w:val="21"/>
                    </w:rPr>
                    <w:t>A</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z w:val="21"/>
                      <w:szCs w:val="21"/>
                    </w:rPr>
                    <w:t>排放标准。</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－燃气锅炉升级改造，达到特别排放限值</w:t>
                  </w:r>
                  <w:r>
                    <w:rPr>
                      <w:rFonts w:hint="default" w:ascii="Times New Roman" w:hAnsi="Times New Roman" w:eastAsia="宋体" w:cs="Times New Roman"/>
                      <w:spacing w:val="6"/>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7" w:lineRule="auto"/>
                    <w:ind w:left="0" w:right="0" w:firstLine="16"/>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－城</w:t>
                  </w:r>
                  <w:r>
                    <w:rPr>
                      <w:rFonts w:hint="default" w:ascii="Times New Roman" w:hAnsi="Times New Roman" w:eastAsia="宋体" w:cs="Times New Roman"/>
                      <w:spacing w:val="9"/>
                      <w:sz w:val="21"/>
                      <w:szCs w:val="21"/>
                    </w:rPr>
                    <w:t>市</w:t>
                  </w:r>
                  <w:r>
                    <w:rPr>
                      <w:rFonts w:hint="default" w:ascii="Times New Roman" w:hAnsi="Times New Roman" w:eastAsia="宋体" w:cs="Times New Roman"/>
                      <w:spacing w:val="7"/>
                      <w:sz w:val="21"/>
                      <w:szCs w:val="21"/>
                    </w:rPr>
                    <w:t>污水处理厂进水生化需氧量 (</w:t>
                  </w:r>
                  <w:r>
                    <w:rPr>
                      <w:rFonts w:hint="default" w:ascii="Times New Roman" w:hAnsi="Times New Roman" w:eastAsia="宋体" w:cs="Times New Roman"/>
                      <w:sz w:val="21"/>
                      <w:szCs w:val="21"/>
                    </w:rPr>
                    <w:t>BOD</w:t>
                  </w:r>
                  <w:r>
                    <w:rPr>
                      <w:rFonts w:hint="default" w:ascii="Times New Roman" w:hAnsi="Times New Roman" w:eastAsia="宋体" w:cs="Times New Roman"/>
                      <w:spacing w:val="7"/>
                      <w:sz w:val="21"/>
                      <w:szCs w:val="21"/>
                    </w:rPr>
                    <w:t>) 浓度低</w:t>
                  </w:r>
                  <w:r>
                    <w:rPr>
                      <w:rFonts w:hint="default" w:ascii="Times New Roman" w:hAnsi="Times New Roman" w:eastAsia="宋体" w:cs="Times New Roman"/>
                      <w:spacing w:val="12"/>
                      <w:sz w:val="21"/>
                      <w:szCs w:val="21"/>
                    </w:rPr>
                    <w:t>于</w:t>
                  </w:r>
                  <w:r>
                    <w:rPr>
                      <w:rFonts w:hint="default" w:ascii="Times New Roman" w:hAnsi="Times New Roman" w:eastAsia="宋体" w:cs="Times New Roman"/>
                      <w:spacing w:val="11"/>
                      <w:sz w:val="21"/>
                      <w:szCs w:val="21"/>
                    </w:rPr>
                    <w:t>1</w:t>
                  </w:r>
                  <w:r>
                    <w:rPr>
                      <w:rFonts w:hint="default" w:ascii="Times New Roman" w:hAnsi="Times New Roman" w:eastAsia="宋体" w:cs="Times New Roman"/>
                      <w:spacing w:val="6"/>
                      <w:sz w:val="21"/>
                      <w:szCs w:val="21"/>
                    </w:rPr>
                    <w:t>00</w:t>
                  </w:r>
                  <w:r>
                    <w:rPr>
                      <w:rFonts w:hint="default" w:ascii="Times New Roman" w:hAnsi="Times New Roman" w:eastAsia="宋体" w:cs="Times New Roman"/>
                      <w:sz w:val="21"/>
                      <w:szCs w:val="21"/>
                    </w:rPr>
                    <w:t>mgL</w:t>
                  </w:r>
                  <w:r>
                    <w:rPr>
                      <w:rFonts w:hint="default" w:ascii="Times New Roman" w:hAnsi="Times New Roman" w:eastAsia="宋体" w:cs="Times New Roman"/>
                      <w:spacing w:val="6"/>
                      <w:sz w:val="21"/>
                      <w:szCs w:val="21"/>
                    </w:rPr>
                    <w:t>的，要围绕服务片区管网，系统排查进</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7"/>
                      <w:sz w:val="21"/>
                      <w:szCs w:val="21"/>
                    </w:rPr>
                    <w:t>水</w:t>
                  </w:r>
                  <w:r>
                    <w:rPr>
                      <w:rFonts w:hint="default" w:ascii="Times New Roman" w:hAnsi="Times New Roman" w:eastAsia="宋体" w:cs="Times New Roman"/>
                      <w:spacing w:val="9"/>
                      <w:sz w:val="21"/>
                      <w:szCs w:val="21"/>
                    </w:rPr>
                    <w:t>浓度偏低的原因，科学确定水质提升目标，制定</w:t>
                  </w:r>
                  <w:r>
                    <w:rPr>
                      <w:rFonts w:hint="default" w:ascii="Times New Roman" w:hAnsi="Times New Roman" w:eastAsia="宋体" w:cs="Times New Roman"/>
                      <w:spacing w:val="18"/>
                      <w:sz w:val="21"/>
                      <w:szCs w:val="21"/>
                    </w:rPr>
                    <w:t>并</w:t>
                  </w:r>
                  <w:r>
                    <w:rPr>
                      <w:rFonts w:hint="default" w:ascii="Times New Roman" w:hAnsi="Times New Roman" w:eastAsia="宋体" w:cs="Times New Roman"/>
                      <w:spacing w:val="9"/>
                      <w:sz w:val="21"/>
                      <w:szCs w:val="21"/>
                    </w:rPr>
                    <w:t>实施“一厂一策”系统化整治方案，稳步提升污</w:t>
                  </w:r>
                  <w:r>
                    <w:rPr>
                      <w:rFonts w:hint="default" w:ascii="Times New Roman" w:hAnsi="Times New Roman" w:eastAsia="宋体" w:cs="Times New Roman"/>
                      <w:spacing w:val="8"/>
                      <w:sz w:val="21"/>
                      <w:szCs w:val="21"/>
                    </w:rPr>
                    <w:t>水收集处理设施效能</w:t>
                  </w:r>
                  <w:r>
                    <w:rPr>
                      <w:rFonts w:hint="default" w:ascii="Times New Roman" w:hAnsi="Times New Roman" w:eastAsia="宋体" w:cs="Times New Roman"/>
                      <w:spacing w:val="6"/>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2"/>
                      <w:sz w:val="21"/>
                      <w:szCs w:val="21"/>
                    </w:rPr>
                    <w:t>3</w:t>
                  </w:r>
                  <w:r>
                    <w:rPr>
                      <w:rFonts w:hint="eastAsia" w:ascii="Times New Roman" w:hAnsi="Times New Roman" w:eastAsia="宋体" w:cs="Times New Roman"/>
                      <w:b/>
                      <w:bCs/>
                      <w:spacing w:val="12"/>
                      <w:sz w:val="21"/>
                      <w:szCs w:val="21"/>
                      <w:lang w:eastAsia="zh-CN"/>
                    </w:rPr>
                    <w:t>）</w:t>
                  </w:r>
                  <w:r>
                    <w:rPr>
                      <w:rFonts w:hint="default" w:ascii="Times New Roman" w:hAnsi="Times New Roman" w:eastAsia="宋体" w:cs="Times New Roman"/>
                      <w:b/>
                      <w:bCs/>
                      <w:spacing w:val="9"/>
                      <w:sz w:val="21"/>
                      <w:szCs w:val="21"/>
                    </w:rPr>
                    <w:t>其他污染物排放管控要求</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新增源等量或倍量替代：</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上</w:t>
                  </w:r>
                  <w:r>
                    <w:rPr>
                      <w:rFonts w:hint="default" w:ascii="Times New Roman" w:hAnsi="Times New Roman" w:eastAsia="宋体" w:cs="Times New Roman"/>
                      <w:spacing w:val="8"/>
                      <w:sz w:val="21"/>
                      <w:szCs w:val="21"/>
                    </w:rPr>
                    <w:t>一年度水环境质量未完成目标的，新建排放水</w:t>
                  </w:r>
                  <w:r>
                    <w:rPr>
                      <w:rFonts w:hint="default" w:ascii="Times New Roman" w:hAnsi="Times New Roman" w:eastAsia="宋体" w:cs="Times New Roman"/>
                      <w:spacing w:val="18"/>
                      <w:sz w:val="21"/>
                      <w:szCs w:val="21"/>
                    </w:rPr>
                    <w:t>污</w:t>
                  </w:r>
                  <w:r>
                    <w:rPr>
                      <w:rFonts w:hint="default" w:ascii="Times New Roman" w:hAnsi="Times New Roman" w:eastAsia="宋体" w:cs="Times New Roman"/>
                      <w:spacing w:val="12"/>
                      <w:sz w:val="21"/>
                      <w:szCs w:val="21"/>
                    </w:rPr>
                    <w:t>染</w:t>
                  </w:r>
                  <w:r>
                    <w:rPr>
                      <w:rFonts w:hint="default" w:ascii="Times New Roman" w:hAnsi="Times New Roman" w:eastAsia="宋体" w:cs="Times New Roman"/>
                      <w:spacing w:val="9"/>
                      <w:sz w:val="21"/>
                      <w:szCs w:val="21"/>
                    </w:rPr>
                    <w:t>的建设项目按照总量管控要求进行倍量削减替</w:t>
                  </w:r>
                  <w:r>
                    <w:rPr>
                      <w:rFonts w:hint="default" w:ascii="Times New Roman" w:hAnsi="Times New Roman" w:eastAsia="宋体" w:cs="Times New Roman"/>
                      <w:spacing w:val="1"/>
                      <w:sz w:val="21"/>
                      <w:szCs w:val="21"/>
                    </w:rPr>
                    <w:t>代</w:t>
                  </w:r>
                  <w:r>
                    <w:rPr>
                      <w:rFonts w:hint="default" w:ascii="Times New Roman" w:hAnsi="Times New Roman" w:eastAsia="宋体" w:cs="Times New Roman"/>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7" w:lineRule="auto"/>
                    <w:ind w:left="0" w:right="0" w:firstLine="16"/>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上</w:t>
                  </w:r>
                  <w:r>
                    <w:rPr>
                      <w:rFonts w:hint="default" w:ascii="Times New Roman" w:hAnsi="Times New Roman" w:eastAsia="宋体" w:cs="Times New Roman"/>
                      <w:spacing w:val="8"/>
                      <w:sz w:val="21"/>
                      <w:szCs w:val="21"/>
                    </w:rPr>
                    <w:t>一年度空气质量年平均浓度不达标的城市，建</w:t>
                  </w:r>
                  <w:r>
                    <w:rPr>
                      <w:rFonts w:hint="default" w:ascii="Times New Roman" w:hAnsi="Times New Roman" w:eastAsia="宋体" w:cs="Times New Roman"/>
                      <w:spacing w:val="17"/>
                      <w:sz w:val="21"/>
                      <w:szCs w:val="21"/>
                    </w:rPr>
                    <w:t>设</w:t>
                  </w:r>
                  <w:r>
                    <w:rPr>
                      <w:rFonts w:hint="default" w:ascii="Times New Roman" w:hAnsi="Times New Roman" w:eastAsia="宋体" w:cs="Times New Roman"/>
                      <w:spacing w:val="9"/>
                      <w:sz w:val="21"/>
                      <w:szCs w:val="21"/>
                    </w:rPr>
                    <w:t>项目新增相关污染物按照总量管控要求进行倍量</w:t>
                  </w:r>
                  <w:r>
                    <w:rPr>
                      <w:rFonts w:hint="default" w:ascii="Times New Roman" w:hAnsi="Times New Roman" w:eastAsia="宋体" w:cs="Times New Roman"/>
                      <w:spacing w:val="17"/>
                      <w:sz w:val="21"/>
                      <w:szCs w:val="21"/>
                    </w:rPr>
                    <w:t>削</w:t>
                  </w:r>
                  <w:r>
                    <w:rPr>
                      <w:rFonts w:hint="default" w:ascii="Times New Roman" w:hAnsi="Times New Roman" w:eastAsia="宋体" w:cs="Times New Roman"/>
                      <w:spacing w:val="9"/>
                      <w:sz w:val="21"/>
                      <w:szCs w:val="21"/>
                    </w:rPr>
                    <w:t>减替代。加快城市天然气利用，增加天然气对煤</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7"/>
                      <w:sz w:val="21"/>
                      <w:szCs w:val="21"/>
                    </w:rPr>
                    <w:t>炭</w:t>
                  </w:r>
                  <w:r>
                    <w:rPr>
                      <w:rFonts w:hint="default" w:ascii="Times New Roman" w:hAnsi="Times New Roman" w:eastAsia="宋体" w:cs="Times New Roman"/>
                      <w:spacing w:val="9"/>
                      <w:sz w:val="21"/>
                      <w:szCs w:val="21"/>
                    </w:rPr>
                    <w:t>和石油的替代，提高天然气民用、交通、发电、</w:t>
                  </w:r>
                  <w:r>
                    <w:rPr>
                      <w:rFonts w:hint="default" w:ascii="Times New Roman" w:hAnsi="Times New Roman" w:eastAsia="宋体" w:cs="Times New Roman"/>
                      <w:spacing w:val="10"/>
                      <w:sz w:val="21"/>
                      <w:szCs w:val="21"/>
                    </w:rPr>
                    <w:t>工</w:t>
                  </w:r>
                  <w:r>
                    <w:rPr>
                      <w:rFonts w:hint="default" w:ascii="Times New Roman" w:hAnsi="Times New Roman" w:eastAsia="宋体" w:cs="Times New Roman"/>
                      <w:spacing w:val="8"/>
                      <w:sz w:val="21"/>
                      <w:szCs w:val="21"/>
                    </w:rPr>
                    <w:t>业领域天然气消费比重。</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6"/>
                      <w:sz w:val="21"/>
                      <w:szCs w:val="21"/>
                    </w:rPr>
                    <w:t>4</w:t>
                  </w:r>
                  <w:r>
                    <w:rPr>
                      <w:rFonts w:hint="eastAsia" w:ascii="Times New Roman" w:hAnsi="Times New Roman" w:eastAsia="宋体" w:cs="Times New Roman"/>
                      <w:b/>
                      <w:bCs/>
                      <w:spacing w:val="11"/>
                      <w:sz w:val="21"/>
                      <w:szCs w:val="21"/>
                      <w:lang w:eastAsia="zh-CN"/>
                    </w:rPr>
                    <w:t>）</w:t>
                  </w:r>
                  <w:r>
                    <w:rPr>
                      <w:rFonts w:hint="default" w:ascii="Times New Roman" w:hAnsi="Times New Roman" w:eastAsia="宋体" w:cs="Times New Roman"/>
                      <w:b/>
                      <w:bCs/>
                      <w:spacing w:val="8"/>
                      <w:sz w:val="21"/>
                      <w:szCs w:val="21"/>
                    </w:rPr>
                    <w:t>污染物排放绩效水平准入要求</w:t>
                  </w:r>
                </w:p>
                <w:p>
                  <w:pPr>
                    <w:keepNext w:val="0"/>
                    <w:keepLines w:val="0"/>
                    <w:pageBreakBefore w:val="0"/>
                    <w:widowControl/>
                    <w:kinsoku w:val="0"/>
                    <w:wordWrap/>
                    <w:overflowPunct/>
                    <w:topLinePunct w:val="0"/>
                    <w:autoSpaceDE w:val="0"/>
                    <w:autoSpaceDN w:val="0"/>
                    <w:bidi w:val="0"/>
                    <w:adjustRightInd w:val="0"/>
                    <w:snapToGrid w:val="0"/>
                    <w:spacing w:line="253"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8"/>
                      <w:sz w:val="21"/>
                      <w:szCs w:val="21"/>
                    </w:rPr>
                    <w:t>严</w:t>
                  </w:r>
                  <w:r>
                    <w:rPr>
                      <w:rFonts w:hint="default" w:ascii="Times New Roman" w:hAnsi="Times New Roman" w:eastAsia="宋体" w:cs="Times New Roman"/>
                      <w:spacing w:val="10"/>
                      <w:sz w:val="21"/>
                      <w:szCs w:val="21"/>
                    </w:rPr>
                    <w:t>格</w:t>
                  </w:r>
                  <w:r>
                    <w:rPr>
                      <w:rFonts w:hint="default" w:ascii="Times New Roman" w:hAnsi="Times New Roman" w:eastAsia="宋体" w:cs="Times New Roman"/>
                      <w:spacing w:val="9"/>
                      <w:sz w:val="21"/>
                      <w:szCs w:val="21"/>
                    </w:rPr>
                    <w:t>落实建设工地管理要求，做好扬尘污染管控工</w:t>
                  </w:r>
                  <w:r>
                    <w:rPr>
                      <w:rFonts w:hint="default" w:ascii="Times New Roman" w:hAnsi="Times New Roman" w:eastAsia="宋体" w:cs="Times New Roman"/>
                      <w:sz w:val="21"/>
                      <w:szCs w:val="21"/>
                    </w:rPr>
                    <w:t>作。</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从</w:t>
                  </w:r>
                  <w:r>
                    <w:rPr>
                      <w:rFonts w:hint="default" w:ascii="Times New Roman" w:hAnsi="Times New Roman" w:eastAsia="宋体" w:cs="Times New Roman"/>
                      <w:spacing w:val="8"/>
                      <w:sz w:val="21"/>
                      <w:szCs w:val="21"/>
                    </w:rPr>
                    <w:t>事机动车修理、印刷、服装干洗、研发等排放</w:t>
                  </w:r>
                  <w:r>
                    <w:rPr>
                      <w:rFonts w:hint="default" w:ascii="Times New Roman" w:hAnsi="Times New Roman" w:eastAsia="宋体" w:cs="Times New Roman"/>
                      <w:spacing w:val="18"/>
                      <w:sz w:val="21"/>
                      <w:szCs w:val="21"/>
                    </w:rPr>
                    <w:t>挥</w:t>
                  </w:r>
                  <w:r>
                    <w:rPr>
                      <w:rFonts w:hint="default" w:ascii="Times New Roman" w:hAnsi="Times New Roman" w:eastAsia="宋体" w:cs="Times New Roman"/>
                      <w:spacing w:val="12"/>
                      <w:sz w:val="21"/>
                      <w:szCs w:val="21"/>
                    </w:rPr>
                    <w:t>发</w:t>
                  </w:r>
                  <w:r>
                    <w:rPr>
                      <w:rFonts w:hint="default" w:ascii="Times New Roman" w:hAnsi="Times New Roman" w:eastAsia="宋体" w:cs="Times New Roman"/>
                      <w:spacing w:val="9"/>
                      <w:sz w:val="21"/>
                      <w:szCs w:val="21"/>
                    </w:rPr>
                    <w:t>性有机污染物的生产作业，应当按照有关技术</w:t>
                  </w:r>
                  <w:r>
                    <w:rPr>
                      <w:rFonts w:hint="default" w:ascii="Times New Roman" w:hAnsi="Times New Roman" w:eastAsia="宋体" w:cs="Times New Roman"/>
                      <w:spacing w:val="12"/>
                      <w:sz w:val="21"/>
                      <w:szCs w:val="21"/>
                    </w:rPr>
                    <w:t>规</w:t>
                  </w:r>
                  <w:r>
                    <w:rPr>
                      <w:rFonts w:hint="default" w:ascii="Times New Roman" w:hAnsi="Times New Roman" w:eastAsia="宋体" w:cs="Times New Roman"/>
                      <w:spacing w:val="9"/>
                      <w:sz w:val="21"/>
                      <w:szCs w:val="21"/>
                    </w:rPr>
                    <w:t>范进行综合治理。禁止露天和敞开式喷漆作业；</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包</w:t>
                  </w:r>
                  <w:r>
                    <w:rPr>
                      <w:rFonts w:hint="default" w:ascii="Times New Roman" w:hAnsi="Times New Roman" w:eastAsia="宋体" w:cs="Times New Roman"/>
                      <w:spacing w:val="12"/>
                      <w:sz w:val="21"/>
                      <w:szCs w:val="21"/>
                    </w:rPr>
                    <w:t>装</w:t>
                  </w:r>
                  <w:r>
                    <w:rPr>
                      <w:rFonts w:hint="default" w:ascii="Times New Roman" w:hAnsi="Times New Roman" w:eastAsia="宋体" w:cs="Times New Roman"/>
                      <w:spacing w:val="9"/>
                      <w:sz w:val="21"/>
                      <w:szCs w:val="21"/>
                    </w:rPr>
                    <w:t>印刷业必须使用符合环保要求的油墨；餐饮服</w:t>
                  </w:r>
                  <w:r>
                    <w:rPr>
                      <w:rFonts w:hint="default" w:ascii="Times New Roman" w:hAnsi="Times New Roman" w:eastAsia="宋体" w:cs="Times New Roman"/>
                      <w:spacing w:val="18"/>
                      <w:sz w:val="21"/>
                      <w:szCs w:val="21"/>
                    </w:rPr>
                    <w:t>务</w:t>
                  </w:r>
                  <w:r>
                    <w:rPr>
                      <w:rFonts w:hint="default" w:ascii="Times New Roman" w:hAnsi="Times New Roman" w:eastAsia="宋体" w:cs="Times New Roman"/>
                      <w:spacing w:val="12"/>
                      <w:sz w:val="21"/>
                      <w:szCs w:val="21"/>
                    </w:rPr>
                    <w:t>业</w:t>
                  </w:r>
                  <w:r>
                    <w:rPr>
                      <w:rFonts w:hint="default" w:ascii="Times New Roman" w:hAnsi="Times New Roman" w:eastAsia="宋体" w:cs="Times New Roman"/>
                      <w:spacing w:val="9"/>
                      <w:sz w:val="21"/>
                      <w:szCs w:val="21"/>
                    </w:rPr>
                    <w:t>油烟和废水必须经处理达到相应排放标准要</w:t>
                  </w:r>
                  <w:r>
                    <w:rPr>
                      <w:rFonts w:hint="default" w:ascii="Times New Roman" w:hAnsi="Times New Roman" w:eastAsia="宋体" w:cs="Times New Roman"/>
                      <w:spacing w:val="1"/>
                      <w:sz w:val="21"/>
                      <w:szCs w:val="21"/>
                    </w:rPr>
                    <w:t>求</w:t>
                  </w:r>
                  <w:r>
                    <w:rPr>
                      <w:rFonts w:hint="default" w:ascii="Times New Roman" w:hAnsi="Times New Roman" w:eastAsia="宋体" w:cs="Times New Roman"/>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20"/>
                    <w:textAlignment w:val="baseline"/>
                    <w:rPr>
                      <w:rFonts w:hint="default" w:ascii="Times New Roman" w:hAnsi="Times New Roman" w:eastAsia="宋体" w:cs="Times New Roman"/>
                      <w:spacing w:val="7"/>
                      <w:sz w:val="21"/>
                      <w:szCs w:val="21"/>
                    </w:rPr>
                  </w:pPr>
                  <w:r>
                    <w:rPr>
                      <w:rFonts w:hint="default" w:ascii="Times New Roman" w:hAnsi="Times New Roman" w:eastAsia="宋体" w:cs="Times New Roman"/>
                      <w:spacing w:val="8"/>
                      <w:sz w:val="21"/>
                      <w:szCs w:val="21"/>
                    </w:rPr>
                    <w:t>－</w:t>
                  </w:r>
                  <w:r>
                    <w:rPr>
                      <w:rFonts w:hint="default" w:ascii="Times New Roman" w:hAnsi="Times New Roman" w:eastAsia="宋体" w:cs="Times New Roman"/>
                      <w:spacing w:val="6"/>
                      <w:sz w:val="21"/>
                      <w:szCs w:val="21"/>
                    </w:rPr>
                    <w:t>建材行业原料破碎、生产、运输、装卸等各环节</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严格落实抑尘措施，有效控制粉尘无组织排放。</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20"/>
                    <w:textAlignment w:val="baseline"/>
                    <w:rPr>
                      <w:rFonts w:hint="default" w:ascii="Times New Roman" w:hAnsi="Times New Roman" w:eastAsia="宋体" w:cs="Times New Roman"/>
                      <w:spacing w:val="-2"/>
                      <w:sz w:val="21"/>
                      <w:szCs w:val="21"/>
                    </w:rPr>
                  </w:pPr>
                  <w:r>
                    <w:rPr>
                      <w:rFonts w:hint="default" w:ascii="Times New Roman" w:hAnsi="Times New Roman" w:eastAsia="宋体" w:cs="Times New Roman"/>
                      <w:spacing w:val="6"/>
                      <w:sz w:val="21"/>
                      <w:szCs w:val="21"/>
                    </w:rPr>
                    <w:t>－</w:t>
                  </w:r>
                  <w:r>
                    <w:rPr>
                      <w:rFonts w:hint="default" w:ascii="Times New Roman" w:hAnsi="Times New Roman" w:eastAsia="宋体" w:cs="Times New Roman"/>
                      <w:spacing w:val="1"/>
                      <w:sz w:val="21"/>
                      <w:szCs w:val="21"/>
                    </w:rPr>
                    <w:t xml:space="preserve">到 2023 </w:t>
                  </w:r>
                  <w:r>
                    <w:rPr>
                      <w:rFonts w:hint="default" w:ascii="Times New Roman" w:hAnsi="Times New Roman" w:eastAsia="宋体" w:cs="Times New Roman"/>
                      <w:sz w:val="21"/>
                      <w:szCs w:val="21"/>
                    </w:rPr>
                    <w:t xml:space="preserve">年，城市污泥无害化处置率和资源化利用率 </w:t>
                  </w:r>
                  <w:r>
                    <w:rPr>
                      <w:rFonts w:hint="default" w:ascii="Times New Roman" w:hAnsi="Times New Roman" w:eastAsia="宋体" w:cs="Times New Roman"/>
                      <w:spacing w:val="7"/>
                      <w:sz w:val="21"/>
                      <w:szCs w:val="21"/>
                    </w:rPr>
                    <w:t>进一步提高，力争达州市鲜家坝、周家坝城市生活</w:t>
                  </w:r>
                  <w:r>
                    <w:rPr>
                      <w:rFonts w:hint="default" w:ascii="Times New Roman" w:hAnsi="Times New Roman" w:eastAsia="宋体" w:cs="Times New Roman"/>
                      <w:spacing w:val="2"/>
                      <w:sz w:val="21"/>
                      <w:szCs w:val="21"/>
                    </w:rPr>
                    <w:t>污水处理厂污泥无害化处</w:t>
                  </w:r>
                  <w:r>
                    <w:rPr>
                      <w:rFonts w:hint="default" w:ascii="Times New Roman" w:hAnsi="Times New Roman" w:eastAsia="宋体" w:cs="Times New Roman"/>
                      <w:spacing w:val="1"/>
                      <w:sz w:val="21"/>
                      <w:szCs w:val="21"/>
                    </w:rPr>
                    <w:t>置率达 92% 、各县 (市)</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6"/>
                      <w:sz w:val="21"/>
                      <w:szCs w:val="21"/>
                    </w:rPr>
                    <w:t>城市达 8</w:t>
                  </w:r>
                  <w:r>
                    <w:rPr>
                      <w:rFonts w:hint="default" w:ascii="Times New Roman" w:hAnsi="Times New Roman" w:eastAsia="宋体" w:cs="Times New Roman"/>
                      <w:spacing w:val="4"/>
                      <w:sz w:val="21"/>
                      <w:szCs w:val="21"/>
                    </w:rPr>
                    <w:t>5</w:t>
                  </w:r>
                  <w:r>
                    <w:rPr>
                      <w:rFonts w:hint="default" w:ascii="Times New Roman" w:hAnsi="Times New Roman" w:eastAsia="宋体" w:cs="Times New Roman"/>
                      <w:spacing w:val="3"/>
                      <w:sz w:val="21"/>
                      <w:szCs w:val="21"/>
                    </w:rPr>
                    <w:t>%；城市生活污水资源化利用水平明显提</w:t>
                  </w:r>
                  <w:r>
                    <w:rPr>
                      <w:rFonts w:hint="default" w:ascii="Times New Roman" w:hAnsi="Times New Roman" w:eastAsia="宋体" w:cs="Times New Roman"/>
                      <w:spacing w:val="-2"/>
                      <w:sz w:val="21"/>
                      <w:szCs w:val="21"/>
                    </w:rPr>
                    <w:t>升。</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2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－到 2023</w:t>
                  </w:r>
                  <w:r>
                    <w:rPr>
                      <w:rFonts w:hint="default" w:ascii="Times New Roman" w:hAnsi="Times New Roman" w:eastAsia="宋体" w:cs="Times New Roman"/>
                      <w:spacing w:val="-1"/>
                      <w:sz w:val="21"/>
                      <w:szCs w:val="21"/>
                    </w:rPr>
                    <w:t xml:space="preserve"> 年基本实现原生生活垃圾“零填埋”，</w:t>
                  </w:r>
                  <w:r>
                    <w:rPr>
                      <w:rFonts w:hint="default" w:ascii="Times New Roman" w:hAnsi="Times New Roman" w:eastAsia="宋体" w:cs="Times New Roman"/>
                      <w:spacing w:val="7"/>
                      <w:sz w:val="21"/>
                      <w:szCs w:val="21"/>
                    </w:rPr>
                    <w:t>鼓励跨区域统筹建设焚烧处理设施，在生活垃圾日</w:t>
                  </w:r>
                  <w:r>
                    <w:rPr>
                      <w:rFonts w:hint="default" w:ascii="Times New Roman" w:hAnsi="Times New Roman" w:eastAsia="宋体" w:cs="Times New Roman"/>
                      <w:spacing w:val="8"/>
                      <w:sz w:val="21"/>
                      <w:szCs w:val="21"/>
                    </w:rPr>
                    <w:t>清</w:t>
                  </w:r>
                  <w:r>
                    <w:rPr>
                      <w:rFonts w:hint="default" w:ascii="Times New Roman" w:hAnsi="Times New Roman" w:eastAsia="宋体" w:cs="Times New Roman"/>
                      <w:spacing w:val="4"/>
                      <w:sz w:val="21"/>
                      <w:szCs w:val="21"/>
                    </w:rPr>
                    <w:t>运量不足300吨的地区探索开展小型生活垃圾焚</w:t>
                  </w:r>
                  <w:r>
                    <w:rPr>
                      <w:rFonts w:hint="default" w:ascii="Times New Roman" w:hAnsi="Times New Roman" w:eastAsia="宋体" w:cs="Times New Roman"/>
                      <w:spacing w:val="-1"/>
                      <w:sz w:val="21"/>
                      <w:szCs w:val="21"/>
                    </w:rPr>
                    <w:t>烧设施试点；生活垃圾回收利用率力争</w:t>
                  </w:r>
                  <w:r>
                    <w:rPr>
                      <w:rFonts w:hint="default" w:ascii="Times New Roman" w:hAnsi="Times New Roman" w:eastAsia="宋体" w:cs="Times New Roman"/>
                      <w:sz w:val="21"/>
                      <w:szCs w:val="21"/>
                    </w:rPr>
                    <w:t>达30%以上。</w:t>
                  </w:r>
                </w:p>
                <w:p>
                  <w:pPr>
                    <w:keepNext w:val="0"/>
                    <w:keepLines w:val="0"/>
                    <w:pageBreakBefore w:val="0"/>
                    <w:widowControl/>
                    <w:kinsoku w:val="0"/>
                    <w:wordWrap/>
                    <w:overflowPunct/>
                    <w:topLinePunct w:val="0"/>
                    <w:autoSpaceDE w:val="0"/>
                    <w:autoSpaceDN w:val="0"/>
                    <w:bidi w:val="0"/>
                    <w:adjustRightInd w:val="0"/>
                    <w:snapToGrid w:val="0"/>
                    <w:spacing w:line="251" w:lineRule="auto"/>
                    <w:ind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实</w:t>
                  </w:r>
                  <w:r>
                    <w:rPr>
                      <w:rFonts w:hint="default" w:ascii="Times New Roman" w:hAnsi="Times New Roman" w:eastAsia="宋体" w:cs="Times New Roman"/>
                      <w:spacing w:val="8"/>
                      <w:sz w:val="21"/>
                      <w:szCs w:val="21"/>
                    </w:rPr>
                    <w:t>施密闭化收运，推广干湿分类收运。强化垃圾</w:t>
                  </w:r>
                  <w:r>
                    <w:rPr>
                      <w:rFonts w:hint="default" w:ascii="Times New Roman" w:hAnsi="Times New Roman" w:eastAsia="宋体" w:cs="Times New Roman"/>
                      <w:spacing w:val="18"/>
                      <w:sz w:val="21"/>
                      <w:szCs w:val="21"/>
                    </w:rPr>
                    <w:t>渗</w:t>
                  </w:r>
                  <w:r>
                    <w:rPr>
                      <w:rFonts w:hint="default" w:ascii="Times New Roman" w:hAnsi="Times New Roman" w:eastAsia="宋体" w:cs="Times New Roman"/>
                      <w:spacing w:val="10"/>
                      <w:sz w:val="21"/>
                      <w:szCs w:val="21"/>
                    </w:rPr>
                    <w:t>滤</w:t>
                  </w:r>
                  <w:r>
                    <w:rPr>
                      <w:rFonts w:hint="default" w:ascii="Times New Roman" w:hAnsi="Times New Roman" w:eastAsia="宋体" w:cs="Times New Roman"/>
                      <w:spacing w:val="9"/>
                      <w:sz w:val="21"/>
                      <w:szCs w:val="21"/>
                    </w:rPr>
                    <w:t>液、焚烧飞灰安全处置，城市生活垃圾无害化</w:t>
                  </w:r>
                  <w:r>
                    <w:rPr>
                      <w:rFonts w:hint="default" w:ascii="Times New Roman" w:hAnsi="Times New Roman" w:eastAsia="宋体" w:cs="Times New Roman"/>
                      <w:spacing w:val="2"/>
                      <w:sz w:val="21"/>
                      <w:szCs w:val="21"/>
                    </w:rPr>
                    <w:t>处理率保持</w:t>
                  </w:r>
                  <w:r>
                    <w:rPr>
                      <w:rFonts w:hint="default" w:ascii="Times New Roman" w:hAnsi="Times New Roman" w:eastAsia="宋体" w:cs="Times New Roman"/>
                      <w:spacing w:val="1"/>
                      <w:sz w:val="21"/>
                      <w:szCs w:val="21"/>
                    </w:rPr>
                    <w:t xml:space="preserve"> 100%。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5"/>
                      <w:sz w:val="21"/>
                      <w:szCs w:val="21"/>
                      <w:lang w:eastAsia="zh-CN"/>
                    </w:rPr>
                  </w:pPr>
                  <w:r>
                    <w:rPr>
                      <w:rFonts w:hint="default" w:ascii="Times New Roman" w:hAnsi="Times New Roman" w:eastAsia="宋体" w:cs="Times New Roman"/>
                      <w:spacing w:val="2"/>
                      <w:sz w:val="21"/>
                      <w:szCs w:val="21"/>
                    </w:rPr>
                    <w:t>－到 2023 年</w:t>
                  </w:r>
                  <w:r>
                    <w:rPr>
                      <w:rFonts w:hint="eastAsia" w:ascii="Times New Roman" w:hAnsi="Times New Roman" w:eastAsia="宋体" w:cs="Times New Roman"/>
                      <w:spacing w:val="2"/>
                      <w:sz w:val="21"/>
                      <w:szCs w:val="21"/>
                      <w:lang w:eastAsia="zh-CN"/>
                    </w:rPr>
                    <w:t>，</w:t>
                  </w:r>
                  <w:r>
                    <w:rPr>
                      <w:rFonts w:hint="default" w:ascii="Times New Roman" w:hAnsi="Times New Roman" w:eastAsia="宋体" w:cs="Times New Roman"/>
                      <w:spacing w:val="2"/>
                      <w:sz w:val="21"/>
                      <w:szCs w:val="21"/>
                    </w:rPr>
                    <w:t>力争全省</w:t>
                  </w:r>
                  <w:r>
                    <w:rPr>
                      <w:rFonts w:hint="default" w:ascii="Times New Roman" w:hAnsi="Times New Roman" w:eastAsia="宋体" w:cs="Times New Roman"/>
                      <w:spacing w:val="1"/>
                      <w:sz w:val="21"/>
                      <w:szCs w:val="21"/>
                    </w:rPr>
                    <w:t>生活垃圾焚烧处理能力占比</w:t>
                  </w:r>
                  <w:r>
                    <w:rPr>
                      <w:rFonts w:hint="default" w:ascii="Times New Roman" w:hAnsi="Times New Roman" w:eastAsia="宋体" w:cs="Times New Roman"/>
                      <w:spacing w:val="6"/>
                      <w:sz w:val="21"/>
                      <w:szCs w:val="21"/>
                    </w:rPr>
                    <w:t>达 60%以上，地级以上城市具备餐厨垃圾集中处</w:t>
                  </w:r>
                  <w:r>
                    <w:rPr>
                      <w:rFonts w:hint="default" w:ascii="Times New Roman" w:hAnsi="Times New Roman" w:eastAsia="宋体" w:cs="Times New Roman"/>
                      <w:spacing w:val="5"/>
                      <w:sz w:val="21"/>
                      <w:szCs w:val="21"/>
                    </w:rPr>
                    <w:t>理</w:t>
                  </w:r>
                  <w:r>
                    <w:rPr>
                      <w:rFonts w:hint="default" w:ascii="Times New Roman" w:hAnsi="Times New Roman" w:eastAsia="宋体" w:cs="Times New Roman"/>
                      <w:spacing w:val="6"/>
                      <w:sz w:val="21"/>
                      <w:szCs w:val="21"/>
                    </w:rPr>
                    <w:t>能力；县城生活垃圾无害化处理率保持 95%以上</w:t>
                  </w:r>
                  <w:r>
                    <w:rPr>
                      <w:rFonts w:hint="default" w:ascii="Times New Roman" w:hAnsi="Times New Roman" w:eastAsia="宋体" w:cs="Times New Roman"/>
                      <w:spacing w:val="5"/>
                      <w:sz w:val="21"/>
                      <w:szCs w:val="21"/>
                    </w:rPr>
                    <w:t>，</w:t>
                  </w:r>
                  <w:r>
                    <w:rPr>
                      <w:rFonts w:hint="default" w:ascii="Times New Roman" w:hAnsi="Times New Roman" w:eastAsia="宋体" w:cs="Times New Roman"/>
                      <w:spacing w:val="18"/>
                      <w:sz w:val="21"/>
                      <w:szCs w:val="21"/>
                    </w:rPr>
                    <w:t>乡</w:t>
                  </w:r>
                  <w:r>
                    <w:rPr>
                      <w:rFonts w:hint="default" w:ascii="Times New Roman" w:hAnsi="Times New Roman" w:eastAsia="宋体" w:cs="Times New Roman"/>
                      <w:spacing w:val="12"/>
                      <w:sz w:val="21"/>
                      <w:szCs w:val="21"/>
                    </w:rPr>
                    <w:t>镇</w:t>
                  </w:r>
                  <w:r>
                    <w:rPr>
                      <w:rFonts w:hint="default" w:ascii="Times New Roman" w:hAnsi="Times New Roman" w:eastAsia="宋体" w:cs="Times New Roman"/>
                      <w:spacing w:val="9"/>
                      <w:sz w:val="21"/>
                      <w:szCs w:val="21"/>
                    </w:rPr>
                    <w:t>及行政村生活垃圾收集转运处置体系基本实现</w:t>
                  </w:r>
                  <w:r>
                    <w:rPr>
                      <w:rFonts w:hint="default" w:ascii="Times New Roman" w:hAnsi="Times New Roman" w:eastAsia="宋体" w:cs="Times New Roman"/>
                      <w:spacing w:val="6"/>
                      <w:sz w:val="21"/>
                      <w:szCs w:val="21"/>
                    </w:rPr>
                    <w:t>全</w:t>
                  </w:r>
                  <w:r>
                    <w:rPr>
                      <w:rFonts w:hint="default" w:ascii="Times New Roman" w:hAnsi="Times New Roman" w:eastAsia="宋体" w:cs="Times New Roman"/>
                      <w:spacing w:val="5"/>
                      <w:sz w:val="21"/>
                      <w:szCs w:val="21"/>
                    </w:rPr>
                    <w:t>覆盖</w:t>
                  </w:r>
                  <w:r>
                    <w:rPr>
                      <w:rFonts w:hint="eastAsia" w:ascii="Times New Roman" w:hAnsi="Times New Roman" w:eastAsia="宋体" w:cs="Times New Roman"/>
                      <w:spacing w:val="5"/>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5"/>
                      <w:sz w:val="21"/>
                      <w:szCs w:val="21"/>
                    </w:rPr>
                  </w:pPr>
                  <w:r>
                    <w:rPr>
                      <w:rFonts w:hint="default" w:ascii="Times New Roman" w:hAnsi="Times New Roman" w:eastAsia="宋体" w:cs="Times New Roman"/>
                      <w:spacing w:val="3"/>
                      <w:sz w:val="21"/>
                      <w:szCs w:val="21"/>
                    </w:rPr>
                    <w:t>-2030 年，渠江流域用水总量控制在 31.61亿</w:t>
                  </w:r>
                  <w:r>
                    <w:rPr>
                      <w:rFonts w:hint="default" w:ascii="Times New Roman" w:hAnsi="Times New Roman" w:eastAsia="宋体" w:cs="Times New Roman"/>
                      <w:sz w:val="21"/>
                      <w:szCs w:val="21"/>
                    </w:rPr>
                    <w:t>m</w:t>
                  </w:r>
                  <w:r>
                    <w:rPr>
                      <w:rFonts w:hint="default" w:ascii="Times New Roman" w:hAnsi="Times New Roman" w:eastAsia="宋体" w:cs="Times New Roman"/>
                      <w:spacing w:val="3"/>
                      <w:sz w:val="21"/>
                      <w:szCs w:val="21"/>
                      <w:vertAlign w:val="superscript"/>
                    </w:rPr>
                    <w:t>3</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z w:val="21"/>
                      <w:szCs w:val="21"/>
                    </w:rPr>
                    <w:t>以</w:t>
                  </w:r>
                  <w:r>
                    <w:rPr>
                      <w:rFonts w:hint="default" w:ascii="Times New Roman" w:hAnsi="Times New Roman" w:eastAsia="宋体" w:cs="Times New Roman"/>
                      <w:spacing w:val="6"/>
                      <w:sz w:val="21"/>
                      <w:szCs w:val="21"/>
                    </w:rPr>
                    <w:t>内，</w:t>
                  </w:r>
                  <w:r>
                    <w:rPr>
                      <w:rFonts w:hint="default" w:ascii="Times New Roman" w:hAnsi="Times New Roman" w:eastAsia="宋体" w:cs="Times New Roman"/>
                      <w:spacing w:val="3"/>
                      <w:sz w:val="21"/>
                      <w:szCs w:val="21"/>
                    </w:rPr>
                    <w:t xml:space="preserve">渠江干流 </w:t>
                  </w:r>
                  <w:r>
                    <w:rPr>
                      <w:rFonts w:hint="default" w:ascii="Times New Roman" w:hAnsi="Times New Roman" w:eastAsia="宋体" w:cs="Times New Roman"/>
                      <w:sz w:val="21"/>
                      <w:szCs w:val="21"/>
                    </w:rPr>
                    <w:t>COD</w:t>
                  </w:r>
                  <w:r>
                    <w:rPr>
                      <w:rFonts w:hint="default" w:ascii="Times New Roman" w:hAnsi="Times New Roman" w:eastAsia="宋体" w:cs="Times New Roman"/>
                      <w:spacing w:val="3"/>
                      <w:sz w:val="21"/>
                      <w:szCs w:val="21"/>
                    </w:rPr>
                    <w:t xml:space="preserve"> 排放总量限制在4.89万</w:t>
                  </w:r>
                  <w:r>
                    <w:rPr>
                      <w:rFonts w:hint="default" w:ascii="Times New Roman" w:hAnsi="Times New Roman" w:eastAsia="宋体" w:cs="Times New Roman"/>
                      <w:sz w:val="21"/>
                      <w:szCs w:val="21"/>
                    </w:rPr>
                    <w:t>ta</w:t>
                  </w:r>
                  <w:r>
                    <w:rPr>
                      <w:rFonts w:hint="default" w:ascii="Times New Roman" w:hAnsi="Times New Roman" w:eastAsia="宋体" w:cs="Times New Roman"/>
                      <w:spacing w:val="3"/>
                      <w:sz w:val="21"/>
                      <w:szCs w:val="21"/>
                    </w:rPr>
                    <w:t xml:space="preserve"> 内、</w:t>
                  </w:r>
                  <w:r>
                    <w:rPr>
                      <w:rFonts w:hint="default" w:ascii="Times New Roman" w:hAnsi="Times New Roman" w:eastAsia="宋体" w:cs="Times New Roman"/>
                      <w:sz w:val="21"/>
                      <w:szCs w:val="21"/>
                    </w:rPr>
                    <w:t>NH</w:t>
                  </w:r>
                  <w:r>
                    <w:rPr>
                      <w:rFonts w:hint="default" w:ascii="Times New Roman" w:hAnsi="Times New Roman" w:eastAsia="宋体" w:cs="Times New Roman"/>
                      <w:spacing w:val="8"/>
                      <w:sz w:val="21"/>
                      <w:szCs w:val="21"/>
                      <w:vertAlign w:val="subscript"/>
                    </w:rPr>
                    <w:t>3</w:t>
                  </w:r>
                  <w:r>
                    <w:rPr>
                      <w:rFonts w:hint="default" w:ascii="Times New Roman" w:hAnsi="Times New Roman" w:eastAsia="宋体" w:cs="Times New Roman"/>
                      <w:spacing w:val="8"/>
                      <w:sz w:val="21"/>
                      <w:szCs w:val="21"/>
                    </w:rPr>
                    <w:t>-</w:t>
                  </w:r>
                  <w:r>
                    <w:rPr>
                      <w:rFonts w:hint="default" w:ascii="Times New Roman" w:hAnsi="Times New Roman" w:eastAsia="宋体" w:cs="Times New Roman"/>
                      <w:sz w:val="21"/>
                      <w:szCs w:val="21"/>
                    </w:rPr>
                    <w:t>N</w:t>
                  </w:r>
                  <w:r>
                    <w:rPr>
                      <w:rFonts w:hint="default" w:ascii="Times New Roman" w:hAnsi="Times New Roman" w:eastAsia="宋体" w:cs="Times New Roman"/>
                      <w:spacing w:val="8"/>
                      <w:sz w:val="21"/>
                      <w:szCs w:val="21"/>
                    </w:rPr>
                    <w:t xml:space="preserve"> </w:t>
                  </w:r>
                  <w:r>
                    <w:rPr>
                      <w:rFonts w:hint="default" w:ascii="Times New Roman" w:hAnsi="Times New Roman" w:eastAsia="宋体" w:cs="Times New Roman"/>
                      <w:spacing w:val="6"/>
                      <w:sz w:val="21"/>
                      <w:szCs w:val="21"/>
                    </w:rPr>
                    <w:t>排</w:t>
                  </w:r>
                  <w:r>
                    <w:rPr>
                      <w:rFonts w:hint="default" w:ascii="Times New Roman" w:hAnsi="Times New Roman" w:eastAsia="宋体" w:cs="Times New Roman"/>
                      <w:spacing w:val="4"/>
                      <w:sz w:val="21"/>
                      <w:szCs w:val="21"/>
                    </w:rPr>
                    <w:t>放总量限制在0.54万</w:t>
                  </w:r>
                  <w:r>
                    <w:rPr>
                      <w:rFonts w:hint="default" w:ascii="Times New Roman" w:hAnsi="Times New Roman" w:eastAsia="宋体" w:cs="Times New Roman"/>
                      <w:sz w:val="21"/>
                      <w:szCs w:val="21"/>
                    </w:rPr>
                    <w:t>ta</w:t>
                  </w:r>
                  <w:r>
                    <w:rPr>
                      <w:rFonts w:hint="default" w:ascii="Times New Roman" w:hAnsi="Times New Roman" w:eastAsia="宋体" w:cs="Times New Roman"/>
                      <w:spacing w:val="4"/>
                      <w:sz w:val="21"/>
                      <w:szCs w:val="21"/>
                    </w:rPr>
                    <w:t>内。全面推进节</w:t>
                  </w:r>
                  <w:r>
                    <w:rPr>
                      <w:rFonts w:hint="default" w:ascii="Times New Roman" w:hAnsi="Times New Roman" w:eastAsia="宋体" w:cs="Times New Roman"/>
                      <w:spacing w:val="13"/>
                      <w:sz w:val="21"/>
                      <w:szCs w:val="21"/>
                    </w:rPr>
                    <w:t>水</w:t>
                  </w:r>
                  <w:r>
                    <w:rPr>
                      <w:rFonts w:hint="default" w:ascii="Times New Roman" w:hAnsi="Times New Roman" w:eastAsia="宋体" w:cs="Times New Roman"/>
                      <w:spacing w:val="9"/>
                      <w:sz w:val="21"/>
                      <w:szCs w:val="21"/>
                    </w:rPr>
                    <w:t>型社会建设，加强河湖 (库) 水域岸线保护及管</w:t>
                  </w:r>
                  <w:r>
                    <w:rPr>
                      <w:rFonts w:hint="default" w:ascii="Times New Roman" w:hAnsi="Times New Roman" w:eastAsia="宋体" w:cs="Times New Roman"/>
                      <w:spacing w:val="20"/>
                      <w:sz w:val="21"/>
                      <w:szCs w:val="21"/>
                    </w:rPr>
                    <w:t>理</w:t>
                  </w:r>
                  <w:r>
                    <w:rPr>
                      <w:rFonts w:hint="default" w:ascii="Times New Roman" w:hAnsi="Times New Roman" w:eastAsia="宋体" w:cs="Times New Roman"/>
                      <w:spacing w:val="13"/>
                      <w:sz w:val="21"/>
                      <w:szCs w:val="21"/>
                    </w:rPr>
                    <w:t>，</w:t>
                  </w:r>
                  <w:r>
                    <w:rPr>
                      <w:rFonts w:hint="default" w:ascii="Times New Roman" w:hAnsi="Times New Roman" w:eastAsia="宋体" w:cs="Times New Roman"/>
                      <w:spacing w:val="10"/>
                      <w:sz w:val="21"/>
                      <w:szCs w:val="21"/>
                    </w:rPr>
                    <w:t>加强入河排污口规范化建设，加强工业污染、农业农村污染、船舶港口污染防治。对流域内饮用</w:t>
                  </w:r>
                  <w:r>
                    <w:rPr>
                      <w:rFonts w:hint="default" w:ascii="Times New Roman" w:hAnsi="Times New Roman" w:eastAsia="宋体" w:cs="Times New Roman"/>
                      <w:spacing w:val="5"/>
                      <w:sz w:val="21"/>
                      <w:szCs w:val="21"/>
                    </w:rPr>
                    <w:t>水源地进行有效保护及规范化建设。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pacing w:val="5"/>
                      <w:sz w:val="21"/>
                      <w:szCs w:val="21"/>
                    </w:rPr>
                    <w:t>－到 2025 年</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0"/>
                      <w:sz w:val="21"/>
                      <w:szCs w:val="21"/>
                    </w:rPr>
                    <w:t>基本消除城市建成区生活污水直排口和收集处理率</w:t>
                  </w:r>
                  <w:r>
                    <w:rPr>
                      <w:rFonts w:hint="default" w:ascii="Times New Roman" w:hAnsi="Times New Roman" w:eastAsia="宋体" w:cs="Times New Roman"/>
                      <w:spacing w:val="11"/>
                      <w:sz w:val="21"/>
                      <w:szCs w:val="21"/>
                    </w:rPr>
                    <w:t>设</w:t>
                  </w:r>
                  <w:r>
                    <w:rPr>
                      <w:rFonts w:hint="default" w:ascii="Times New Roman" w:hAnsi="Times New Roman" w:eastAsia="宋体" w:cs="Times New Roman"/>
                      <w:spacing w:val="10"/>
                      <w:sz w:val="21"/>
                      <w:szCs w:val="21"/>
                    </w:rPr>
                    <w:t>施空白区，城市生活污水集中收集率力争达到</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7</w:t>
                  </w:r>
                  <w:r>
                    <w:rPr>
                      <w:rFonts w:hint="default" w:ascii="Times New Roman" w:hAnsi="Times New Roman" w:eastAsia="宋体" w:cs="Times New Roman"/>
                      <w:spacing w:val="10"/>
                      <w:sz w:val="21"/>
                      <w:szCs w:val="21"/>
                    </w:rPr>
                    <w:t>0</w:t>
                  </w:r>
                  <w:r>
                    <w:rPr>
                      <w:rFonts w:hint="default" w:ascii="Times New Roman" w:hAnsi="Times New Roman" w:eastAsia="宋体" w:cs="Times New Roman"/>
                      <w:spacing w:val="9"/>
                      <w:sz w:val="21"/>
                      <w:szCs w:val="21"/>
                    </w:rPr>
                    <w:t>%以上；城市和县城水处理能力基本满足经济社</w:t>
                  </w:r>
                  <w:r>
                    <w:rPr>
                      <w:rFonts w:hint="default" w:ascii="Times New Roman" w:hAnsi="Times New Roman" w:eastAsia="宋体" w:cs="Times New Roman"/>
                      <w:spacing w:val="10"/>
                      <w:sz w:val="21"/>
                      <w:szCs w:val="21"/>
                    </w:rPr>
                    <w:t>会</w:t>
                  </w:r>
                  <w:r>
                    <w:rPr>
                      <w:rFonts w:hint="default" w:ascii="Times New Roman" w:hAnsi="Times New Roman" w:eastAsia="宋体" w:cs="Times New Roman"/>
                      <w:spacing w:val="6"/>
                      <w:sz w:val="21"/>
                      <w:szCs w:val="21"/>
                    </w:rPr>
                    <w:t>发展需要，县城污水处理达到95%以上。</w:t>
                  </w:r>
                </w:p>
              </w:tc>
              <w:tc>
                <w:tcPr>
                  <w:tcW w:w="1432"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sz w:val="21"/>
                      <w:szCs w:val="21"/>
                      <w:lang w:val="en-US" w:eastAsia="zh-CN"/>
                    </w:rPr>
                    <w:t>项目施工期严格落实“六必须、六不准”的管控要求，减少施工扬尘的产生；施工废水回用，施工期</w:t>
                  </w:r>
                  <w:r>
                    <w:rPr>
                      <w:rFonts w:hint="eastAsia" w:ascii="Times New Roman" w:hAnsi="Times New Roman"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rPr>
                    <w:t>利用周边公共生活设施</w:t>
                  </w:r>
                  <w:r>
                    <w:rPr>
                      <w:rFonts w:hint="eastAsia" w:ascii="宋体" w:hAnsi="宋体" w:eastAsia="宋体" w:cs="宋体"/>
                      <w:color w:val="auto"/>
                      <w:kern w:val="0"/>
                      <w:sz w:val="21"/>
                      <w:szCs w:val="21"/>
                      <w:lang w:val="en-US" w:eastAsia="zh-CN" w:bidi="ar"/>
                    </w:rPr>
                    <w:t>处理。</w:t>
                  </w:r>
                  <w:r>
                    <w:rPr>
                      <w:rFonts w:hint="default" w:ascii="Times New Roman" w:hAnsi="Times New Roman" w:eastAsia="宋体" w:cs="Times New Roman"/>
                      <w:spacing w:val="9"/>
                      <w:sz w:val="21"/>
                      <w:szCs w:val="21"/>
                      <w:lang w:val="en-US" w:eastAsia="zh-CN"/>
                    </w:rPr>
                    <w:t>项目</w:t>
                  </w:r>
                  <w:r>
                    <w:rPr>
                      <w:rFonts w:hint="eastAsia" w:ascii="Times New Roman" w:hAnsi="Times New Roman" w:eastAsia="宋体" w:cs="Times New Roman"/>
                      <w:spacing w:val="9"/>
                      <w:sz w:val="21"/>
                      <w:szCs w:val="21"/>
                      <w:lang w:val="en-US" w:eastAsia="zh-CN"/>
                    </w:rPr>
                    <w:t>运营期</w:t>
                  </w:r>
                  <w:r>
                    <w:rPr>
                      <w:rFonts w:hint="default" w:ascii="Times New Roman" w:hAnsi="Times New Roman" w:eastAsia="宋体" w:cs="Times New Roman"/>
                      <w:spacing w:val="9"/>
                      <w:sz w:val="21"/>
                      <w:szCs w:val="21"/>
                      <w:lang w:val="en-US" w:eastAsia="zh-CN"/>
                    </w:rPr>
                    <w:t>外排废水最终</w:t>
                  </w:r>
                  <w:r>
                    <w:rPr>
                      <w:rFonts w:hint="default" w:ascii="Times New Roman" w:hAnsi="Times New Roman" w:eastAsia="宋体" w:cs="Times New Roman"/>
                      <w:color w:val="auto"/>
                      <w:sz w:val="21"/>
                      <w:szCs w:val="21"/>
                      <w:highlight w:val="none"/>
                      <w:lang w:val="en-US" w:eastAsia="zh-CN"/>
                    </w:rPr>
                    <w:t>经达州市第二</w:t>
                  </w:r>
                  <w:r>
                    <w:rPr>
                      <w:rFonts w:hint="eastAsia" w:ascii="Times New Roman" w:hAnsi="Times New Roman" w:eastAsia="宋体" w:cs="Times New Roman"/>
                      <w:color w:val="auto"/>
                      <w:sz w:val="21"/>
                      <w:szCs w:val="21"/>
                      <w:highlight w:val="none"/>
                      <w:lang w:val="en-US" w:eastAsia="zh-CN"/>
                    </w:rPr>
                    <w:t>城市生活</w:t>
                  </w:r>
                  <w:r>
                    <w:rPr>
                      <w:rFonts w:hint="default" w:ascii="Times New Roman" w:hAnsi="Times New Roman" w:eastAsia="宋体" w:cs="Times New Roman"/>
                      <w:color w:val="auto"/>
                      <w:sz w:val="21"/>
                      <w:szCs w:val="21"/>
                      <w:highlight w:val="none"/>
                      <w:lang w:val="en-US" w:eastAsia="zh-CN"/>
                    </w:rPr>
                    <w:t>污水处理厂处</w:t>
                  </w:r>
                  <w:r>
                    <w:rPr>
                      <w:rFonts w:hint="default" w:ascii="Times New Roman" w:hAnsi="Times New Roman" w:eastAsia="宋体" w:cs="Times New Roman"/>
                      <w:color w:val="auto"/>
                      <w:kern w:val="0"/>
                      <w:sz w:val="21"/>
                      <w:szCs w:val="21"/>
                      <w:lang w:val="en-US" w:eastAsia="zh-CN" w:bidi="ar"/>
                    </w:rPr>
                    <w:t>理</w:t>
                  </w:r>
                  <w:r>
                    <w:rPr>
                      <w:rFonts w:hint="default" w:ascii="Times New Roman" w:hAnsi="Times New Roman" w:eastAsia="宋体" w:cs="Times New Roman"/>
                      <w:color w:val="auto"/>
                      <w:sz w:val="21"/>
                      <w:szCs w:val="21"/>
                      <w:lang w:val="en-US" w:eastAsia="zh-CN"/>
                    </w:rPr>
                    <w:t>达</w:t>
                  </w:r>
                  <w:r>
                    <w:rPr>
                      <w:rFonts w:ascii="宋体" w:hAnsi="宋体" w:eastAsia="宋体" w:cs="宋体"/>
                      <w:spacing w:val="8"/>
                      <w:sz w:val="21"/>
                      <w:szCs w:val="21"/>
                    </w:rPr>
                    <w:t>《城镇污水处理厂污</w:t>
                  </w:r>
                  <w:r>
                    <w:rPr>
                      <w:rFonts w:ascii="宋体" w:hAnsi="宋体" w:eastAsia="宋体" w:cs="宋体"/>
                      <w:spacing w:val="11"/>
                      <w:sz w:val="21"/>
                      <w:szCs w:val="21"/>
                    </w:rPr>
                    <w:t>染</w:t>
                  </w:r>
                  <w:r>
                    <w:rPr>
                      <w:rFonts w:ascii="宋体" w:hAnsi="宋体" w:eastAsia="宋体" w:cs="宋体"/>
                      <w:spacing w:val="6"/>
                      <w:sz w:val="21"/>
                      <w:szCs w:val="21"/>
                    </w:rPr>
                    <w:t>物排放标准》一级</w:t>
                  </w:r>
                  <w:r>
                    <w:rPr>
                      <w:rFonts w:ascii="Times New Roman" w:hAnsi="Times New Roman" w:eastAsia="Times New Roman" w:cs="Times New Roman"/>
                      <w:sz w:val="21"/>
                      <w:szCs w:val="21"/>
                    </w:rPr>
                    <w:t>A</w:t>
                  </w:r>
                  <w:r>
                    <w:rPr>
                      <w:rFonts w:ascii="宋体" w:hAnsi="宋体" w:eastAsia="宋体" w:cs="宋体"/>
                      <w:spacing w:val="6"/>
                      <w:sz w:val="21"/>
                      <w:szCs w:val="21"/>
                    </w:rPr>
                    <w:t>标</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color w:val="000000"/>
                      <w:kern w:val="0"/>
                      <w:sz w:val="21"/>
                      <w:szCs w:val="21"/>
                      <w:lang w:val="en-US" w:eastAsia="zh-CN" w:bidi="ar"/>
                    </w:rPr>
                    <w:t>排入</w:t>
                  </w:r>
                  <w:r>
                    <w:rPr>
                      <w:rFonts w:hint="eastAsia" w:ascii="Times New Roman" w:hAnsi="Times New Roman" w:eastAsia="宋体" w:cs="Times New Roman"/>
                      <w:color w:val="000000"/>
                      <w:kern w:val="0"/>
                      <w:sz w:val="21"/>
                      <w:szCs w:val="21"/>
                      <w:lang w:val="en-US" w:eastAsia="zh-CN" w:bidi="ar"/>
                    </w:rPr>
                    <w:t>州河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通川区为</w:t>
                  </w:r>
                  <w:r>
                    <w:rPr>
                      <w:rFonts w:hint="default" w:ascii="Times New Roman" w:hAnsi="Times New Roman" w:eastAsia="宋体" w:cs="Times New Roman"/>
                      <w:spacing w:val="8"/>
                      <w:sz w:val="21"/>
                      <w:szCs w:val="21"/>
                    </w:rPr>
                    <w:t>空气质量</w:t>
                  </w:r>
                  <w:r>
                    <w:rPr>
                      <w:rFonts w:hint="default" w:ascii="Times New Roman" w:hAnsi="Times New Roman" w:eastAsia="宋体" w:cs="Times New Roman"/>
                      <w:color w:val="auto"/>
                      <w:sz w:val="21"/>
                      <w:szCs w:val="21"/>
                    </w:rPr>
                    <w:t>达标城市</w:t>
                  </w:r>
                  <w:r>
                    <w:rPr>
                      <w:rFonts w:hint="eastAsia" w:ascii="Times New Roman" w:hAnsi="Times New Roman" w:eastAsia="宋体" w:cs="Times New Roman"/>
                      <w:spacing w:val="9"/>
                      <w:sz w:val="21"/>
                      <w:szCs w:val="21"/>
                      <w:lang w:eastAsia="zh-CN"/>
                    </w:rPr>
                    <w:t>。</w:t>
                  </w:r>
                  <w:r>
                    <w:rPr>
                      <w:rFonts w:hint="default" w:ascii="Times New Roman" w:hAnsi="Times New Roman" w:eastAsia="宋体" w:cs="Times New Roman"/>
                      <w:color w:val="000000"/>
                      <w:kern w:val="0"/>
                      <w:sz w:val="21"/>
                      <w:szCs w:val="21"/>
                      <w:lang w:val="en-US" w:eastAsia="zh-CN" w:bidi="ar"/>
                    </w:rPr>
                    <w:t>固体废物资源化利用、无害化处置率达100%；生活垃圾无害化处理率达100%；危险废物处置率达100%。</w:t>
                  </w:r>
                </w:p>
              </w:tc>
              <w:tc>
                <w:tcPr>
                  <w:tcW w:w="40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sz w:val="21"/>
                      <w:szCs w:val="21"/>
                      <w:lang w:val="en-US" w:eastAsia="zh-CN"/>
                    </w:rPr>
                  </w:pPr>
                </w:p>
              </w:tc>
              <w:tc>
                <w:tcPr>
                  <w:tcW w:w="42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环境风险防控</w:t>
                  </w:r>
                </w:p>
              </w:tc>
              <w:tc>
                <w:tcPr>
                  <w:tcW w:w="4062" w:type="dxa"/>
                  <w:tcBorders>
                    <w:top w:val="single" w:color="auto" w:sz="4" w:space="0"/>
                    <w:left w:val="nil"/>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29"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1</w:t>
                  </w:r>
                  <w:r>
                    <w:rPr>
                      <w:rFonts w:hint="eastAsia" w:ascii="Times New Roman" w:hAnsi="Times New Roman" w:eastAsia="宋体" w:cs="Times New Roman"/>
                      <w:b/>
                      <w:bCs/>
                      <w:spacing w:val="9"/>
                      <w:sz w:val="21"/>
                      <w:szCs w:val="21"/>
                      <w:lang w:eastAsia="zh-CN"/>
                    </w:rPr>
                    <w:t>）</w:t>
                  </w:r>
                  <w:r>
                    <w:rPr>
                      <w:rFonts w:hint="default" w:ascii="Times New Roman" w:hAnsi="Times New Roman" w:eastAsia="宋体" w:cs="Times New Roman"/>
                      <w:b/>
                      <w:bCs/>
                      <w:spacing w:val="7"/>
                      <w:sz w:val="21"/>
                      <w:szCs w:val="21"/>
                    </w:rPr>
                    <w:t>联防联控要求</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5"/>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5"/>
                      <w:sz w:val="21"/>
                      <w:szCs w:val="21"/>
                    </w:rPr>
                    <w:t>强</w:t>
                  </w:r>
                  <w:r>
                    <w:rPr>
                      <w:rFonts w:hint="default" w:ascii="Times New Roman" w:hAnsi="Times New Roman" w:eastAsia="宋体" w:cs="Times New Roman"/>
                      <w:spacing w:val="9"/>
                      <w:sz w:val="21"/>
                      <w:szCs w:val="21"/>
                    </w:rPr>
                    <w:t>化区域联防联控，严格落实《关于建立跨省流域</w:t>
                  </w:r>
                  <w:r>
                    <w:rPr>
                      <w:rFonts w:hint="default" w:ascii="Times New Roman" w:hAnsi="Times New Roman" w:eastAsia="宋体" w:cs="Times New Roman"/>
                      <w:spacing w:val="3"/>
                      <w:sz w:val="21"/>
                      <w:szCs w:val="21"/>
                    </w:rPr>
                    <w:t>上下游突发水污染事件联防联控机制的指导意见</w:t>
                  </w:r>
                  <w:r>
                    <w:rPr>
                      <w:rFonts w:hint="default" w:ascii="Times New Roman" w:hAnsi="Times New Roman" w:eastAsia="宋体" w:cs="Times New Roman"/>
                      <w:spacing w:val="2"/>
                      <w:sz w:val="21"/>
                      <w:szCs w:val="21"/>
                    </w:rPr>
                    <w:t>》</w:t>
                  </w:r>
                  <w:r>
                    <w:rPr>
                      <w:rFonts w:hint="default" w:ascii="Times New Roman" w:hAnsi="Times New Roman" w:eastAsia="宋体" w:cs="Times New Roman"/>
                      <w:sz w:val="21"/>
                      <w:szCs w:val="21"/>
                    </w:rPr>
                    <w:t>；</w:t>
                  </w:r>
                  <w:r>
                    <w:rPr>
                      <w:rFonts w:hint="default" w:ascii="Times New Roman" w:hAnsi="Times New Roman" w:eastAsia="宋体" w:cs="Times New Roman"/>
                      <w:spacing w:val="18"/>
                      <w:sz w:val="21"/>
                      <w:szCs w:val="21"/>
                    </w:rPr>
                    <w:t>定</w:t>
                  </w:r>
                  <w:r>
                    <w:rPr>
                      <w:rFonts w:hint="default" w:ascii="Times New Roman" w:hAnsi="Times New Roman" w:eastAsia="宋体" w:cs="Times New Roman"/>
                      <w:spacing w:val="11"/>
                      <w:sz w:val="21"/>
                      <w:szCs w:val="21"/>
                    </w:rPr>
                    <w:t>期</w:t>
                  </w:r>
                  <w:r>
                    <w:rPr>
                      <w:rFonts w:hint="default" w:ascii="Times New Roman" w:hAnsi="Times New Roman" w:eastAsia="宋体" w:cs="Times New Roman"/>
                      <w:spacing w:val="9"/>
                      <w:sz w:val="21"/>
                      <w:szCs w:val="21"/>
                    </w:rPr>
                    <w:t>召开区域大气环境形式分析会，强化信息共享</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和</w:t>
                  </w:r>
                  <w:r>
                    <w:rPr>
                      <w:rFonts w:hint="default" w:ascii="Times New Roman" w:hAnsi="Times New Roman" w:eastAsia="宋体" w:cs="Times New Roman"/>
                      <w:spacing w:val="10"/>
                      <w:sz w:val="21"/>
                      <w:szCs w:val="21"/>
                    </w:rPr>
                    <w:t>联动合作，实行环境规划，标准，环评，执法，</w:t>
                  </w:r>
                  <w:r>
                    <w:rPr>
                      <w:rFonts w:hint="default" w:ascii="Times New Roman" w:hAnsi="Times New Roman" w:eastAsia="宋体" w:cs="Times New Roman"/>
                      <w:spacing w:val="3"/>
                      <w:sz w:val="21"/>
                      <w:szCs w:val="21"/>
                    </w:rPr>
                    <w:t>信息公开“六统一”，协力推进大气污染源头防</w:t>
                  </w:r>
                  <w:r>
                    <w:rPr>
                      <w:rFonts w:hint="default" w:ascii="Times New Roman" w:hAnsi="Times New Roman" w:eastAsia="宋体" w:cs="Times New Roman"/>
                      <w:spacing w:val="2"/>
                      <w:sz w:val="21"/>
                      <w:szCs w:val="21"/>
                    </w:rPr>
                    <w:t>控</w:t>
                  </w:r>
                  <w:r>
                    <w:rPr>
                      <w:rFonts w:hint="default" w:ascii="Times New Roman" w:hAnsi="Times New Roman" w:eastAsia="宋体" w:cs="Times New Roman"/>
                      <w:sz w:val="21"/>
                      <w:szCs w:val="21"/>
                    </w:rPr>
                    <w:t>，</w:t>
                  </w:r>
                  <w:r>
                    <w:rPr>
                      <w:rFonts w:hint="default" w:ascii="Times New Roman" w:hAnsi="Times New Roman" w:eastAsia="宋体" w:cs="Times New Roman"/>
                      <w:spacing w:val="16"/>
                      <w:sz w:val="21"/>
                      <w:szCs w:val="21"/>
                    </w:rPr>
                    <w:t>加</w:t>
                  </w:r>
                  <w:r>
                    <w:rPr>
                      <w:rFonts w:hint="default" w:ascii="Times New Roman" w:hAnsi="Times New Roman" w:eastAsia="宋体" w:cs="Times New Roman"/>
                      <w:spacing w:val="10"/>
                      <w:sz w:val="21"/>
                      <w:szCs w:val="21"/>
                    </w:rPr>
                    <w:t>强</w:t>
                  </w:r>
                  <w:r>
                    <w:rPr>
                      <w:rFonts w:hint="default" w:ascii="Times New Roman" w:hAnsi="Times New Roman" w:eastAsia="宋体" w:cs="Times New Roman"/>
                      <w:spacing w:val="8"/>
                      <w:sz w:val="21"/>
                      <w:szCs w:val="21"/>
                    </w:rPr>
                    <w:t>川东北区域大气污染防治合作。</w:t>
                  </w:r>
                </w:p>
                <w:p>
                  <w:pPr>
                    <w:keepNext w:val="0"/>
                    <w:keepLines w:val="0"/>
                    <w:pageBreakBefore w:val="0"/>
                    <w:widowControl/>
                    <w:kinsoku w:val="0"/>
                    <w:wordWrap/>
                    <w:overflowPunct/>
                    <w:topLinePunct w:val="0"/>
                    <w:autoSpaceDE w:val="0"/>
                    <w:autoSpaceDN w:val="0"/>
                    <w:bidi w:val="0"/>
                    <w:adjustRightInd w:val="0"/>
                    <w:snapToGrid w:val="0"/>
                    <w:spacing w:line="229"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9"/>
                      <w:sz w:val="21"/>
                      <w:szCs w:val="21"/>
                    </w:rPr>
                    <w:t>2</w:t>
                  </w:r>
                  <w:r>
                    <w:rPr>
                      <w:rFonts w:hint="eastAsia" w:ascii="Times New Roman" w:hAnsi="Times New Roman" w:eastAsia="宋体" w:cs="Times New Roman"/>
                      <w:b/>
                      <w:bCs/>
                      <w:spacing w:val="9"/>
                      <w:sz w:val="21"/>
                      <w:szCs w:val="21"/>
                      <w:lang w:eastAsia="zh-CN"/>
                    </w:rPr>
                    <w:t>）</w:t>
                  </w:r>
                  <w:r>
                    <w:rPr>
                      <w:rFonts w:hint="default" w:ascii="Times New Roman" w:hAnsi="Times New Roman" w:eastAsia="宋体" w:cs="Times New Roman"/>
                      <w:b/>
                      <w:bCs/>
                      <w:spacing w:val="9"/>
                      <w:sz w:val="21"/>
                      <w:szCs w:val="21"/>
                    </w:rPr>
                    <w:t>其他环境风险防控要</w:t>
                  </w:r>
                  <w:r>
                    <w:rPr>
                      <w:rFonts w:hint="default" w:ascii="Times New Roman" w:hAnsi="Times New Roman" w:eastAsia="宋体" w:cs="Times New Roman"/>
                      <w:b/>
                      <w:bCs/>
                      <w:spacing w:val="8"/>
                      <w:sz w:val="21"/>
                      <w:szCs w:val="21"/>
                    </w:rPr>
                    <w:t>求</w:t>
                  </w:r>
                </w:p>
                <w:p>
                  <w:pPr>
                    <w:textAlignment w:val="bottom"/>
                    <w:rPr>
                      <w:rFonts w:hint="default" w:ascii="Times New Roman" w:hAnsi="Times New Roman" w:eastAsia="宋体" w:cs="Times New Roman"/>
                      <w:b w:val="0"/>
                      <w:bCs/>
                      <w:sz w:val="21"/>
                      <w:szCs w:val="21"/>
                    </w:rPr>
                  </w:pPr>
                  <w:r>
                    <w:rPr>
                      <w:rFonts w:hint="default" w:ascii="Times New Roman" w:hAnsi="Times New Roman" w:eastAsia="宋体" w:cs="Times New Roman"/>
                      <w:spacing w:val="17"/>
                      <w:sz w:val="21"/>
                      <w:szCs w:val="21"/>
                    </w:rPr>
                    <w:t>企</w:t>
                  </w:r>
                  <w:r>
                    <w:rPr>
                      <w:rFonts w:hint="default" w:ascii="Times New Roman" w:hAnsi="Times New Roman" w:eastAsia="宋体" w:cs="Times New Roman"/>
                      <w:spacing w:val="9"/>
                      <w:sz w:val="21"/>
                      <w:szCs w:val="21"/>
                    </w:rPr>
                    <w:t>业环境风险防控要求：现有涉及五类重金属的企</w:t>
                  </w:r>
                  <w:r>
                    <w:rPr>
                      <w:rFonts w:hint="default" w:ascii="Times New Roman" w:hAnsi="Times New Roman" w:eastAsia="宋体" w:cs="Times New Roman"/>
                      <w:spacing w:val="18"/>
                      <w:sz w:val="21"/>
                      <w:szCs w:val="21"/>
                    </w:rPr>
                    <w:t>业</w:t>
                  </w:r>
                  <w:r>
                    <w:rPr>
                      <w:rFonts w:hint="default" w:ascii="Times New Roman" w:hAnsi="Times New Roman" w:eastAsia="宋体" w:cs="Times New Roman"/>
                      <w:spacing w:val="12"/>
                      <w:sz w:val="21"/>
                      <w:szCs w:val="21"/>
                    </w:rPr>
                    <w:t>，</w:t>
                  </w:r>
                  <w:r>
                    <w:rPr>
                      <w:rFonts w:hint="default" w:ascii="Times New Roman" w:hAnsi="Times New Roman" w:eastAsia="宋体" w:cs="Times New Roman"/>
                      <w:spacing w:val="9"/>
                      <w:sz w:val="21"/>
                      <w:szCs w:val="21"/>
                    </w:rPr>
                    <w:t>不得新增污染物排放，限期退城入园或关停。</w:t>
                  </w:r>
                  <w:r>
                    <w:rPr>
                      <w:rFonts w:hint="default" w:ascii="Times New Roman" w:hAnsi="Times New Roman" w:eastAsia="宋体" w:cs="Times New Roman"/>
                      <w:spacing w:val="18"/>
                      <w:sz w:val="21"/>
                      <w:szCs w:val="21"/>
                    </w:rPr>
                    <w:t>用</w:t>
                  </w:r>
                  <w:r>
                    <w:rPr>
                      <w:rFonts w:hint="default" w:ascii="Times New Roman" w:hAnsi="Times New Roman" w:eastAsia="宋体" w:cs="Times New Roman"/>
                      <w:spacing w:val="12"/>
                      <w:sz w:val="21"/>
                      <w:szCs w:val="21"/>
                    </w:rPr>
                    <w:t>地</w:t>
                  </w:r>
                  <w:r>
                    <w:rPr>
                      <w:rFonts w:hint="default" w:ascii="Times New Roman" w:hAnsi="Times New Roman" w:eastAsia="宋体" w:cs="Times New Roman"/>
                      <w:spacing w:val="9"/>
                      <w:sz w:val="21"/>
                      <w:szCs w:val="21"/>
                    </w:rPr>
                    <w:t>环境风险防控要求：工业企业退出用地，须经</w:t>
                  </w:r>
                  <w:r>
                    <w:rPr>
                      <w:rFonts w:hint="default" w:ascii="Times New Roman" w:hAnsi="Times New Roman" w:eastAsia="宋体" w:cs="Times New Roman"/>
                      <w:spacing w:val="12"/>
                      <w:sz w:val="21"/>
                      <w:szCs w:val="21"/>
                    </w:rPr>
                    <w:t>评</w:t>
                  </w:r>
                  <w:r>
                    <w:rPr>
                      <w:rFonts w:hint="default" w:ascii="Times New Roman" w:hAnsi="Times New Roman" w:eastAsia="宋体" w:cs="Times New Roman"/>
                      <w:spacing w:val="9"/>
                      <w:sz w:val="21"/>
                      <w:szCs w:val="21"/>
                    </w:rPr>
                    <w:t>估、修复满足相应用地功能后，方可改变用途。</w:t>
                  </w:r>
                </w:p>
              </w:tc>
              <w:tc>
                <w:tcPr>
                  <w:tcW w:w="1432" w:type="dxa"/>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sz w:val="21"/>
                      <w:szCs w:val="21"/>
                      <w:lang w:val="en-US"/>
                    </w:rPr>
                  </w:pPr>
                  <w:r>
                    <w:rPr>
                      <w:rFonts w:hint="default" w:ascii="Times New Roman" w:hAnsi="Times New Roman" w:eastAsia="宋体" w:cs="Times New Roman"/>
                      <w:color w:val="000000"/>
                      <w:kern w:val="0"/>
                      <w:sz w:val="21"/>
                      <w:szCs w:val="21"/>
                      <w:lang w:val="en-US" w:eastAsia="zh-CN" w:bidi="ar"/>
                    </w:rPr>
                    <w:t>本项目不涉及五类重金属，</w:t>
                  </w:r>
                  <w:r>
                    <w:rPr>
                      <w:rFonts w:hint="default" w:ascii="Times New Roman" w:hAnsi="Times New Roman" w:eastAsia="宋体" w:cs="Times New Roman"/>
                      <w:color w:val="auto"/>
                      <w:kern w:val="0"/>
                      <w:sz w:val="21"/>
                      <w:szCs w:val="21"/>
                      <w:lang w:val="en-US" w:eastAsia="zh-CN" w:bidi="ar"/>
                    </w:rPr>
                    <w:t>用地类型为</w:t>
                  </w:r>
                  <w:r>
                    <w:rPr>
                      <w:rFonts w:hint="eastAsia" w:ascii="Times New Roman" w:hAnsi="Times New Roman" w:eastAsia="宋体" w:cs="Times New Roman"/>
                      <w:color w:val="auto"/>
                      <w:sz w:val="21"/>
                      <w:szCs w:val="21"/>
                    </w:rPr>
                    <w:t>规划的</w:t>
                  </w:r>
                  <w:r>
                    <w:rPr>
                      <w:rFonts w:hint="eastAsia" w:ascii="Times New Roman" w:hAnsi="Times New Roman" w:eastAsia="宋体" w:cs="Times New Roman"/>
                      <w:color w:val="auto"/>
                      <w:sz w:val="21"/>
                      <w:szCs w:val="21"/>
                      <w:lang w:val="en-US" w:eastAsia="zh-CN"/>
                    </w:rPr>
                    <w:t>职业教育用地、防护</w:t>
                  </w:r>
                  <w:r>
                    <w:rPr>
                      <w:rFonts w:hint="default" w:ascii="Times New Roman" w:hAnsi="Times New Roman" w:eastAsia="宋体" w:cs="Times New Roman"/>
                      <w:color w:val="auto"/>
                      <w:sz w:val="21"/>
                      <w:szCs w:val="21"/>
                      <w:lang w:val="en-US" w:eastAsia="zh-CN"/>
                    </w:rPr>
                    <w:t>绿地</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000000"/>
                      <w:kern w:val="0"/>
                      <w:sz w:val="21"/>
                      <w:szCs w:val="21"/>
                      <w:lang w:val="en-US" w:eastAsia="zh-CN" w:bidi="ar"/>
                    </w:rPr>
                    <w:t>不改变土地用途。</w:t>
                  </w:r>
                </w:p>
              </w:tc>
              <w:tc>
                <w:tcPr>
                  <w:tcW w:w="40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资源开发效率</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11"/>
                      <w:sz w:val="21"/>
                      <w:szCs w:val="21"/>
                    </w:rPr>
                    <w:t>1</w:t>
                  </w:r>
                  <w:r>
                    <w:rPr>
                      <w:rFonts w:hint="eastAsia" w:ascii="Times New Roman" w:hAnsi="Times New Roman" w:eastAsia="宋体" w:cs="Times New Roman"/>
                      <w:b/>
                      <w:bCs/>
                      <w:spacing w:val="11"/>
                      <w:sz w:val="21"/>
                      <w:szCs w:val="21"/>
                      <w:lang w:eastAsia="zh-CN"/>
                    </w:rPr>
                    <w:t>）</w:t>
                  </w:r>
                  <w:r>
                    <w:rPr>
                      <w:rFonts w:hint="default" w:ascii="Times New Roman" w:hAnsi="Times New Roman" w:eastAsia="宋体" w:cs="Times New Roman"/>
                      <w:b/>
                      <w:bCs/>
                      <w:spacing w:val="8"/>
                      <w:sz w:val="21"/>
                      <w:szCs w:val="21"/>
                    </w:rPr>
                    <w:t>水资源利用总量要求</w:t>
                  </w:r>
                </w:p>
                <w:p>
                  <w:pPr>
                    <w:keepNext w:val="0"/>
                    <w:keepLines w:val="0"/>
                    <w:pageBreakBefore w:val="0"/>
                    <w:widowControl/>
                    <w:kinsoku w:val="0"/>
                    <w:wordWrap/>
                    <w:overflowPunct/>
                    <w:topLinePunct w:val="0"/>
                    <w:autoSpaceDE w:val="0"/>
                    <w:autoSpaceDN w:val="0"/>
                    <w:bidi w:val="0"/>
                    <w:adjustRightInd w:val="0"/>
                    <w:snapToGrid w:val="0"/>
                    <w:spacing w:line="251" w:lineRule="auto"/>
                    <w:ind w:left="0" w:right="0" w:firstLine="18"/>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－到 2025 年，全国污水收集效</w:t>
                  </w:r>
                  <w:r>
                    <w:rPr>
                      <w:rFonts w:hint="default" w:ascii="Times New Roman" w:hAnsi="Times New Roman" w:eastAsia="宋体" w:cs="Times New Roman"/>
                      <w:spacing w:val="1"/>
                      <w:sz w:val="21"/>
                      <w:szCs w:val="21"/>
                    </w:rPr>
                    <w:t>能显著提升，县城及</w:t>
                  </w:r>
                  <w:r>
                    <w:rPr>
                      <w:rFonts w:hint="default" w:ascii="Times New Roman" w:hAnsi="Times New Roman" w:eastAsia="宋体" w:cs="Times New Roman"/>
                      <w:spacing w:val="18"/>
                      <w:sz w:val="21"/>
                      <w:szCs w:val="21"/>
                    </w:rPr>
                    <w:t>城</w:t>
                  </w:r>
                  <w:r>
                    <w:rPr>
                      <w:rFonts w:hint="default" w:ascii="Times New Roman" w:hAnsi="Times New Roman" w:eastAsia="宋体" w:cs="Times New Roman"/>
                      <w:spacing w:val="11"/>
                      <w:sz w:val="21"/>
                      <w:szCs w:val="21"/>
                    </w:rPr>
                    <w:t>市</w:t>
                  </w:r>
                  <w:r>
                    <w:rPr>
                      <w:rFonts w:hint="default" w:ascii="Times New Roman" w:hAnsi="Times New Roman" w:eastAsia="宋体" w:cs="Times New Roman"/>
                      <w:spacing w:val="9"/>
                      <w:sz w:val="21"/>
                      <w:szCs w:val="21"/>
                    </w:rPr>
                    <w:t>污水处理能力基本满足当地经济社会发展需</w:t>
                  </w:r>
                  <w:r>
                    <w:rPr>
                      <w:rFonts w:hint="default" w:ascii="Times New Roman" w:hAnsi="Times New Roman" w:eastAsia="宋体" w:cs="Times New Roman"/>
                      <w:spacing w:val="11"/>
                      <w:sz w:val="21"/>
                      <w:szCs w:val="21"/>
                    </w:rPr>
                    <w:t>要</w:t>
                  </w:r>
                  <w:r>
                    <w:rPr>
                      <w:rFonts w:hint="default" w:ascii="Times New Roman" w:hAnsi="Times New Roman" w:eastAsia="宋体" w:cs="Times New Roman"/>
                      <w:spacing w:val="9"/>
                      <w:sz w:val="21"/>
                      <w:szCs w:val="21"/>
                    </w:rPr>
                    <w:t>，水环境敏感地区污水处理基本实现提标升级；</w:t>
                  </w:r>
                  <w:r>
                    <w:rPr>
                      <w:rFonts w:hint="default" w:ascii="Times New Roman" w:hAnsi="Times New Roman" w:eastAsia="宋体" w:cs="Times New Roman"/>
                      <w:spacing w:val="7"/>
                      <w:sz w:val="21"/>
                      <w:szCs w:val="21"/>
                    </w:rPr>
                    <w:t>全</w:t>
                  </w:r>
                  <w:r>
                    <w:rPr>
                      <w:rFonts w:hint="default" w:ascii="Times New Roman" w:hAnsi="Times New Roman" w:eastAsia="宋体" w:cs="Times New Roman"/>
                      <w:spacing w:val="6"/>
                      <w:sz w:val="21"/>
                      <w:szCs w:val="21"/>
                    </w:rPr>
                    <w:t>国地级及以上缺水城市再生水利用率达到 25%以</w:t>
                  </w:r>
                  <w:r>
                    <w:rPr>
                      <w:rFonts w:hint="eastAsia" w:ascii="Times New Roman" w:hAnsi="Times New Roman" w:eastAsia="宋体" w:cs="Times New Roman"/>
                      <w:spacing w:val="6"/>
                      <w:sz w:val="21"/>
                      <w:szCs w:val="21"/>
                      <w:lang w:val="en-US" w:eastAsia="zh-CN"/>
                    </w:rPr>
                    <w:t>上</w:t>
                  </w:r>
                  <w:r>
                    <w:rPr>
                      <w:rFonts w:hint="default" w:ascii="Times New Roman" w:hAnsi="Times New Roman" w:eastAsia="宋体" w:cs="Times New Roman"/>
                      <w:position w:val="1"/>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bCs/>
                      <w:spacing w:val="13"/>
                      <w:sz w:val="21"/>
                      <w:szCs w:val="21"/>
                    </w:rPr>
                    <w:t>2</w:t>
                  </w:r>
                  <w:r>
                    <w:rPr>
                      <w:rFonts w:hint="eastAsia" w:ascii="Times New Roman" w:hAnsi="Times New Roman" w:eastAsia="宋体" w:cs="Times New Roman"/>
                      <w:b/>
                      <w:bCs/>
                      <w:spacing w:val="13"/>
                      <w:sz w:val="21"/>
                      <w:szCs w:val="21"/>
                      <w:lang w:eastAsia="zh-CN"/>
                    </w:rPr>
                    <w:t>）</w:t>
                  </w:r>
                  <w:r>
                    <w:rPr>
                      <w:rFonts w:hint="default" w:ascii="Times New Roman" w:hAnsi="Times New Roman" w:eastAsia="宋体" w:cs="Times New Roman"/>
                      <w:b/>
                      <w:bCs/>
                      <w:spacing w:val="8"/>
                      <w:sz w:val="21"/>
                      <w:szCs w:val="21"/>
                    </w:rPr>
                    <w:t>地下水开采要求</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9"/>
                      <w:sz w:val="21"/>
                      <w:szCs w:val="21"/>
                    </w:rPr>
                    <w:t>以</w:t>
                  </w:r>
                  <w:r>
                    <w:rPr>
                      <w:rFonts w:hint="default" w:ascii="Times New Roman" w:hAnsi="Times New Roman" w:eastAsia="宋体" w:cs="Times New Roman"/>
                      <w:spacing w:val="6"/>
                      <w:sz w:val="21"/>
                      <w:szCs w:val="21"/>
                    </w:rPr>
                    <w:t>省市下发指标为准</w:t>
                  </w:r>
                  <w:r>
                    <w:rPr>
                      <w:rFonts w:hint="eastAsia" w:ascii="Times New Roman" w:hAnsi="Times New Roman" w:eastAsia="宋体" w:cs="Times New Roman"/>
                      <w:spacing w:val="6"/>
                      <w:sz w:val="21"/>
                      <w:szCs w:val="21"/>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bCs/>
                      <w:spacing w:val="12"/>
                      <w:sz w:val="21"/>
                      <w:szCs w:val="21"/>
                    </w:rPr>
                    <w:t>3</w:t>
                  </w:r>
                  <w:r>
                    <w:rPr>
                      <w:rFonts w:hint="eastAsia" w:ascii="Times New Roman" w:hAnsi="Times New Roman" w:eastAsia="宋体" w:cs="Times New Roman"/>
                      <w:b/>
                      <w:bCs/>
                      <w:spacing w:val="12"/>
                      <w:sz w:val="21"/>
                      <w:szCs w:val="21"/>
                      <w:lang w:eastAsia="zh-CN"/>
                    </w:rPr>
                    <w:t>）</w:t>
                  </w:r>
                  <w:r>
                    <w:rPr>
                      <w:rFonts w:hint="default" w:ascii="Times New Roman" w:hAnsi="Times New Roman" w:eastAsia="宋体" w:cs="Times New Roman"/>
                      <w:b/>
                      <w:bCs/>
                      <w:spacing w:val="9"/>
                      <w:sz w:val="21"/>
                      <w:szCs w:val="21"/>
                    </w:rPr>
                    <w:t>能源利用总量及效率要求</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w:t>
                  </w:r>
                  <w:r>
                    <w:rPr>
                      <w:rFonts w:hint="default" w:ascii="Times New Roman" w:hAnsi="Times New Roman" w:eastAsia="宋体" w:cs="Times New Roman"/>
                      <w:spacing w:val="8"/>
                      <w:sz w:val="21"/>
                      <w:szCs w:val="21"/>
                    </w:rPr>
                    <w:t>严控使用燃煤等高污染燃料，禁止焚烧垃圾。</w:t>
                  </w:r>
                </w:p>
                <w:p>
                  <w:pPr>
                    <w:keepNext w:val="0"/>
                    <w:keepLines w:val="0"/>
                    <w:pageBreakBefore w:val="0"/>
                    <w:widowControl/>
                    <w:kinsoku w:val="0"/>
                    <w:wordWrap/>
                    <w:overflowPunct/>
                    <w:topLinePunct w:val="0"/>
                    <w:autoSpaceDE w:val="0"/>
                    <w:autoSpaceDN w:val="0"/>
                    <w:bidi w:val="0"/>
                    <w:adjustRightInd w:val="0"/>
                    <w:snapToGrid w:val="0"/>
                    <w:spacing w:line="244"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－全面淘汰每小时 10 蒸吨以下的燃</w:t>
                  </w:r>
                  <w:r>
                    <w:rPr>
                      <w:rFonts w:hint="default" w:ascii="Times New Roman" w:hAnsi="Times New Roman" w:eastAsia="宋体" w:cs="Times New Roman"/>
                      <w:spacing w:val="1"/>
                      <w:sz w:val="21"/>
                      <w:szCs w:val="21"/>
                    </w:rPr>
                    <w:t>煤锅炉；在供气</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8"/>
                      <w:sz w:val="21"/>
                      <w:szCs w:val="21"/>
                    </w:rPr>
                    <w:t>管</w:t>
                  </w:r>
                  <w:r>
                    <w:rPr>
                      <w:rFonts w:hint="default" w:ascii="Times New Roman" w:hAnsi="Times New Roman" w:eastAsia="宋体" w:cs="Times New Roman"/>
                      <w:spacing w:val="12"/>
                      <w:sz w:val="21"/>
                      <w:szCs w:val="21"/>
                    </w:rPr>
                    <w:t>网</w:t>
                  </w:r>
                  <w:r>
                    <w:rPr>
                      <w:rFonts w:hint="default" w:ascii="Times New Roman" w:hAnsi="Times New Roman" w:eastAsia="宋体" w:cs="Times New Roman"/>
                      <w:spacing w:val="9"/>
                      <w:sz w:val="21"/>
                      <w:szCs w:val="21"/>
                    </w:rPr>
                    <w:t>覆盖不到的其他地区，改用电、新能源或洁净</w:t>
                  </w:r>
                  <w:r>
                    <w:rPr>
                      <w:rFonts w:hint="default" w:ascii="Times New Roman" w:hAnsi="Times New Roman" w:eastAsia="宋体" w:cs="Times New Roman"/>
                      <w:spacing w:val="1"/>
                      <w:sz w:val="21"/>
                      <w:szCs w:val="21"/>
                    </w:rPr>
                    <w:t>煤</w:t>
                  </w:r>
                  <w:r>
                    <w:rPr>
                      <w:rFonts w:hint="default" w:ascii="Times New Roman" w:hAnsi="Times New Roman" w:eastAsia="宋体" w:cs="Times New Roman"/>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7" w:lineRule="auto"/>
                    <w:ind w:left="0" w:right="0" w:firstLine="19"/>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－地级</w:t>
                  </w:r>
                  <w:r>
                    <w:rPr>
                      <w:rFonts w:hint="default" w:ascii="Times New Roman" w:hAnsi="Times New Roman" w:eastAsia="宋体" w:cs="Times New Roman"/>
                      <w:spacing w:val="7"/>
                      <w:sz w:val="21"/>
                      <w:szCs w:val="21"/>
                    </w:rPr>
                    <w:t>以</w:t>
                  </w:r>
                  <w:r>
                    <w:rPr>
                      <w:rFonts w:hint="default" w:ascii="Times New Roman" w:hAnsi="Times New Roman" w:eastAsia="宋体" w:cs="Times New Roman"/>
                      <w:spacing w:val="5"/>
                      <w:sz w:val="21"/>
                      <w:szCs w:val="21"/>
                    </w:rPr>
                    <w:t>上城市建成区禁止新建每小时 20 蒸吨以</w:t>
                  </w:r>
                  <w:r>
                    <w:rPr>
                      <w:rFonts w:hint="default" w:ascii="Times New Roman" w:hAnsi="Times New Roman" w:eastAsia="宋体" w:cs="Times New Roman"/>
                      <w:spacing w:val="4"/>
                      <w:sz w:val="21"/>
                      <w:szCs w:val="21"/>
                    </w:rPr>
                    <w:t>下燃煤锅炉</w:t>
                  </w:r>
                  <w:r>
                    <w:rPr>
                      <w:rFonts w:hint="default" w:ascii="Times New Roman" w:hAnsi="Times New Roman" w:eastAsia="宋体" w:cs="Times New Roman"/>
                      <w:spacing w:val="2"/>
                      <w:sz w:val="21"/>
                      <w:szCs w:val="21"/>
                    </w:rPr>
                    <w:t>；对 20 蒸吨及以上燃煤锅炉实施脱硫改</w:t>
                  </w:r>
                  <w:r>
                    <w:rPr>
                      <w:rFonts w:hint="default" w:ascii="Times New Roman" w:hAnsi="Times New Roman" w:eastAsia="宋体" w:cs="Times New Roman"/>
                      <w:spacing w:val="18"/>
                      <w:sz w:val="21"/>
                      <w:szCs w:val="21"/>
                    </w:rPr>
                    <w:t>造</w:t>
                  </w:r>
                  <w:r>
                    <w:rPr>
                      <w:rFonts w:hint="default" w:ascii="Times New Roman" w:hAnsi="Times New Roman" w:eastAsia="宋体" w:cs="Times New Roman"/>
                      <w:spacing w:val="12"/>
                      <w:sz w:val="21"/>
                      <w:szCs w:val="21"/>
                    </w:rPr>
                    <w:t>，</w:t>
                  </w:r>
                  <w:r>
                    <w:rPr>
                      <w:rFonts w:hint="default" w:ascii="Times New Roman" w:hAnsi="Times New Roman" w:eastAsia="宋体" w:cs="Times New Roman"/>
                      <w:spacing w:val="9"/>
                      <w:sz w:val="21"/>
                      <w:szCs w:val="21"/>
                    </w:rPr>
                    <w:t>建设高效脱硫设施；对循环流化床锅炉以外的</w:t>
                  </w:r>
                  <w:r>
                    <w:rPr>
                      <w:rFonts w:hint="default" w:ascii="Times New Roman" w:hAnsi="Times New Roman" w:eastAsia="宋体" w:cs="Times New Roman"/>
                      <w:spacing w:val="18"/>
                      <w:sz w:val="21"/>
                      <w:szCs w:val="21"/>
                    </w:rPr>
                    <w:t>燃</w:t>
                  </w:r>
                  <w:r>
                    <w:rPr>
                      <w:rFonts w:hint="default" w:ascii="Times New Roman" w:hAnsi="Times New Roman" w:eastAsia="宋体" w:cs="Times New Roman"/>
                      <w:spacing w:val="12"/>
                      <w:sz w:val="21"/>
                      <w:szCs w:val="21"/>
                    </w:rPr>
                    <w:t>煤</w:t>
                  </w:r>
                  <w:r>
                    <w:rPr>
                      <w:rFonts w:hint="default" w:ascii="Times New Roman" w:hAnsi="Times New Roman" w:eastAsia="宋体" w:cs="Times New Roman"/>
                      <w:spacing w:val="9"/>
                      <w:sz w:val="21"/>
                      <w:szCs w:val="21"/>
                    </w:rPr>
                    <w:t>发电机组一律安装脱硫设施，对燃煤锅炉和工</w:t>
                  </w:r>
                  <w:r>
                    <w:rPr>
                      <w:rFonts w:hint="default" w:ascii="Times New Roman" w:hAnsi="Times New Roman" w:eastAsia="宋体" w:cs="Times New Roman"/>
                      <w:spacing w:val="18"/>
                      <w:sz w:val="21"/>
                      <w:szCs w:val="21"/>
                    </w:rPr>
                    <w:t>业</w:t>
                  </w:r>
                  <w:r>
                    <w:rPr>
                      <w:rFonts w:hint="default" w:ascii="Times New Roman" w:hAnsi="Times New Roman" w:eastAsia="宋体" w:cs="Times New Roman"/>
                      <w:spacing w:val="12"/>
                      <w:sz w:val="21"/>
                      <w:szCs w:val="21"/>
                    </w:rPr>
                    <w:t>锅</w:t>
                  </w:r>
                  <w:r>
                    <w:rPr>
                      <w:rFonts w:hint="default" w:ascii="Times New Roman" w:hAnsi="Times New Roman" w:eastAsia="宋体" w:cs="Times New Roman"/>
                      <w:spacing w:val="9"/>
                      <w:sz w:val="21"/>
                      <w:szCs w:val="21"/>
                    </w:rPr>
                    <w:t>炉现有除尘设施实施升级改造，确保达到新的</w:t>
                  </w:r>
                  <w:r>
                    <w:rPr>
                      <w:rFonts w:hint="default" w:ascii="Times New Roman" w:hAnsi="Times New Roman" w:eastAsia="宋体" w:cs="Times New Roman"/>
                      <w:spacing w:val="13"/>
                      <w:sz w:val="21"/>
                      <w:szCs w:val="21"/>
                    </w:rPr>
                    <w:t>排</w:t>
                  </w:r>
                  <w:r>
                    <w:rPr>
                      <w:rFonts w:hint="default" w:ascii="Times New Roman" w:hAnsi="Times New Roman" w:eastAsia="宋体" w:cs="Times New Roman"/>
                      <w:spacing w:val="8"/>
                      <w:sz w:val="21"/>
                      <w:szCs w:val="21"/>
                    </w:rPr>
                    <w:t>放标准和特别排放限值。</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bCs/>
                      <w:spacing w:val="8"/>
                      <w:sz w:val="21"/>
                      <w:szCs w:val="21"/>
                    </w:rPr>
                    <w:t>4</w:t>
                  </w:r>
                  <w:r>
                    <w:rPr>
                      <w:rFonts w:hint="eastAsia" w:ascii="Times New Roman" w:hAnsi="Times New Roman" w:eastAsia="宋体" w:cs="Times New Roman"/>
                      <w:b/>
                      <w:bCs/>
                      <w:spacing w:val="8"/>
                      <w:sz w:val="21"/>
                      <w:szCs w:val="21"/>
                      <w:lang w:eastAsia="zh-CN"/>
                    </w:rPr>
                    <w:t>）</w:t>
                  </w:r>
                  <w:r>
                    <w:rPr>
                      <w:rFonts w:hint="default" w:ascii="Times New Roman" w:hAnsi="Times New Roman" w:eastAsia="宋体" w:cs="Times New Roman"/>
                      <w:b/>
                      <w:bCs/>
                      <w:spacing w:val="8"/>
                      <w:sz w:val="21"/>
                      <w:szCs w:val="21"/>
                    </w:rPr>
                    <w:t>禁燃区要</w:t>
                  </w:r>
                  <w:r>
                    <w:rPr>
                      <w:rFonts w:hint="default" w:ascii="Times New Roman" w:hAnsi="Times New Roman" w:eastAsia="宋体" w:cs="Times New Roman"/>
                      <w:b/>
                      <w:bCs/>
                      <w:spacing w:val="6"/>
                      <w:sz w:val="21"/>
                      <w:szCs w:val="21"/>
                    </w:rPr>
                    <w:t>求</w:t>
                  </w:r>
                </w:p>
                <w:p>
                  <w:pPr>
                    <w:keepNext w:val="0"/>
                    <w:keepLines w:val="0"/>
                    <w:pageBreakBefore w:val="0"/>
                    <w:widowControl/>
                    <w:kinsoku w:val="0"/>
                    <w:wordWrap/>
                    <w:overflowPunct/>
                    <w:topLinePunct w:val="0"/>
                    <w:autoSpaceDE w:val="0"/>
                    <w:autoSpaceDN w:val="0"/>
                    <w:bidi w:val="0"/>
                    <w:adjustRightInd w:val="0"/>
                    <w:snapToGrid w:val="0"/>
                    <w:spacing w:line="239" w:lineRule="auto"/>
                    <w:ind w:left="0" w:right="0" w:firstLine="11"/>
                    <w:textAlignment w:val="baseline"/>
                    <w:rPr>
                      <w:rFonts w:hint="default" w:ascii="Times New Roman" w:hAnsi="Times New Roman" w:eastAsia="宋体" w:cs="Times New Roman"/>
                      <w:spacing w:val="3"/>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高</w:t>
                  </w:r>
                  <w:r>
                    <w:rPr>
                      <w:rFonts w:hint="default" w:ascii="Times New Roman" w:hAnsi="Times New Roman" w:eastAsia="宋体" w:cs="Times New Roman"/>
                      <w:spacing w:val="8"/>
                      <w:sz w:val="21"/>
                      <w:szCs w:val="21"/>
                    </w:rPr>
                    <w:t>污染燃料禁燃区内禁止燃用的燃料为《高污染</w:t>
                  </w:r>
                  <w:r>
                    <w:rPr>
                      <w:rFonts w:hint="default" w:ascii="Times New Roman" w:hAnsi="Times New Roman" w:eastAsia="宋体" w:cs="Times New Roman"/>
                      <w:spacing w:val="4"/>
                      <w:sz w:val="21"/>
                      <w:szCs w:val="21"/>
                    </w:rPr>
                    <w:t>燃料目录》 (2017) 中Ⅲ类 (严格) 燃料组合</w:t>
                  </w:r>
                  <w:r>
                    <w:rPr>
                      <w:rFonts w:hint="default" w:ascii="Times New Roman" w:hAnsi="Times New Roman" w:eastAsia="宋体" w:cs="Times New Roman"/>
                      <w:spacing w:val="2"/>
                      <w:sz w:val="21"/>
                      <w:szCs w:val="21"/>
                    </w:rPr>
                    <w:t>，</w:t>
                  </w:r>
                  <w:r>
                    <w:rPr>
                      <w:rFonts w:hint="default" w:ascii="Times New Roman" w:hAnsi="Times New Roman" w:eastAsia="宋体" w:cs="Times New Roman"/>
                      <w:sz w:val="21"/>
                      <w:szCs w:val="21"/>
                    </w:rPr>
                    <w:t>包</w:t>
                  </w:r>
                  <w:r>
                    <w:rPr>
                      <w:rFonts w:hint="default" w:ascii="Times New Roman" w:hAnsi="Times New Roman" w:eastAsia="宋体" w:cs="Times New Roman"/>
                      <w:spacing w:val="-14"/>
                      <w:sz w:val="21"/>
                      <w:szCs w:val="21"/>
                    </w:rPr>
                    <w:t>括</w:t>
                  </w:r>
                  <w:r>
                    <w:rPr>
                      <w:rFonts w:hint="default" w:ascii="Times New Roman" w:hAnsi="Times New Roman" w:eastAsia="宋体" w:cs="Times New Roman"/>
                      <w:spacing w:val="-9"/>
                      <w:sz w:val="21"/>
                      <w:szCs w:val="21"/>
                    </w:rPr>
                    <w:t>：</w:t>
                  </w:r>
                  <w:r>
                    <w:rPr>
                      <w:rFonts w:hint="default" w:ascii="Times New Roman" w:hAnsi="Times New Roman" w:eastAsia="宋体" w:cs="Times New Roman"/>
                      <w:spacing w:val="-7"/>
                      <w:sz w:val="21"/>
                      <w:szCs w:val="21"/>
                    </w:rPr>
                    <w:t>(一) 煤炭及其制品；(二) 石油焦、油页岩、</w:t>
                  </w:r>
                  <w:r>
                    <w:rPr>
                      <w:rFonts w:hint="default" w:ascii="Times New Roman" w:hAnsi="Times New Roman" w:eastAsia="宋体" w:cs="Times New Roman"/>
                      <w:spacing w:val="8"/>
                      <w:sz w:val="21"/>
                      <w:szCs w:val="21"/>
                    </w:rPr>
                    <w:t>原油</w:t>
                  </w:r>
                  <w:r>
                    <w:rPr>
                      <w:rFonts w:hint="default" w:ascii="Times New Roman" w:hAnsi="Times New Roman" w:eastAsia="宋体" w:cs="Times New Roman"/>
                      <w:spacing w:val="6"/>
                      <w:sz w:val="21"/>
                      <w:szCs w:val="21"/>
                    </w:rPr>
                    <w:t>、</w:t>
                  </w:r>
                  <w:r>
                    <w:rPr>
                      <w:rFonts w:hint="default" w:ascii="Times New Roman" w:hAnsi="Times New Roman" w:eastAsia="宋体" w:cs="Times New Roman"/>
                      <w:spacing w:val="4"/>
                      <w:sz w:val="21"/>
                      <w:szCs w:val="21"/>
                    </w:rPr>
                    <w:t>重油、渣油、煤焦油；(三) 非专用锅炉或</w:t>
                  </w:r>
                  <w:r>
                    <w:rPr>
                      <w:rFonts w:hint="default" w:ascii="Times New Roman" w:hAnsi="Times New Roman" w:eastAsia="宋体" w:cs="Times New Roman"/>
                      <w:spacing w:val="18"/>
                      <w:sz w:val="21"/>
                      <w:szCs w:val="21"/>
                    </w:rPr>
                    <w:t>未</w:t>
                  </w:r>
                  <w:r>
                    <w:rPr>
                      <w:rFonts w:hint="default" w:ascii="Times New Roman" w:hAnsi="Times New Roman" w:eastAsia="宋体" w:cs="Times New Roman"/>
                      <w:spacing w:val="12"/>
                      <w:sz w:val="21"/>
                      <w:szCs w:val="21"/>
                    </w:rPr>
                    <w:t>配</w:t>
                  </w:r>
                  <w:r>
                    <w:rPr>
                      <w:rFonts w:hint="default" w:ascii="Times New Roman" w:hAnsi="Times New Roman" w:eastAsia="宋体" w:cs="Times New Roman"/>
                      <w:spacing w:val="9"/>
                      <w:sz w:val="21"/>
                      <w:szCs w:val="21"/>
                    </w:rPr>
                    <w:t>置高效除尘设施的专用锅炉燃用的生物质成型</w:t>
                  </w:r>
                  <w:r>
                    <w:rPr>
                      <w:rFonts w:hint="default" w:ascii="Times New Roman" w:hAnsi="Times New Roman" w:eastAsia="宋体" w:cs="Times New Roman"/>
                      <w:spacing w:val="4"/>
                      <w:sz w:val="21"/>
                      <w:szCs w:val="21"/>
                    </w:rPr>
                    <w:t>燃</w:t>
                  </w:r>
                  <w:r>
                    <w:rPr>
                      <w:rFonts w:hint="default" w:ascii="Times New Roman" w:hAnsi="Times New Roman" w:eastAsia="宋体" w:cs="Times New Roman"/>
                      <w:spacing w:val="3"/>
                      <w:sz w:val="21"/>
                      <w:szCs w:val="21"/>
                    </w:rPr>
                    <w:t>料。</w:t>
                  </w:r>
                </w:p>
                <w:p>
                  <w:pPr>
                    <w:keepNext w:val="0"/>
                    <w:keepLines w:val="0"/>
                    <w:pageBreakBefore w:val="0"/>
                    <w:widowControl/>
                    <w:kinsoku w:val="0"/>
                    <w:wordWrap/>
                    <w:overflowPunct/>
                    <w:topLinePunct w:val="0"/>
                    <w:autoSpaceDE w:val="0"/>
                    <w:autoSpaceDN w:val="0"/>
                    <w:bidi w:val="0"/>
                    <w:adjustRightInd w:val="0"/>
                    <w:snapToGrid w:val="0"/>
                    <w:spacing w:line="239" w:lineRule="auto"/>
                    <w:ind w:left="0" w:right="0" w:firstLine="11"/>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－禁燃区内禁止</w:t>
                  </w:r>
                  <w:r>
                    <w:rPr>
                      <w:rFonts w:hint="default" w:ascii="Times New Roman" w:hAnsi="Times New Roman" w:eastAsia="宋体" w:cs="Times New Roman"/>
                      <w:spacing w:val="3"/>
                      <w:sz w:val="21"/>
                      <w:szCs w:val="21"/>
                    </w:rPr>
                    <w:t>销</w:t>
                  </w:r>
                  <w:r>
                    <w:rPr>
                      <w:rFonts w:hint="default" w:ascii="Times New Roman" w:hAnsi="Times New Roman" w:eastAsia="宋体" w:cs="Times New Roman"/>
                      <w:spacing w:val="2"/>
                      <w:sz w:val="21"/>
                      <w:szCs w:val="21"/>
                    </w:rPr>
                    <w:t>售、燃用高污染燃料；禁止新建、</w:t>
                  </w:r>
                  <w:r>
                    <w:rPr>
                      <w:rFonts w:hint="default" w:ascii="Times New Roman" w:hAnsi="Times New Roman" w:eastAsia="宋体" w:cs="Times New Roman"/>
                      <w:spacing w:val="16"/>
                      <w:sz w:val="21"/>
                      <w:szCs w:val="21"/>
                    </w:rPr>
                    <w:t>改</w:t>
                  </w:r>
                  <w:r>
                    <w:rPr>
                      <w:rFonts w:hint="default" w:ascii="Times New Roman" w:hAnsi="Times New Roman" w:eastAsia="宋体" w:cs="Times New Roman"/>
                      <w:spacing w:val="10"/>
                      <w:sz w:val="21"/>
                      <w:szCs w:val="21"/>
                    </w:rPr>
                    <w:t>建</w:t>
                  </w:r>
                  <w:r>
                    <w:rPr>
                      <w:rFonts w:hint="default" w:ascii="Times New Roman" w:hAnsi="Times New Roman" w:eastAsia="宋体" w:cs="Times New Roman"/>
                      <w:spacing w:val="8"/>
                      <w:sz w:val="21"/>
                      <w:szCs w:val="21"/>
                    </w:rPr>
                    <w:t>、扩建燃用高污染燃料的设施和设备。</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right="0" w:firstLine="1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14"/>
                      <w:sz w:val="21"/>
                      <w:szCs w:val="21"/>
                    </w:rPr>
                    <w:t>禁</w:t>
                  </w:r>
                  <w:r>
                    <w:rPr>
                      <w:rFonts w:hint="default" w:ascii="Times New Roman" w:hAnsi="Times New Roman" w:eastAsia="宋体" w:cs="Times New Roman"/>
                      <w:spacing w:val="8"/>
                      <w:sz w:val="21"/>
                      <w:szCs w:val="21"/>
                    </w:rPr>
                    <w:t>燃区内已建成的高污染燃料燃用设施由辖区人</w:t>
                  </w:r>
                  <w:r>
                    <w:rPr>
                      <w:rFonts w:hint="default" w:ascii="Times New Roman" w:hAnsi="Times New Roman" w:eastAsia="宋体" w:cs="Times New Roman"/>
                      <w:spacing w:val="18"/>
                      <w:sz w:val="21"/>
                      <w:szCs w:val="21"/>
                    </w:rPr>
                    <w:t>民</w:t>
                  </w:r>
                  <w:r>
                    <w:rPr>
                      <w:rFonts w:hint="default" w:ascii="Times New Roman" w:hAnsi="Times New Roman" w:eastAsia="宋体" w:cs="Times New Roman"/>
                      <w:spacing w:val="9"/>
                      <w:sz w:val="21"/>
                      <w:szCs w:val="21"/>
                    </w:rPr>
                    <w:t>政府制定限期改造计划，改用天然气、页岩气、</w:t>
                  </w:r>
                  <w:r>
                    <w:rPr>
                      <w:rFonts w:hint="default" w:ascii="Times New Roman" w:hAnsi="Times New Roman" w:eastAsia="宋体" w:cs="Times New Roman"/>
                      <w:spacing w:val="2"/>
                      <w:sz w:val="21"/>
                      <w:szCs w:val="21"/>
                    </w:rPr>
                    <w:t>液化石油气、电或其他</w:t>
                  </w:r>
                  <w:r>
                    <w:rPr>
                      <w:rFonts w:hint="default" w:ascii="Times New Roman" w:hAnsi="Times New Roman" w:eastAsia="宋体" w:cs="Times New Roman"/>
                      <w:spacing w:val="1"/>
                      <w:sz w:val="21"/>
                      <w:szCs w:val="21"/>
                    </w:rPr>
                    <w:t>清洁能源。</w:t>
                  </w:r>
                </w:p>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bCs/>
                      <w:spacing w:val="9"/>
                      <w:sz w:val="21"/>
                      <w:szCs w:val="21"/>
                    </w:rPr>
                    <w:t>5</w:t>
                  </w:r>
                  <w:r>
                    <w:rPr>
                      <w:rFonts w:hint="eastAsia" w:ascii="Times New Roman" w:hAnsi="Times New Roman" w:eastAsia="宋体" w:cs="Times New Roman"/>
                      <w:b/>
                      <w:bCs/>
                      <w:spacing w:val="9"/>
                      <w:sz w:val="21"/>
                      <w:szCs w:val="21"/>
                      <w:lang w:eastAsia="zh-CN"/>
                    </w:rPr>
                    <w:t>）</w:t>
                  </w:r>
                  <w:r>
                    <w:rPr>
                      <w:rFonts w:hint="default" w:ascii="Times New Roman" w:hAnsi="Times New Roman" w:eastAsia="宋体" w:cs="Times New Roman"/>
                      <w:b/>
                      <w:bCs/>
                      <w:spacing w:val="9"/>
                      <w:sz w:val="21"/>
                      <w:szCs w:val="21"/>
                    </w:rPr>
                    <w:t>其他资源利用效率要</w:t>
                  </w:r>
                  <w:r>
                    <w:rPr>
                      <w:rFonts w:hint="default" w:ascii="Times New Roman" w:hAnsi="Times New Roman" w:eastAsia="宋体" w:cs="Times New Roman"/>
                      <w:b/>
                      <w:bCs/>
                      <w:spacing w:val="6"/>
                      <w:sz w:val="21"/>
                      <w:szCs w:val="21"/>
                    </w:rPr>
                    <w:t>求</w:t>
                  </w:r>
                </w:p>
                <w:p>
                  <w:pPr>
                    <w:textAlignment w:val="bottom"/>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spacing w:val="2"/>
                      <w:sz w:val="21"/>
                      <w:szCs w:val="21"/>
                    </w:rPr>
                    <w:t>暂</w:t>
                  </w:r>
                  <w:r>
                    <w:rPr>
                      <w:rFonts w:hint="default" w:ascii="Times New Roman" w:hAnsi="Times New Roman" w:eastAsia="宋体" w:cs="Times New Roman"/>
                      <w:spacing w:val="1"/>
                      <w:sz w:val="21"/>
                      <w:szCs w:val="21"/>
                    </w:rPr>
                    <w:t>无</w:t>
                  </w:r>
                  <w:r>
                    <w:rPr>
                      <w:rFonts w:hint="eastAsia" w:ascii="Times New Roman" w:hAnsi="Times New Roman" w:eastAsia="宋体" w:cs="Times New Roman"/>
                      <w:spacing w:val="1"/>
                      <w:sz w:val="21"/>
                      <w:szCs w:val="21"/>
                      <w:lang w:eastAsia="zh-CN"/>
                    </w:rPr>
                    <w:t>。</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color w:val="auto"/>
                      <w:sz w:val="21"/>
                      <w:szCs w:val="21"/>
                      <w:lang w:val="en-US" w:eastAsia="zh-CN"/>
                    </w:rPr>
                    <w:t>本项目主要能耗为电和水，</w:t>
                  </w:r>
                  <w:r>
                    <w:rPr>
                      <w:rFonts w:hint="eastAsia" w:ascii="Times New Roman" w:hAnsi="Times New Roman" w:eastAsia="宋体" w:cs="Times New Roman"/>
                      <w:sz w:val="21"/>
                      <w:szCs w:val="21"/>
                      <w:lang w:val="en-US" w:eastAsia="zh-CN"/>
                    </w:rPr>
                    <w:t>不涉及地下水开采，</w:t>
                  </w:r>
                  <w:r>
                    <w:rPr>
                      <w:rFonts w:hint="default"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sz w:val="21"/>
                      <w:szCs w:val="21"/>
                    </w:rPr>
                    <w:t>燃煤</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油</w:t>
                  </w:r>
                  <w:r>
                    <w:rPr>
                      <w:rFonts w:hint="default" w:ascii="Times New Roman" w:hAnsi="Times New Roman" w:eastAsia="宋体" w:cs="Times New Roman"/>
                      <w:sz w:val="21"/>
                      <w:szCs w:val="21"/>
                    </w:rPr>
                    <w:t>等高污染燃料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锅炉等</w:t>
                  </w:r>
                  <w:r>
                    <w:rPr>
                      <w:rFonts w:hint="eastAsia" w:ascii="Times New Roman" w:hAnsi="Times New Roman" w:eastAsia="宋体" w:cs="Times New Roman"/>
                      <w:sz w:val="21"/>
                      <w:szCs w:val="21"/>
                      <w:lang w:val="en-US" w:eastAsia="zh-CN"/>
                    </w:rPr>
                    <w:t>。</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p>
              </w:tc>
              <w:tc>
                <w:tcPr>
                  <w:tcW w:w="495"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cs="Times New Roman"/>
                      <w:b w:val="0"/>
                      <w:bCs/>
                      <w:color w:val="auto"/>
                      <w:sz w:val="21"/>
                      <w:szCs w:val="21"/>
                    </w:rPr>
                    <w:t>单元级清单管控要求</w:t>
                  </w: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val="0"/>
                      <w:bCs/>
                      <w:sz w:val="21"/>
                      <w:szCs w:val="21"/>
                    </w:rPr>
                    <w:t>空间布局约束</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1）</w:t>
                  </w:r>
                  <w:r>
                    <w:rPr>
                      <w:rFonts w:hint="default" w:ascii="Times New Roman" w:hAnsi="Times New Roman" w:eastAsia="宋体" w:cs="Times New Roman"/>
                      <w:b/>
                      <w:sz w:val="21"/>
                      <w:szCs w:val="21"/>
                    </w:rPr>
                    <w:t>禁止开发建设活动的要求：</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-执行达州市环境准入清单-普适性要求-城镇重点管控单元总体要求。</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2）</w:t>
                  </w:r>
                  <w:r>
                    <w:rPr>
                      <w:rFonts w:hint="default" w:ascii="Times New Roman" w:hAnsi="Times New Roman" w:eastAsia="宋体" w:cs="Times New Roman"/>
                      <w:b/>
                      <w:sz w:val="21"/>
                      <w:szCs w:val="21"/>
                    </w:rPr>
                    <w:t>限制开发建设活动的要求：</w:t>
                  </w:r>
                </w:p>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Times New Roman"/>
                      <w:b/>
                      <w:sz w:val="21"/>
                      <w:szCs w:val="21"/>
                      <w:lang w:eastAsia="zh-CN"/>
                    </w:rPr>
                  </w:pPr>
                  <w:r>
                    <w:rPr>
                      <w:rFonts w:hint="default" w:ascii="Times New Roman" w:hAnsi="Times New Roman" w:eastAsia="宋体" w:cs="Times New Roman"/>
                      <w:bCs/>
                      <w:sz w:val="21"/>
                      <w:szCs w:val="21"/>
                    </w:rPr>
                    <w:t>-城市发展遵循“北控、西扩、南拓、东进、中优”的布局战略</w:t>
                  </w:r>
                  <w:r>
                    <w:rPr>
                      <w:rFonts w:hint="eastAsia" w:ascii="Times New Roman" w:hAnsi="Times New Roman" w:eastAsia="宋体" w:cs="Times New Roman"/>
                      <w:bCs/>
                      <w:sz w:val="21"/>
                      <w:szCs w:val="21"/>
                      <w:lang w:eastAsia="zh-CN"/>
                    </w:rPr>
                    <w:t>。</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不符合空间布局要求活动的退出要求：</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-尽快创造条件搬迁达钢至经开区第二园区，限制达钢工业用地原地扩展。</w:t>
                  </w:r>
                </w:p>
                <w:p>
                  <w:pPr>
                    <w:keepNext w:val="0"/>
                    <w:keepLines w:val="0"/>
                    <w:pageBreakBefore w:val="0"/>
                    <w:widowControl/>
                    <w:kinsoku/>
                    <w:wordWrap/>
                    <w:overflowPunct/>
                    <w:topLinePunct w:val="0"/>
                    <w:autoSpaceDE/>
                    <w:autoSpaceDN/>
                    <w:bidi w:val="0"/>
                    <w:adjustRightInd/>
                    <w:snapToGrid/>
                    <w:spacing w:line="228" w:lineRule="auto"/>
                    <w:ind w:left="0" w:right="0"/>
                    <w:textAlignment w:val="auto"/>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Cs/>
                      <w:sz w:val="21"/>
                      <w:szCs w:val="21"/>
                    </w:rPr>
                    <w:t>-其他要求参照达州市环境准入清单-普适性要求-城镇重点管控单元</w:t>
                  </w:r>
                  <w:r>
                    <w:rPr>
                      <w:rFonts w:hint="eastAsia" w:ascii="Times New Roman" w:hAnsi="Times New Roman" w:eastAsia="宋体" w:cs="Times New Roman"/>
                      <w:bCs/>
                      <w:sz w:val="21"/>
                      <w:szCs w:val="21"/>
                      <w:lang w:eastAsia="zh-CN"/>
                    </w:rPr>
                    <w:t>。</w:t>
                  </w:r>
                </w:p>
              </w:tc>
              <w:tc>
                <w:tcPr>
                  <w:tcW w:w="14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color w:val="auto"/>
                      <w:sz w:val="21"/>
                      <w:szCs w:val="21"/>
                    </w:rPr>
                    <w:t>项目不属于 禁止、限制 开发建设项目；项目位 于</w:t>
                  </w:r>
                  <w:r>
                    <w:rPr>
                      <w:rFonts w:hint="eastAsia"/>
                      <w:sz w:val="21"/>
                      <w:szCs w:val="21"/>
                      <w:lang w:eastAsia="zh-CN"/>
                    </w:rPr>
                    <w:t>达州市通川区西南职教园区，</w:t>
                  </w:r>
                  <w:r>
                    <w:rPr>
                      <w:rFonts w:hint="eastAsia" w:ascii="Times New Roman" w:hAnsi="Times New Roman" w:eastAsia="宋体" w:cs="Times New Roman"/>
                      <w:color w:val="auto"/>
                      <w:sz w:val="21"/>
                      <w:szCs w:val="21"/>
                    </w:rPr>
                    <w:t xml:space="preserve">用 地为规划的 </w:t>
                  </w:r>
                  <w:r>
                    <w:rPr>
                      <w:rFonts w:hint="eastAsia" w:ascii="Times New Roman" w:hAnsi="Times New Roman" w:eastAsia="宋体" w:cs="Times New Roman"/>
                      <w:color w:val="auto"/>
                      <w:sz w:val="21"/>
                      <w:szCs w:val="21"/>
                      <w:lang w:val="en-US" w:eastAsia="zh-CN"/>
                    </w:rPr>
                    <w:t>职业教育用地、防护</w:t>
                  </w:r>
                  <w:r>
                    <w:rPr>
                      <w:rFonts w:hint="default" w:ascii="Times New Roman" w:hAnsi="Times New Roman" w:eastAsia="宋体" w:cs="Times New Roman"/>
                      <w:color w:val="auto"/>
                      <w:sz w:val="21"/>
                      <w:szCs w:val="21"/>
                      <w:lang w:val="en-US" w:eastAsia="zh-CN"/>
                    </w:rPr>
                    <w:t>绿地</w:t>
                  </w:r>
                  <w:r>
                    <w:rPr>
                      <w:rFonts w:hint="eastAsia" w:ascii="Times New Roman" w:hAnsi="Times New Roman" w:eastAsia="宋体" w:cs="Times New Roman"/>
                      <w:color w:val="auto"/>
                      <w:sz w:val="21"/>
                      <w:szCs w:val="21"/>
                    </w:rPr>
                    <w:t>。项</w:t>
                  </w:r>
                  <w:r>
                    <w:rPr>
                      <w:rFonts w:hint="eastAsia"/>
                      <w:color w:val="auto"/>
                      <w:sz w:val="21"/>
                      <w:szCs w:val="21"/>
                    </w:rPr>
                    <w:t>目符合普适性管控要求。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val="0"/>
                      <w:bCs/>
                      <w:sz w:val="21"/>
                      <w:szCs w:val="21"/>
                    </w:rPr>
                    <w:t>污染物排放管控</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1）</w:t>
                  </w:r>
                  <w:r>
                    <w:rPr>
                      <w:rFonts w:hint="default" w:ascii="Times New Roman" w:hAnsi="Times New Roman" w:eastAsia="宋体" w:cs="Times New Roman"/>
                      <w:b/>
                      <w:sz w:val="21"/>
                      <w:szCs w:val="21"/>
                    </w:rPr>
                    <w:t>现有源提标升级改造及新增源排放标准限制：</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-通川区全域属于四川省大气污染防治重点区域，执行大气污染物特别排放限值。</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2）</w:t>
                  </w:r>
                  <w:r>
                    <w:rPr>
                      <w:rFonts w:hint="default" w:ascii="Times New Roman" w:hAnsi="Times New Roman" w:eastAsia="宋体" w:cs="Times New Roman"/>
                      <w:b/>
                      <w:sz w:val="21"/>
                      <w:szCs w:val="21"/>
                    </w:rPr>
                    <w:t>允许排放量要求：</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-2025年，州河通川区（车家河）控制单元（通川区中心城区）允许排放量COD4999.09t，氨氮44.58t，TP24.48t。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-2035年，通川区（车家河）控制单元（通川区中心城区）允许排放量COD4999.09t，氨氮44.58t，TP24.48t。</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3）</w:t>
                  </w:r>
                  <w:r>
                    <w:rPr>
                      <w:rFonts w:hint="default" w:ascii="Times New Roman" w:hAnsi="Times New Roman" w:eastAsia="宋体" w:cs="Times New Roman"/>
                      <w:b/>
                      <w:sz w:val="21"/>
                      <w:szCs w:val="21"/>
                    </w:rPr>
                    <w:t>削减比例要求：</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州河通川区（车家河）控制单元（通川区中心城区）削减比例为COD58%，氨氮97.1%，TP71.8%。</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4）</w:t>
                  </w:r>
                  <w:r>
                    <w:rPr>
                      <w:rFonts w:hint="default" w:ascii="Times New Roman" w:hAnsi="Times New Roman" w:eastAsia="宋体" w:cs="Times New Roman"/>
                      <w:b/>
                      <w:sz w:val="21"/>
                      <w:szCs w:val="21"/>
                    </w:rPr>
                    <w:t>污染物排放绩效水平准入要求：</w:t>
                  </w:r>
                </w:p>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Cs/>
                      <w:sz w:val="21"/>
                      <w:szCs w:val="21"/>
                    </w:rPr>
                    <w:t>-其他要求参照达州市环境准入清单-普适性要求-城镇重点管控单元</w:t>
                  </w:r>
                  <w:r>
                    <w:rPr>
                      <w:rFonts w:hint="eastAsia" w:ascii="Times New Roman" w:hAnsi="Times New Roman" w:eastAsia="宋体" w:cs="Times New Roman"/>
                      <w:bCs/>
                      <w:sz w:val="21"/>
                      <w:szCs w:val="21"/>
                      <w:lang w:eastAsia="zh-CN"/>
                    </w:rPr>
                    <w:t>。</w:t>
                  </w:r>
                </w:p>
              </w:tc>
              <w:tc>
                <w:tcPr>
                  <w:tcW w:w="14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color w:val="auto"/>
                      <w:sz w:val="21"/>
                      <w:szCs w:val="21"/>
                    </w:rPr>
                    <w:t>项目废气执 行大气污染 物特</w:t>
                  </w:r>
                  <w:r>
                    <w:rPr>
                      <w:rFonts w:hint="eastAsia" w:ascii="Times New Roman" w:hAnsi="Times New Roman" w:eastAsia="宋体" w:cs="Times New Roman"/>
                      <w:color w:val="auto"/>
                      <w:sz w:val="21"/>
                      <w:szCs w:val="21"/>
                      <w:lang w:val="en-US" w:eastAsia="zh-CN"/>
                    </w:rPr>
                    <w:t>别</w:t>
                  </w:r>
                  <w:r>
                    <w:rPr>
                      <w:rFonts w:hint="eastAsia" w:ascii="Times New Roman" w:hAnsi="Times New Roman" w:eastAsia="宋体" w:cs="Times New Roman"/>
                      <w:color w:val="auto"/>
                      <w:sz w:val="21"/>
                      <w:szCs w:val="21"/>
                    </w:rPr>
                    <w:t>排放限值；废水全 部收集，排 入市政污水管网，由</w:t>
                  </w:r>
                  <w:r>
                    <w:rPr>
                      <w:rFonts w:hint="default" w:ascii="Times New Roman" w:hAnsi="Times New Roman" w:eastAsia="宋体" w:cs="Times New Roman"/>
                      <w:color w:val="auto"/>
                      <w:sz w:val="21"/>
                      <w:szCs w:val="21"/>
                      <w:lang w:val="en-US" w:eastAsia="zh-CN"/>
                    </w:rPr>
                    <w:t>达州市第二</w:t>
                  </w:r>
                  <w:r>
                    <w:rPr>
                      <w:rFonts w:hint="eastAsia" w:ascii="Times New Roman" w:hAnsi="Times New Roman" w:eastAsia="宋体" w:cs="Times New Roman"/>
                      <w:color w:val="auto"/>
                      <w:sz w:val="21"/>
                      <w:szCs w:val="21"/>
                      <w:lang w:val="en-US" w:eastAsia="zh-CN"/>
                    </w:rPr>
                    <w:t>城市生活</w:t>
                  </w:r>
                  <w:r>
                    <w:rPr>
                      <w:rFonts w:hint="default" w:ascii="Times New Roman" w:hAnsi="Times New Roman" w:eastAsia="宋体" w:cs="Times New Roman"/>
                      <w:color w:val="auto"/>
                      <w:sz w:val="21"/>
                      <w:szCs w:val="21"/>
                      <w:lang w:val="en-US" w:eastAsia="zh-CN"/>
                    </w:rPr>
                    <w:t>污水处理厂</w:t>
                  </w:r>
                  <w:r>
                    <w:rPr>
                      <w:rFonts w:hint="eastAsia" w:ascii="Times New Roman" w:hAnsi="Times New Roman" w:eastAsia="宋体" w:cs="Times New Roman"/>
                      <w:color w:val="auto"/>
                      <w:sz w:val="21"/>
                      <w:szCs w:val="21"/>
                    </w:rPr>
                    <w:t>处理。</w:t>
                  </w:r>
                  <w:r>
                    <w:rPr>
                      <w:rFonts w:hint="eastAsia"/>
                      <w:color w:val="auto"/>
                      <w:sz w:val="21"/>
                      <w:szCs w:val="21"/>
                    </w:rPr>
                    <w:t>项目符合普适性管控要求。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val="0"/>
                      <w:bCs/>
                      <w:sz w:val="21"/>
                      <w:szCs w:val="21"/>
                    </w:rPr>
                    <w:t>环境风险防控</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1）</w:t>
                  </w:r>
                  <w:r>
                    <w:rPr>
                      <w:rFonts w:hint="default" w:ascii="Times New Roman" w:hAnsi="Times New Roman" w:eastAsia="宋体" w:cs="Times New Roman"/>
                      <w:b/>
                      <w:sz w:val="21"/>
                      <w:szCs w:val="21"/>
                    </w:rPr>
                    <w:t>用地环境风险防控要求：</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-有一定危险性仓库用地远离市区，按有关规范选址和建设，留够防护距离，原则上安排在铁山山谷。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Cs/>
                      <w:sz w:val="21"/>
                      <w:szCs w:val="21"/>
                    </w:rPr>
                    <w:t>-其他要求参照达州市环境准入清单-普适性要求-城镇重点管控单元</w:t>
                  </w:r>
                  <w:r>
                    <w:rPr>
                      <w:rFonts w:hint="eastAsia" w:ascii="Times New Roman" w:hAnsi="Times New Roman" w:eastAsia="宋体" w:cs="Times New Roman"/>
                      <w:bCs/>
                      <w:sz w:val="21"/>
                      <w:szCs w:val="21"/>
                      <w:lang w:eastAsia="zh-CN"/>
                    </w:rPr>
                    <w:t>。</w:t>
                  </w:r>
                </w:p>
              </w:tc>
              <w:tc>
                <w:tcPr>
                  <w:tcW w:w="14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color w:val="auto"/>
                      <w:sz w:val="21"/>
                      <w:szCs w:val="21"/>
                    </w:rPr>
                    <w:t>项目</w:t>
                  </w:r>
                  <w:r>
                    <w:rPr>
                      <w:rFonts w:hint="eastAsia" w:ascii="Times New Roman" w:hAnsi="Times New Roman" w:eastAsia="宋体" w:cs="Times New Roman"/>
                      <w:b w:val="0"/>
                      <w:bCs/>
                      <w:color w:val="auto"/>
                      <w:sz w:val="21"/>
                      <w:szCs w:val="21"/>
                      <w:lang w:val="en-US" w:eastAsia="zh-CN"/>
                    </w:rPr>
                    <w:t>不涉及</w:t>
                  </w:r>
                  <w:r>
                    <w:rPr>
                      <w:rFonts w:hint="default" w:ascii="Times New Roman" w:hAnsi="Times New Roman" w:eastAsia="宋体" w:cs="Times New Roman"/>
                      <w:bCs/>
                      <w:sz w:val="21"/>
                      <w:szCs w:val="21"/>
                    </w:rPr>
                    <w:t>危险性仓库</w:t>
                  </w:r>
                  <w:r>
                    <w:rPr>
                      <w:rFonts w:hint="eastAsia" w:ascii="Times New Roman" w:hAnsi="Times New Roman" w:eastAsia="宋体" w:cs="Times New Roman"/>
                      <w:bCs/>
                      <w:sz w:val="21"/>
                      <w:szCs w:val="21"/>
                      <w:lang w:eastAsia="zh-CN"/>
                    </w:rPr>
                    <w:t>，</w:t>
                  </w:r>
                  <w:r>
                    <w:rPr>
                      <w:rFonts w:hint="eastAsia"/>
                      <w:color w:val="auto"/>
                      <w:sz w:val="21"/>
                      <w:szCs w:val="21"/>
                    </w:rPr>
                    <w:t>项目符合普适性管控要求。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资源开发效率</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Cs/>
                      <w:sz w:val="21"/>
                      <w:szCs w:val="21"/>
                    </w:rPr>
                    <w:t>参照达州市环境准入清单-普适性要求-城镇重点管控单元</w:t>
                  </w:r>
                  <w:r>
                    <w:rPr>
                      <w:rFonts w:hint="eastAsia" w:ascii="Times New Roman" w:hAnsi="Times New Roman" w:eastAsia="宋体" w:cs="Times New Roman"/>
                      <w:bCs/>
                      <w:sz w:val="21"/>
                      <w:szCs w:val="21"/>
                      <w:lang w:eastAsia="zh-CN"/>
                    </w:rPr>
                    <w:t>。</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default" w:ascii="Times New Roman" w:hAnsi="Times New Roman" w:eastAsia="宋体" w:cs="Times New Roman"/>
                      <w:b w:val="0"/>
                      <w:bCs/>
                      <w:kern w:val="0"/>
                      <w:sz w:val="21"/>
                      <w:szCs w:val="21"/>
                      <w:lang w:val="en-US" w:eastAsia="zh-CN" w:bidi="ar-SA"/>
                    </w:rPr>
                  </w:pPr>
                  <w:r>
                    <w:rPr>
                      <w:rFonts w:hint="eastAsia"/>
                      <w:color w:val="auto"/>
                      <w:sz w:val="21"/>
                      <w:szCs w:val="21"/>
                    </w:rPr>
                    <w:t>项目符合普适性管控要求。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rPr>
                    <w:t>YS</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default" w:ascii="Times New Roman" w:hAnsi="Times New Roman" w:eastAsia="宋体" w:cs="Times New Roman"/>
                      <w:spacing w:val="7"/>
                      <w:sz w:val="21"/>
                      <w:szCs w:val="21"/>
                    </w:rPr>
                    <w:t>2</w:t>
                  </w:r>
                  <w:r>
                    <w:rPr>
                      <w:rFonts w:hint="default" w:ascii="Times New Roman" w:hAnsi="Times New Roman" w:eastAsia="宋体" w:cs="Times New Roman"/>
                      <w:spacing w:val="4"/>
                      <w:sz w:val="21"/>
                      <w:szCs w:val="21"/>
                    </w:rPr>
                    <w:t>220001</w:t>
                  </w:r>
                </w:p>
              </w:tc>
              <w:tc>
                <w:tcPr>
                  <w:tcW w:w="690"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pacing w:val="8"/>
                      <w:sz w:val="21"/>
                      <w:szCs w:val="21"/>
                    </w:rPr>
                    <w:t>州河通川区车</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8"/>
                      <w:sz w:val="21"/>
                      <w:szCs w:val="21"/>
                    </w:rPr>
                    <w:t>家河控制单</w:t>
                  </w:r>
                  <w:r>
                    <w:rPr>
                      <w:rFonts w:hint="default" w:ascii="Times New Roman" w:hAnsi="Times New Roman" w:eastAsia="宋体" w:cs="Times New Roman"/>
                      <w:spacing w:val="7"/>
                      <w:sz w:val="21"/>
                      <w:szCs w:val="21"/>
                    </w:rPr>
                    <w:t>元</w:t>
                  </w:r>
                </w:p>
              </w:tc>
              <w:tc>
                <w:tcPr>
                  <w:tcW w:w="495"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cs="Times New Roman"/>
                      <w:b w:val="0"/>
                      <w:bCs/>
                      <w:color w:val="auto"/>
                      <w:sz w:val="21"/>
                      <w:szCs w:val="21"/>
                    </w:rPr>
                    <w:t>单元级清单管控要求</w:t>
                  </w: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空间布局约束</w:t>
                  </w:r>
                </w:p>
              </w:tc>
              <w:tc>
                <w:tcPr>
                  <w:tcW w:w="4062" w:type="dxa"/>
                  <w:tcBorders>
                    <w:top w:val="single" w:color="auto" w:sz="4" w:space="0"/>
                    <w:left w:val="nil"/>
                    <w:bottom w:val="single" w:color="auto" w:sz="4" w:space="0"/>
                    <w:right w:val="single" w:color="auto" w:sz="4" w:space="0"/>
                  </w:tcBorders>
                  <w:noWrap w:val="0"/>
                  <w:vAlign w:val="center"/>
                </w:tcPr>
                <w:p>
                  <w:pPr>
                    <w:pStyle w:val="75"/>
                    <w:widowControl/>
                    <w:shd w:val="clear" w:color="auto" w:fill="auto"/>
                    <w:spacing w:line="240" w:lineRule="auto"/>
                    <w:ind w:firstLine="0" w:firstLineChars="0"/>
                    <w:jc w:val="left"/>
                    <w:rPr>
                      <w:rStyle w:val="27"/>
                      <w:rFonts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禁止开发建设活动的要求。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限制开发建设活动的要求。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允许开发建设活动的要求。</w:t>
                  </w:r>
                </w:p>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不符合空间布局要求活动的退出要求。</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其他空间布局约束要求。</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color w:val="auto"/>
                      <w:sz w:val="21"/>
                      <w:szCs w:val="21"/>
                    </w:rPr>
                  </w:pPr>
                  <w:r>
                    <w:rPr>
                      <w:rFonts w:hint="default" w:ascii="Times New Roman" w:hAnsi="Times New Roman" w:eastAsia="宋体" w:cs="Times New Roman"/>
                      <w:b w:val="0"/>
                      <w:bCs/>
                      <w:sz w:val="21"/>
                      <w:szCs w:val="21"/>
                    </w:rPr>
                    <w:t>本项目不属于</w:t>
                  </w:r>
                  <w:r>
                    <w:rPr>
                      <w:rFonts w:hint="eastAsia" w:ascii="Times New Roman" w:hAnsi="Times New Roman" w:eastAsia="宋体" w:cs="Times New Roman"/>
                      <w:b w:val="0"/>
                      <w:bCs/>
                      <w:sz w:val="21"/>
                      <w:szCs w:val="21"/>
                      <w:lang w:val="en-US" w:eastAsia="zh-CN"/>
                    </w:rPr>
                    <w:t>限制、</w:t>
                  </w:r>
                  <w:r>
                    <w:rPr>
                      <w:rFonts w:hint="default" w:ascii="Times New Roman" w:hAnsi="Times New Roman" w:eastAsia="宋体" w:cs="Times New Roman"/>
                      <w:b w:val="0"/>
                      <w:bCs/>
                      <w:sz w:val="21"/>
                      <w:szCs w:val="21"/>
                    </w:rPr>
                    <w:t>禁止开发</w:t>
                  </w:r>
                  <w:r>
                    <w:rPr>
                      <w:rFonts w:hint="eastAsia" w:ascii="Times New Roman" w:hAnsi="Times New Roman" w:eastAsia="宋体" w:cs="Times New Roman"/>
                      <w:b w:val="0"/>
                      <w:bCs/>
                      <w:sz w:val="21"/>
                      <w:szCs w:val="21"/>
                      <w:lang w:val="en-US" w:eastAsia="zh-CN"/>
                    </w:rPr>
                    <w:t>项目，用地为规划的</w:t>
                  </w:r>
                  <w:r>
                    <w:rPr>
                      <w:rFonts w:hint="eastAsia" w:ascii="Times New Roman" w:hAnsi="Times New Roman" w:eastAsia="宋体" w:cs="Times New Roman"/>
                      <w:color w:val="auto"/>
                      <w:sz w:val="21"/>
                      <w:szCs w:val="21"/>
                      <w:lang w:val="en-US" w:eastAsia="zh-CN"/>
                    </w:rPr>
                    <w:t>职业教育用地、防护</w:t>
                  </w:r>
                  <w:r>
                    <w:rPr>
                      <w:rFonts w:hint="default" w:ascii="Times New Roman" w:hAnsi="Times New Roman" w:eastAsia="宋体" w:cs="Times New Roman"/>
                      <w:color w:val="auto"/>
                      <w:sz w:val="21"/>
                      <w:szCs w:val="21"/>
                      <w:lang w:val="en-US" w:eastAsia="zh-CN"/>
                    </w:rPr>
                    <w:t>绿</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sz w:val="21"/>
                      <w:szCs w:val="21"/>
                    </w:rPr>
                    <w:t>符合</w:t>
                  </w:r>
                  <w:r>
                    <w:rPr>
                      <w:rFonts w:hint="eastAsia" w:ascii="Times New Roman" w:hAnsi="Times New Roman" w:eastAsia="宋体" w:cs="Times New Roman"/>
                      <w:b w:val="0"/>
                      <w:bCs/>
                      <w:sz w:val="21"/>
                      <w:szCs w:val="21"/>
                      <w:lang w:val="en-US" w:eastAsia="zh-CN"/>
                    </w:rPr>
                    <w:t>城镇</w:t>
                  </w:r>
                  <w:r>
                    <w:rPr>
                      <w:rFonts w:hint="default" w:ascii="Times New Roman" w:hAnsi="Times New Roman" w:eastAsia="宋体" w:cs="Times New Roman"/>
                      <w:b w:val="0"/>
                      <w:bCs/>
                      <w:sz w:val="21"/>
                      <w:szCs w:val="21"/>
                    </w:rPr>
                    <w:t>空间布局要求。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污染物排放管控</w:t>
                  </w:r>
                </w:p>
              </w:tc>
              <w:tc>
                <w:tcPr>
                  <w:tcW w:w="4062" w:type="dxa"/>
                  <w:tcBorders>
                    <w:top w:val="single" w:color="auto" w:sz="4" w:space="0"/>
                    <w:left w:val="nil"/>
                    <w:bottom w:val="single" w:color="auto" w:sz="4" w:space="0"/>
                    <w:right w:val="single" w:color="auto" w:sz="4" w:space="0"/>
                  </w:tcBorders>
                  <w:noWrap w:val="0"/>
                  <w:vAlign w:val="center"/>
                </w:tcPr>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城镇污水污染控制措施要求。</w:t>
                  </w:r>
                </w:p>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工业废水污染控制措施要求。</w:t>
                  </w:r>
                </w:p>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农业面源水污染控制措施要求。</w:t>
                  </w:r>
                </w:p>
                <w:p>
                  <w:pPr>
                    <w:pStyle w:val="75"/>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left"/>
                    <w:textAlignment w:val="auto"/>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船舶港口水污染控制措施要求。</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饮用水水源和其它特殊水体保护要求。</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default" w:eastAsia="宋体"/>
                      <w:color w:val="auto"/>
                      <w:sz w:val="21"/>
                      <w:szCs w:val="21"/>
                      <w:lang w:val="en-US" w:eastAsia="zh-CN"/>
                    </w:rPr>
                  </w:pPr>
                  <w:r>
                    <w:rPr>
                      <w:rFonts w:hint="eastAsia"/>
                      <w:color w:val="auto"/>
                      <w:sz w:val="21"/>
                      <w:szCs w:val="21"/>
                    </w:rPr>
                    <w:t>项目属于城市污水管网覆盖区域</w:t>
                  </w:r>
                  <w:r>
                    <w:rPr>
                      <w:rFonts w:hint="eastAsia"/>
                      <w:color w:val="auto"/>
                      <w:sz w:val="21"/>
                      <w:szCs w:val="21"/>
                      <w:lang w:eastAsia="zh-CN"/>
                    </w:rPr>
                    <w:t>，</w:t>
                  </w:r>
                  <w:r>
                    <w:rPr>
                      <w:rFonts w:hint="eastAsia"/>
                      <w:color w:val="auto"/>
                      <w:sz w:val="21"/>
                      <w:szCs w:val="21"/>
                      <w:lang w:val="en-US" w:eastAsia="zh-CN"/>
                    </w:rPr>
                    <w:t>所有废水都能排入管网</w:t>
                  </w:r>
                  <w:r>
                    <w:rPr>
                      <w:rFonts w:hint="eastAsia"/>
                      <w:color w:val="auto"/>
                      <w:sz w:val="21"/>
                      <w:szCs w:val="21"/>
                    </w:rPr>
                    <w:t>。</w:t>
                  </w:r>
                  <w:r>
                    <w:rPr>
                      <w:rFonts w:hint="eastAsia"/>
                      <w:color w:val="auto"/>
                      <w:sz w:val="21"/>
                      <w:szCs w:val="21"/>
                      <w:lang w:val="en-US" w:eastAsia="zh-CN"/>
                    </w:rPr>
                    <w:t>生活垃圾发分类收集后</w:t>
                  </w:r>
                  <w:r>
                    <w:rPr>
                      <w:rFonts w:hint="eastAsia" w:ascii="宋体" w:hAnsi="宋体" w:eastAsia="宋体" w:cs="宋体"/>
                      <w:color w:val="000000"/>
                      <w:kern w:val="0"/>
                      <w:sz w:val="21"/>
                      <w:szCs w:val="21"/>
                      <w:lang w:val="en-US" w:eastAsia="zh-CN" w:bidi="ar"/>
                    </w:rPr>
                    <w:t>由专人每天统一运至市政垃圾站进行无害化处理。</w:t>
                  </w:r>
                </w:p>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color w:val="auto"/>
                      <w:sz w:val="21"/>
                      <w:szCs w:val="21"/>
                    </w:rPr>
                  </w:pP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环境风险防控</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eastAsia="宋体"/>
                      <w:color w:val="auto"/>
                      <w:sz w:val="21"/>
                      <w:szCs w:val="21"/>
                      <w:lang w:eastAsia="zh-CN"/>
                    </w:rPr>
                  </w:pPr>
                  <w:r>
                    <w:rPr>
                      <w:rFonts w:hint="eastAsia"/>
                      <w:color w:val="auto"/>
                      <w:sz w:val="21"/>
                      <w:szCs w:val="21"/>
                      <w:lang w:val="en-US" w:eastAsia="zh-CN"/>
                    </w:rPr>
                    <w:t>环评要求</w:t>
                  </w:r>
                  <w:r>
                    <w:rPr>
                      <w:rFonts w:hint="eastAsia"/>
                      <w:color w:val="auto"/>
                      <w:sz w:val="21"/>
                      <w:szCs w:val="21"/>
                    </w:rPr>
                    <w:t>建设单位加强环境风险防范，严格按照要求建设应急设施</w:t>
                  </w:r>
                  <w:r>
                    <w:rPr>
                      <w:rFonts w:hint="eastAsia"/>
                      <w:color w:val="auto"/>
                      <w:sz w:val="21"/>
                      <w:szCs w:val="21"/>
                      <w:lang w:eastAsia="zh-CN"/>
                    </w:rPr>
                    <w:t>。</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资源开发效率要求</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rPr>
                    <w:t>YS</w:t>
                  </w:r>
                  <w:r>
                    <w:rPr>
                      <w:rFonts w:hint="default" w:ascii="Times New Roman" w:hAnsi="Times New Roman" w:eastAsia="宋体" w:cs="Times New Roman"/>
                      <w:spacing w:val="9"/>
                      <w:sz w:val="21"/>
                      <w:szCs w:val="21"/>
                    </w:rPr>
                    <w:t>5</w:t>
                  </w:r>
                  <w:r>
                    <w:rPr>
                      <w:rFonts w:hint="default" w:ascii="Times New Roman" w:hAnsi="Times New Roman" w:eastAsia="宋体" w:cs="Times New Roman"/>
                      <w:spacing w:val="5"/>
                      <w:sz w:val="21"/>
                      <w:szCs w:val="21"/>
                    </w:rPr>
                    <w:t>11702</w:t>
                  </w:r>
                  <w:r>
                    <w:rPr>
                      <w:rFonts w:hint="default" w:ascii="Times New Roman" w:hAnsi="Times New Roman" w:eastAsia="宋体" w:cs="Times New Roman"/>
                      <w:spacing w:val="7"/>
                      <w:sz w:val="21"/>
                      <w:szCs w:val="21"/>
                    </w:rPr>
                    <w:t>2</w:t>
                  </w:r>
                  <w:r>
                    <w:rPr>
                      <w:rFonts w:hint="default" w:ascii="Times New Roman" w:hAnsi="Times New Roman" w:eastAsia="宋体" w:cs="Times New Roman"/>
                      <w:spacing w:val="4"/>
                      <w:sz w:val="21"/>
                      <w:szCs w:val="21"/>
                    </w:rPr>
                    <w:t>340005</w:t>
                  </w:r>
                </w:p>
              </w:tc>
              <w:tc>
                <w:tcPr>
                  <w:tcW w:w="690"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spacing w:val="9"/>
                      <w:sz w:val="21"/>
                      <w:szCs w:val="21"/>
                    </w:rPr>
                    <w:t>通</w:t>
                  </w:r>
                  <w:r>
                    <w:rPr>
                      <w:rFonts w:hint="default" w:ascii="Times New Roman" w:hAnsi="Times New Roman" w:eastAsia="宋体" w:cs="Times New Roman"/>
                      <w:spacing w:val="8"/>
                      <w:sz w:val="21"/>
                      <w:szCs w:val="21"/>
                    </w:rPr>
                    <w:t>川区中心城</w:t>
                  </w:r>
                  <w:r>
                    <w:rPr>
                      <w:rFonts w:hint="default" w:ascii="Times New Roman" w:hAnsi="Times New Roman" w:eastAsia="宋体" w:cs="Times New Roman"/>
                      <w:sz w:val="21"/>
                      <w:szCs w:val="21"/>
                    </w:rPr>
                    <w:t xml:space="preserve"> 区</w:t>
                  </w:r>
                </w:p>
              </w:tc>
              <w:tc>
                <w:tcPr>
                  <w:tcW w:w="495"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cs="Times New Roman"/>
                      <w:b w:val="0"/>
                      <w:bCs/>
                      <w:color w:val="auto"/>
                      <w:sz w:val="21"/>
                      <w:szCs w:val="21"/>
                    </w:rPr>
                    <w:t>单元级清单管控要求</w:t>
                  </w: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空间布局约束</w:t>
                  </w:r>
                </w:p>
              </w:tc>
              <w:tc>
                <w:tcPr>
                  <w:tcW w:w="4062" w:type="dxa"/>
                  <w:tcBorders>
                    <w:top w:val="single" w:color="auto" w:sz="4" w:space="0"/>
                    <w:left w:val="nil"/>
                    <w:bottom w:val="single" w:color="auto" w:sz="4" w:space="0"/>
                    <w:right w:val="single" w:color="auto" w:sz="4" w:space="0"/>
                  </w:tcBorders>
                  <w:noWrap w:val="0"/>
                  <w:vAlign w:val="center"/>
                </w:tcPr>
                <w:p>
                  <w:pPr>
                    <w:pStyle w:val="75"/>
                    <w:widowControl/>
                    <w:shd w:val="clear" w:color="auto" w:fill="auto"/>
                    <w:spacing w:line="240" w:lineRule="auto"/>
                    <w:ind w:firstLine="0" w:firstLineChars="0"/>
                    <w:jc w:val="left"/>
                    <w:rPr>
                      <w:rStyle w:val="27"/>
                      <w:rFonts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禁止开发建设活动的要求。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限制开发建设活动的要求。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允许开发建设活动的要求。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不符合空间布局要求活动的退出要求。</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其他空间布局约束要求。</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color w:val="auto"/>
                      <w:sz w:val="21"/>
                      <w:szCs w:val="21"/>
                    </w:rPr>
                  </w:pPr>
                  <w:r>
                    <w:rPr>
                      <w:rFonts w:hint="default" w:ascii="Times New Roman" w:hAnsi="Times New Roman" w:eastAsia="宋体" w:cs="Times New Roman"/>
                      <w:b w:val="0"/>
                      <w:bCs/>
                      <w:sz w:val="21"/>
                      <w:szCs w:val="21"/>
                    </w:rPr>
                    <w:t>不属于</w:t>
                  </w:r>
                  <w:r>
                    <w:rPr>
                      <w:rFonts w:hint="eastAsia" w:ascii="Times New Roman" w:hAnsi="Times New Roman" w:eastAsia="宋体" w:cs="Times New Roman"/>
                      <w:b w:val="0"/>
                      <w:bCs/>
                      <w:sz w:val="21"/>
                      <w:szCs w:val="21"/>
                      <w:lang w:val="en-US" w:eastAsia="zh-CN"/>
                    </w:rPr>
                    <w:t>限制、</w:t>
                  </w:r>
                  <w:r>
                    <w:rPr>
                      <w:rFonts w:hint="default" w:ascii="Times New Roman" w:hAnsi="Times New Roman" w:eastAsia="宋体" w:cs="Times New Roman"/>
                      <w:b w:val="0"/>
                      <w:bCs/>
                      <w:sz w:val="21"/>
                      <w:szCs w:val="21"/>
                    </w:rPr>
                    <w:t>禁止开发</w:t>
                  </w:r>
                  <w:r>
                    <w:rPr>
                      <w:rFonts w:hint="eastAsia" w:ascii="Times New Roman" w:hAnsi="Times New Roman" w:eastAsia="宋体" w:cs="Times New Roman"/>
                      <w:b w:val="0"/>
                      <w:bCs/>
                      <w:sz w:val="21"/>
                      <w:szCs w:val="21"/>
                      <w:lang w:val="en-US" w:eastAsia="zh-CN"/>
                    </w:rPr>
                    <w:t>项目，属于允许建设项目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sz w:val="21"/>
                      <w:szCs w:val="21"/>
                    </w:rPr>
                    <w:t>符合</w:t>
                  </w:r>
                  <w:r>
                    <w:rPr>
                      <w:rFonts w:hint="eastAsia" w:ascii="Times New Roman" w:hAnsi="Times New Roman" w:eastAsia="宋体" w:cs="Times New Roman"/>
                      <w:b w:val="0"/>
                      <w:bCs/>
                      <w:sz w:val="21"/>
                      <w:szCs w:val="21"/>
                      <w:lang w:val="en-US" w:eastAsia="zh-CN"/>
                    </w:rPr>
                    <w:t>城镇</w:t>
                  </w:r>
                  <w:r>
                    <w:rPr>
                      <w:rFonts w:hint="default" w:ascii="Times New Roman" w:hAnsi="Times New Roman" w:eastAsia="宋体" w:cs="Times New Roman"/>
                      <w:b w:val="0"/>
                      <w:bCs/>
                      <w:sz w:val="21"/>
                      <w:szCs w:val="21"/>
                    </w:rPr>
                    <w:t>空间布局要求。</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污染物排放管控</w:t>
                  </w:r>
                </w:p>
              </w:tc>
              <w:tc>
                <w:tcPr>
                  <w:tcW w:w="4062" w:type="dxa"/>
                  <w:tcBorders>
                    <w:top w:val="single" w:color="auto" w:sz="4" w:space="0"/>
                    <w:left w:val="nil"/>
                    <w:bottom w:val="single" w:color="auto" w:sz="4" w:space="0"/>
                    <w:right w:val="single" w:color="auto" w:sz="4" w:space="0"/>
                  </w:tcBorders>
                  <w:noWrap w:val="0"/>
                  <w:vAlign w:val="center"/>
                </w:tcPr>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大气环境质量执行标准《环境空气质量标准》（GB3095-2012）：二级区域大气污染物削减/替代要求新增大气污染物排放的建设项目实施总量削减替代。</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燃煤和其他能源大气污染控制要求。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工业废气污染控制要求。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机动车船大气污染控制要求。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扬尘污染控制要求。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农业生产经营活动大气污染控制要求。</w:t>
                  </w:r>
                </w:p>
                <w:p>
                  <w:pPr>
                    <w:pStyle w:val="75"/>
                    <w:widowControl/>
                    <w:shd w:val="clear" w:color="auto" w:fill="auto"/>
                    <w:spacing w:line="240" w:lineRule="auto"/>
                    <w:ind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重点行业企业专项治理要求。</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其他大气污染物排放管控要求。</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color w:val="auto"/>
                      <w:sz w:val="21"/>
                      <w:szCs w:val="21"/>
                    </w:rPr>
                  </w:pPr>
                  <w:r>
                    <w:rPr>
                      <w:rFonts w:hint="eastAsia"/>
                      <w:color w:val="auto"/>
                      <w:sz w:val="21"/>
                      <w:szCs w:val="21"/>
                    </w:rPr>
                    <w:t>项目区域环境空气质量执行《环境空气质量标准》</w:t>
                  </w:r>
                  <w:r>
                    <w:rPr>
                      <w:rFonts w:hint="eastAsia"/>
                      <w:color w:val="auto"/>
                      <w:sz w:val="21"/>
                      <w:szCs w:val="21"/>
                      <w:lang w:eastAsia="zh-CN"/>
                    </w:rPr>
                    <w:t>（</w:t>
                  </w:r>
                  <w:r>
                    <w:rPr>
                      <w:rFonts w:hint="eastAsia"/>
                      <w:color w:val="auto"/>
                      <w:sz w:val="21"/>
                      <w:szCs w:val="21"/>
                    </w:rPr>
                    <w:t>GB3095-2012）二级标准。</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环境风险防控</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z w:val="21"/>
                      <w:szCs w:val="21"/>
                    </w:rPr>
                  </w:pPr>
                  <w:r>
                    <w:rPr>
                      <w:rStyle w:val="27"/>
                      <w:rFonts w:hint="eastAsia" w:ascii="宋体" w:hAnsi="宋体" w:eastAsia="宋体" w:cs="Times New Roman"/>
                      <w:kern w:val="2"/>
                      <w:sz w:val="21"/>
                      <w:szCs w:val="21"/>
                      <w:lang w:val="en-US" w:eastAsia="zh-CN" w:bidi="ar-SA"/>
                    </w:rPr>
                    <w:t>现有涉及五类重金属的企业，不得新增污染物排放，限期退城入园或关停；工业企业退出用地，须经评估、修复满足相应用地功能后，方可改变用途。</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default" w:eastAsia="宋体"/>
                      <w:color w:val="auto"/>
                      <w:sz w:val="21"/>
                      <w:szCs w:val="21"/>
                      <w:lang w:val="en-US" w:eastAsia="zh-CN"/>
                    </w:rPr>
                  </w:pPr>
                  <w:r>
                    <w:rPr>
                      <w:rFonts w:hint="eastAsia"/>
                      <w:color w:val="auto"/>
                      <w:sz w:val="21"/>
                      <w:szCs w:val="21"/>
                      <w:lang w:val="en-US" w:eastAsia="zh-CN"/>
                    </w:rPr>
                    <w:t>项目为新建学校以及进行河流改道，不属于</w:t>
                  </w:r>
                  <w:r>
                    <w:rPr>
                      <w:rStyle w:val="27"/>
                      <w:rFonts w:hint="eastAsia" w:ascii="宋体" w:hAnsi="宋体" w:eastAsia="宋体" w:cs="Times New Roman"/>
                      <w:kern w:val="2"/>
                      <w:sz w:val="21"/>
                      <w:szCs w:val="21"/>
                      <w:lang w:val="en-US" w:eastAsia="zh-CN" w:bidi="ar-SA"/>
                    </w:rPr>
                    <w:t>五类重金属企业。</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90"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95"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4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Style w:val="27"/>
                      <w:rFonts w:hint="eastAsia" w:ascii="宋体" w:hAnsi="宋体" w:eastAsia="宋体" w:cs="Times New Roman"/>
                      <w:kern w:val="2"/>
                      <w:sz w:val="21"/>
                      <w:szCs w:val="21"/>
                      <w:lang w:val="en-US" w:eastAsia="zh-CN" w:bidi="ar-SA"/>
                    </w:rPr>
                    <w:t>资源开发效率要求</w:t>
                  </w:r>
                </w:p>
              </w:tc>
              <w:tc>
                <w:tcPr>
                  <w:tcW w:w="40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1432" w:type="dxa"/>
                  <w:tcBorders>
                    <w:top w:val="single" w:color="auto" w:sz="4" w:space="0"/>
                    <w:left w:val="nil"/>
                    <w:bottom w:val="single" w:color="auto" w:sz="4" w:space="0"/>
                    <w:right w:val="single" w:color="auto" w:sz="4" w:space="0"/>
                  </w:tcBorders>
                  <w:noWrap w:val="0"/>
                  <w:vAlign w:val="center"/>
                </w:tcPr>
                <w:p>
                  <w:pPr>
                    <w:pStyle w:val="9"/>
                    <w:keepNext w:val="0"/>
                    <w:keepLines w:val="0"/>
                    <w:pageBreakBefore w:val="0"/>
                    <w:widowControl w:val="0"/>
                    <w:kinsoku w:val="0"/>
                    <w:wordWrap/>
                    <w:overflowPunct w:val="0"/>
                    <w:topLinePunct w:val="0"/>
                    <w:autoSpaceDE/>
                    <w:autoSpaceDN/>
                    <w:bidi w:val="0"/>
                    <w:adjustRightInd/>
                    <w:snapToGrid w:val="0"/>
                    <w:spacing w:before="0" w:after="0" w:line="240" w:lineRule="auto"/>
                    <w:ind w:right="113" w:rightChars="0"/>
                    <w:jc w:val="both"/>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b w:val="0"/>
                <w:bCs w:val="0"/>
                <w:sz w:val="24"/>
                <w:szCs w:val="24"/>
              </w:rPr>
            </w:pPr>
            <w:r>
              <w:rPr>
                <w:rFonts w:hint="eastAsia" w:ascii="宋体" w:hAnsi="宋体" w:eastAsia="宋体" w:cs="宋体"/>
                <w:b w:val="0"/>
                <w:bCs w:val="0"/>
                <w:sz w:val="24"/>
                <w:szCs w:val="24"/>
              </w:rPr>
              <w:t>综上，本项目符合</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 xml:space="preserve"> 三线一单” 相关要求</w:t>
            </w:r>
            <w:r>
              <w:rPr>
                <w:rFonts w:hint="eastAsia" w:ascii="宋体" w:hAnsi="宋体" w:eastAsia="宋体" w:cs="宋体"/>
                <w:b w:val="0"/>
                <w:bCs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Ansi="宋体"/>
                <w:b/>
                <w:bCs w:val="0"/>
                <w:color w:val="auto"/>
                <w:kern w:val="0"/>
                <w:sz w:val="24"/>
              </w:rPr>
              <w:t>与《中华人民共和国长江保护法》</w:t>
            </w:r>
            <w:r>
              <w:rPr>
                <w:rFonts w:hint="eastAsia" w:hAnsi="宋体"/>
                <w:b/>
                <w:bCs w:val="0"/>
                <w:color w:val="auto"/>
                <w:kern w:val="0"/>
                <w:sz w:val="24"/>
                <w:lang w:val="en-US" w:eastAsia="zh-CN"/>
              </w:rPr>
              <w:t>的</w:t>
            </w:r>
            <w:r>
              <w:rPr>
                <w:rFonts w:hAnsi="宋体"/>
                <w:b/>
                <w:bCs w:val="0"/>
                <w:color w:val="auto"/>
                <w:kern w:val="0"/>
                <w:sz w:val="24"/>
              </w:rPr>
              <w:t>符合性</w:t>
            </w:r>
            <w:r>
              <w:rPr>
                <w:rFonts w:hint="eastAsia" w:hAnsi="宋体"/>
                <w:b/>
                <w:bCs w:val="0"/>
                <w:color w:val="auto"/>
                <w:kern w:val="0"/>
                <w:sz w:val="24"/>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bCs/>
                <w:color w:val="auto"/>
                <w:kern w:val="0"/>
                <w:sz w:val="24"/>
              </w:rPr>
            </w:pPr>
            <w:r>
              <w:rPr>
                <w:rFonts w:hAnsi="宋体"/>
                <w:bCs/>
                <w:color w:val="auto"/>
                <w:kern w:val="0"/>
                <w:sz w:val="24"/>
              </w:rPr>
              <w:t>本项目与《中华人民共和国长江保护法》</w:t>
            </w:r>
            <w:r>
              <w:rPr>
                <w:rFonts w:hint="eastAsia" w:hAnsi="宋体"/>
                <w:bCs/>
                <w:color w:val="auto"/>
                <w:kern w:val="0"/>
                <w:sz w:val="24"/>
              </w:rPr>
              <w:t>（</w:t>
            </w:r>
            <w:r>
              <w:rPr>
                <w:rFonts w:hAnsi="宋体"/>
                <w:bCs/>
                <w:color w:val="auto"/>
                <w:kern w:val="0"/>
                <w:sz w:val="24"/>
              </w:rPr>
              <w:t>2020年12月26日</w:t>
            </w:r>
            <w:r>
              <w:rPr>
                <w:rFonts w:hint="eastAsia" w:hAnsi="宋体"/>
                <w:bCs/>
                <w:color w:val="auto"/>
                <w:kern w:val="0"/>
                <w:sz w:val="24"/>
              </w:rPr>
              <w:t>）</w:t>
            </w:r>
            <w:r>
              <w:rPr>
                <w:rFonts w:hAnsi="宋体"/>
                <w:bCs/>
                <w:color w:val="auto"/>
                <w:kern w:val="0"/>
                <w:sz w:val="24"/>
              </w:rPr>
              <w:t>对比分析详见</w:t>
            </w:r>
            <w:r>
              <w:rPr>
                <w:rFonts w:hint="eastAsia" w:hAnsi="宋体"/>
                <w:bCs/>
                <w:color w:val="auto"/>
                <w:kern w:val="0"/>
                <w:sz w:val="24"/>
                <w:lang w:val="en-US" w:eastAsia="zh-CN"/>
              </w:rPr>
              <w:t>下</w:t>
            </w:r>
            <w:r>
              <w:rPr>
                <w:rFonts w:hAnsi="宋体"/>
                <w:bCs/>
                <w:color w:val="auto"/>
                <w:kern w:val="0"/>
                <w:sz w:val="24"/>
              </w:rPr>
              <w:t>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color w:val="auto"/>
                <w:szCs w:val="21"/>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rPr>
              <w:t>1-</w:t>
            </w:r>
            <w:r>
              <w:rPr>
                <w:rFonts w:hint="eastAsia" w:ascii="Times New Roman" w:hAnsi="Times New Roman" w:eastAsia="黑体" w:cs="Times New Roman"/>
                <w:color w:val="auto"/>
                <w:szCs w:val="21"/>
                <w:lang w:val="en-US" w:eastAsia="zh-CN"/>
              </w:rPr>
              <w:t>6</w:t>
            </w:r>
            <w:r>
              <w:rPr>
                <w:rFonts w:hint="default" w:ascii="Times New Roman" w:hAnsi="Times New Roman" w:eastAsia="黑体" w:cs="Times New Roman"/>
                <w:color w:val="auto"/>
                <w:szCs w:val="21"/>
              </w:rPr>
              <w:t xml:space="preserve">  与</w:t>
            </w:r>
            <w:r>
              <w:rPr>
                <w:rFonts w:hint="eastAsia" w:ascii="Times New Roman" w:hAnsi="Times New Roman" w:eastAsia="黑体" w:cs="Times New Roman"/>
                <w:color w:val="auto"/>
                <w:szCs w:val="21"/>
              </w:rPr>
              <w:t>《中华人民共和国长江保护法》</w:t>
            </w:r>
            <w:r>
              <w:rPr>
                <w:rFonts w:hint="default" w:ascii="Times New Roman" w:hAnsi="Times New Roman" w:eastAsia="黑体" w:cs="Times New Roman"/>
                <w:color w:val="auto"/>
                <w:szCs w:val="21"/>
              </w:rPr>
              <w:t>对比分析表</w:t>
            </w:r>
          </w:p>
          <w:tbl>
            <w:tblPr>
              <w:tblStyle w:val="25"/>
              <w:tblW w:w="48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7"/>
              <w:gridCol w:w="4224"/>
              <w:gridCol w:w="2408"/>
              <w:gridCol w:w="8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序号</w:t>
                  </w:r>
                </w:p>
              </w:tc>
              <w:tc>
                <w:tcPr>
                  <w:tcW w:w="3443"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int="eastAsia" w:hAnsi="宋体"/>
                      <w:color w:val="auto"/>
                      <w:kern w:val="0"/>
                      <w:sz w:val="21"/>
                      <w:szCs w:val="21"/>
                    </w:rPr>
                    <w:t>相关</w:t>
                  </w:r>
                  <w:r>
                    <w:rPr>
                      <w:rFonts w:hAnsi="宋体"/>
                      <w:color w:val="auto"/>
                      <w:kern w:val="0"/>
                      <w:sz w:val="21"/>
                      <w:szCs w:val="21"/>
                    </w:rPr>
                    <w:t>要求</w:t>
                  </w:r>
                </w:p>
              </w:tc>
              <w:tc>
                <w:tcPr>
                  <w:tcW w:w="1961"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本工程内容</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1</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禁止在长江流域重点生态功能区布局对生态系统有严重影响的产业。禁止重污染企业和项目向长江中上游转移。</w:t>
                  </w:r>
                </w:p>
              </w:tc>
              <w:tc>
                <w:tcPr>
                  <w:tcW w:w="1961"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int="eastAsia" w:hAnsi="宋体"/>
                      <w:color w:val="auto"/>
                      <w:kern w:val="0"/>
                      <w:sz w:val="21"/>
                      <w:szCs w:val="21"/>
                    </w:rPr>
                    <w:t>本</w:t>
                  </w:r>
                  <w:r>
                    <w:rPr>
                      <w:rFonts w:hAnsi="宋体"/>
                      <w:color w:val="auto"/>
                      <w:kern w:val="0"/>
                      <w:sz w:val="21"/>
                      <w:szCs w:val="21"/>
                    </w:rPr>
                    <w:t>项目</w:t>
                  </w:r>
                  <w:r>
                    <w:rPr>
                      <w:rFonts w:hint="eastAsia" w:hAnsi="宋体"/>
                      <w:color w:val="auto"/>
                      <w:kern w:val="0"/>
                      <w:sz w:val="21"/>
                      <w:szCs w:val="21"/>
                    </w:rPr>
                    <w:t>不位于</w:t>
                  </w:r>
                  <w:r>
                    <w:rPr>
                      <w:rFonts w:hAnsi="宋体"/>
                      <w:color w:val="auto"/>
                      <w:kern w:val="0"/>
                      <w:sz w:val="21"/>
                      <w:szCs w:val="21"/>
                    </w:rPr>
                    <w:t>长江流域重点生态功能区</w:t>
                  </w:r>
                  <w:r>
                    <w:rPr>
                      <w:rFonts w:hint="eastAsia" w:hAnsi="宋体"/>
                      <w:color w:val="auto"/>
                      <w:kern w:val="0"/>
                      <w:sz w:val="21"/>
                      <w:szCs w:val="21"/>
                    </w:rPr>
                    <w:t>，不会对</w:t>
                  </w:r>
                  <w:r>
                    <w:rPr>
                      <w:rFonts w:hAnsi="宋体"/>
                      <w:color w:val="auto"/>
                      <w:kern w:val="0"/>
                      <w:sz w:val="21"/>
                      <w:szCs w:val="21"/>
                    </w:rPr>
                    <w:t>生态系统</w:t>
                  </w:r>
                  <w:r>
                    <w:rPr>
                      <w:rFonts w:hint="eastAsia" w:hAnsi="宋体"/>
                      <w:color w:val="auto"/>
                      <w:kern w:val="0"/>
                      <w:sz w:val="21"/>
                      <w:szCs w:val="21"/>
                    </w:rPr>
                    <w:t>产生严重影响</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int="eastAsia" w:hAnsi="宋体"/>
                      <w:color w:val="auto"/>
                      <w:kern w:val="0"/>
                      <w:sz w:val="21"/>
                      <w:szCs w:val="21"/>
                    </w:rPr>
                    <w:t>2</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对长江流域已建小水电工程，不符合生态保护要求的，县级以上地方人民政府应当组织分类整改或者采取措施逐步退出</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本项目不属于</w:t>
                  </w:r>
                  <w:r>
                    <w:rPr>
                      <w:rFonts w:hAnsi="宋体"/>
                      <w:color w:val="auto"/>
                      <w:kern w:val="0"/>
                      <w:sz w:val="21"/>
                      <w:szCs w:val="21"/>
                    </w:rPr>
                    <w:t>小水电工程</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3</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default" w:hAnsi="宋体" w:eastAsia="宋体"/>
                      <w:color w:val="auto"/>
                      <w:kern w:val="0"/>
                      <w:sz w:val="21"/>
                      <w:szCs w:val="21"/>
                      <w:lang w:val="en-US" w:eastAsia="zh-CN"/>
                    </w:rPr>
                  </w:pPr>
                  <w:r>
                    <w:rPr>
                      <w:rFonts w:hint="eastAsia" w:hAnsi="宋体"/>
                      <w:color w:val="auto"/>
                      <w:kern w:val="0"/>
                      <w:sz w:val="21"/>
                      <w:szCs w:val="21"/>
                    </w:rPr>
                    <w:t>本项目不涉及</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4</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禁止在长江流域开放水域养殖、投放外来物种或者其他非本地物种种质资源</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本项目不涉及</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5</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禁止在长江流域河湖管理范围内倾倒、填埋、堆放、弃置、处理固体废物。长江流域县级以上地方人民政府应当加强对固体废物非法转移和倾倒的联防联控</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本项目固体废物严格按照</w:t>
                  </w:r>
                  <w:r>
                    <w:rPr>
                      <w:rFonts w:hAnsi="宋体"/>
                      <w:color w:val="auto"/>
                      <w:kern w:val="0"/>
                      <w:sz w:val="21"/>
                      <w:szCs w:val="21"/>
                    </w:rPr>
                    <w:t>（达市环办发〔20</w:t>
                  </w:r>
                  <w:r>
                    <w:rPr>
                      <w:rFonts w:hint="eastAsia" w:hAnsi="宋体"/>
                      <w:color w:val="auto"/>
                      <w:kern w:val="0"/>
                      <w:sz w:val="21"/>
                      <w:szCs w:val="21"/>
                    </w:rPr>
                    <w:t>21</w:t>
                  </w:r>
                  <w:r>
                    <w:rPr>
                      <w:rFonts w:hAnsi="宋体"/>
                      <w:color w:val="auto"/>
                      <w:kern w:val="0"/>
                      <w:sz w:val="21"/>
                      <w:szCs w:val="21"/>
                    </w:rPr>
                    <w:t>〕</w:t>
                  </w:r>
                  <w:r>
                    <w:rPr>
                      <w:rFonts w:hint="eastAsia" w:hAnsi="宋体"/>
                      <w:color w:val="auto"/>
                      <w:kern w:val="0"/>
                      <w:sz w:val="21"/>
                      <w:szCs w:val="21"/>
                    </w:rPr>
                    <w:t>24</w:t>
                  </w:r>
                  <w:r>
                    <w:rPr>
                      <w:rFonts w:hAnsi="宋体"/>
                      <w:color w:val="auto"/>
                      <w:kern w:val="0"/>
                      <w:sz w:val="21"/>
                      <w:szCs w:val="21"/>
                    </w:rPr>
                    <w:t>号）</w:t>
                  </w:r>
                  <w:r>
                    <w:rPr>
                      <w:rFonts w:hint="eastAsia" w:hAnsi="宋体"/>
                      <w:color w:val="auto"/>
                      <w:kern w:val="0"/>
                      <w:sz w:val="21"/>
                      <w:szCs w:val="21"/>
                    </w:rPr>
                    <w:t>进行处置</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6</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禁止在长江流域水上运输剧毒化学品和国家规定禁止通过内河运输的其他危险化学品。长江流域县级以上地方人民政府交通运输主管部门会同本级人民政府有关部门加强对长江流域危险化学品运输的管控</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本项目不涉及</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7</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禁止违法利用、占用长江流域河湖岸线</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本项目不涉及</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8</w:t>
                  </w:r>
                </w:p>
              </w:tc>
              <w:tc>
                <w:tcPr>
                  <w:tcW w:w="3443" w:type="dxa"/>
                  <w:noWrap w:val="0"/>
                  <w:vAlign w:val="center"/>
                </w:tcPr>
                <w:p>
                  <w:pPr>
                    <w:keepNext w:val="0"/>
                    <w:keepLines w:val="0"/>
                    <w:pageBreakBefore w:val="0"/>
                    <w:topLinePunct w:val="0"/>
                    <w:bidi w:val="0"/>
                    <w:spacing w:line="240" w:lineRule="auto"/>
                    <w:jc w:val="left"/>
                    <w:textAlignment w:val="auto"/>
                    <w:rPr>
                      <w:rFonts w:hAnsi="宋体"/>
                      <w:color w:val="auto"/>
                      <w:kern w:val="0"/>
                      <w:sz w:val="21"/>
                      <w:szCs w:val="21"/>
                    </w:rPr>
                  </w:pPr>
                  <w:r>
                    <w:rPr>
                      <w:rFonts w:hAnsi="宋体"/>
                      <w:color w:val="auto"/>
                      <w:kern w:val="0"/>
                      <w:sz w:val="21"/>
                      <w:szCs w:val="21"/>
                    </w:rPr>
                    <w:t>禁止在长江流域水土流失严重、生态脆弱的区域开展可能造成水土流失的生产建设活动。确因国家发展战略和国计民生需要建设的，应当经科学论证，并依法办理审批手续</w:t>
                  </w:r>
                  <w:r>
                    <w:rPr>
                      <w:rFonts w:hint="eastAsia" w:hAnsi="宋体"/>
                      <w:color w:val="auto"/>
                      <w:kern w:val="0"/>
                      <w:sz w:val="21"/>
                      <w:szCs w:val="21"/>
                    </w:rPr>
                    <w:t>。</w:t>
                  </w:r>
                </w:p>
              </w:tc>
              <w:tc>
                <w:tcPr>
                  <w:tcW w:w="1961" w:type="dxa"/>
                  <w:noWrap w:val="0"/>
                  <w:vAlign w:val="center"/>
                </w:tcPr>
                <w:p>
                  <w:pPr>
                    <w:keepNext w:val="0"/>
                    <w:keepLines w:val="0"/>
                    <w:pageBreakBefore w:val="0"/>
                    <w:topLinePunct w:val="0"/>
                    <w:bidi w:val="0"/>
                    <w:spacing w:line="240" w:lineRule="auto"/>
                    <w:jc w:val="center"/>
                    <w:textAlignment w:val="auto"/>
                    <w:rPr>
                      <w:rFonts w:hint="eastAsia" w:hAnsi="宋体"/>
                      <w:color w:val="auto"/>
                      <w:kern w:val="0"/>
                      <w:sz w:val="21"/>
                      <w:szCs w:val="21"/>
                    </w:rPr>
                  </w:pPr>
                  <w:r>
                    <w:rPr>
                      <w:rFonts w:hint="eastAsia" w:hAnsi="宋体"/>
                      <w:color w:val="auto"/>
                      <w:kern w:val="0"/>
                      <w:sz w:val="21"/>
                      <w:szCs w:val="21"/>
                    </w:rPr>
                    <w:t>本项目不涉及</w:t>
                  </w:r>
                </w:p>
              </w:tc>
              <w:tc>
                <w:tcPr>
                  <w:tcW w:w="686" w:type="dxa"/>
                  <w:noWrap w:val="0"/>
                  <w:vAlign w:val="center"/>
                </w:tcPr>
                <w:p>
                  <w:pPr>
                    <w:keepNext w:val="0"/>
                    <w:keepLines w:val="0"/>
                    <w:pageBreakBefore w:val="0"/>
                    <w:topLinePunct w:val="0"/>
                    <w:bidi w:val="0"/>
                    <w:spacing w:line="240" w:lineRule="auto"/>
                    <w:jc w:val="center"/>
                    <w:textAlignment w:val="auto"/>
                    <w:rPr>
                      <w:rFonts w:hAnsi="宋体"/>
                      <w:color w:val="auto"/>
                      <w:kern w:val="0"/>
                      <w:sz w:val="21"/>
                      <w:szCs w:val="21"/>
                    </w:rPr>
                  </w:pPr>
                  <w:r>
                    <w:rPr>
                      <w:rFonts w:hAnsi="宋体"/>
                      <w:color w:val="auto"/>
                      <w:kern w:val="0"/>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left="0" w:leftChars="0" w:right="0" w:firstLine="482" w:firstLineChars="200"/>
              <w:jc w:val="left"/>
              <w:textAlignment w:val="auto"/>
              <w:rPr>
                <w:rFonts w:hint="default" w:cs="Times New Roman"/>
                <w:b/>
                <w:color w:val="auto"/>
                <w:sz w:val="24"/>
                <w:szCs w:val="24"/>
                <w:highlight w:val="none"/>
                <w:lang w:val="en-US" w:eastAsia="zh-CN"/>
              </w:rPr>
            </w:pPr>
            <w:r>
              <w:rPr>
                <w:rFonts w:hint="eastAsia" w:ascii="Times New Roman" w:hAnsi="Times New Roman" w:eastAsia="宋体" w:cs="Times New Roman"/>
                <w:b/>
                <w:bCs/>
                <w:sz w:val="24"/>
                <w:szCs w:val="24"/>
                <w:lang w:val="en-US" w:eastAsia="zh-CN"/>
              </w:rPr>
              <w:t>5、</w:t>
            </w:r>
            <w:r>
              <w:rPr>
                <w:rFonts w:hint="eastAsia" w:cs="Times New Roman"/>
                <w:b/>
                <w:bCs/>
                <w:color w:val="auto"/>
                <w:sz w:val="24"/>
                <w:szCs w:val="24"/>
                <w:highlight w:val="none"/>
                <w:lang w:val="en-US" w:eastAsia="zh-CN"/>
              </w:rPr>
              <w:t>与</w:t>
            </w:r>
            <w:r>
              <w:rPr>
                <w:rFonts w:hint="eastAsia" w:cs="Times New Roman"/>
                <w:b/>
                <w:color w:val="auto"/>
                <w:sz w:val="24"/>
                <w:szCs w:val="24"/>
                <w:highlight w:val="none"/>
                <w:lang w:val="en-US" w:eastAsia="zh-CN"/>
              </w:rPr>
              <w:t>《四川省、重庆市长江经济带发展负面清单实施细则（试行，2022年版）》（川长江办〔2022〕17 号）的符合性分析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color w:val="auto"/>
                <w:sz w:val="24"/>
                <w:szCs w:val="24"/>
                <w:highlight w:val="none"/>
              </w:rPr>
              <w:t>项目的建设与</w:t>
            </w:r>
            <w:r>
              <w:rPr>
                <w:rFonts w:hint="eastAsia"/>
                <w:sz w:val="24"/>
                <w:szCs w:val="24"/>
              </w:rPr>
              <w:t>《四川省、重庆市长江经济带发展负面清单实施细则（试行，2022年版）》（川长江办〔2022〕17 号）</w:t>
            </w:r>
            <w:r>
              <w:rPr>
                <w:rFonts w:hint="default" w:ascii="Times New Roman" w:hAnsi="Times New Roman" w:cs="Times New Roman"/>
                <w:color w:val="auto"/>
                <w:sz w:val="24"/>
                <w:szCs w:val="24"/>
                <w:highlight w:val="none"/>
              </w:rPr>
              <w:t>符合性分析如下</w:t>
            </w:r>
            <w:r>
              <w:rPr>
                <w:rFonts w:hint="eastAsia" w:cs="Times New Roman"/>
                <w:color w:val="auto"/>
                <w:sz w:val="24"/>
                <w:szCs w:val="24"/>
                <w:highlight w:val="none"/>
                <w:lang w:eastAsia="zh-CN"/>
              </w:rPr>
              <w:t>：</w:t>
            </w:r>
          </w:p>
          <w:p>
            <w:pPr>
              <w:pageBreakBefore w:val="0"/>
              <w:kinsoku/>
              <w:wordWrap/>
              <w:bidi w:val="0"/>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eastAsia" w:ascii="Times New Roman" w:hAnsi="Times New Roman" w:eastAsia="黑体" w:cs="Times New Roman"/>
                <w:color w:val="auto"/>
                <w:szCs w:val="21"/>
                <w:highlight w:val="none"/>
                <w:lang w:val="en-US" w:eastAsia="zh-CN"/>
              </w:rPr>
              <w:t>7</w:t>
            </w:r>
            <w:r>
              <w:rPr>
                <w:rFonts w:hint="default" w:ascii="Times New Roman" w:hAnsi="Times New Roman" w:eastAsia="黑体" w:cs="Times New Roman"/>
                <w:color w:val="auto"/>
                <w:szCs w:val="21"/>
                <w:highlight w:val="none"/>
              </w:rPr>
              <w:t xml:space="preserve">  本项目与《实施细则》符合性分析</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418"/>
              <w:gridCol w:w="972"/>
              <w:gridCol w:w="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3" w:type="pct"/>
                  <w:gridSpan w:val="2"/>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实施细则相关要求</w:t>
                  </w:r>
                </w:p>
              </w:tc>
              <w:tc>
                <w:tcPr>
                  <w:tcW w:w="585" w:type="pct"/>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项目情况</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禁止建设不符合全国和省级港口布局规划以及港口总体规划的码头项目，禁止建设不符合《长江干线过江通道布局规划》的过长江通道项目。</w:t>
                  </w:r>
                </w:p>
              </w:tc>
              <w:tc>
                <w:tcPr>
                  <w:tcW w:w="585"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不属于码头项目</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过长江通道项目</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585"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不涉及自然保护区</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风景名胜区</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58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不涉及饮用水源保护区</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585"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不涉及水产种质资源保护</w:t>
                  </w:r>
                  <w:r>
                    <w:rPr>
                      <w:rFonts w:hint="eastAsia" w:ascii="Times New Roman" w:hAnsi="Times New Roman" w:cs="Times New Roman"/>
                      <w:color w:val="auto"/>
                      <w:szCs w:val="21"/>
                      <w:highlight w:val="none"/>
                      <w:lang w:val="en-US" w:eastAsia="zh-CN"/>
                    </w:rPr>
                    <w:t>区</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国家湿地公园区</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585" w:type="pct"/>
                  <w:noWrap w:val="0"/>
                  <w:vAlign w:val="center"/>
                </w:tcPr>
                <w:p>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不涉及</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禁止未经许可在长江干支流及湖泊新设、改设或扩大排污口。</w:t>
                  </w:r>
                </w:p>
              </w:tc>
              <w:tc>
                <w:tcPr>
                  <w:tcW w:w="585" w:type="pct"/>
                  <w:noWrap w:val="0"/>
                  <w:vAlign w:val="center"/>
                </w:tcPr>
                <w:p>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本项目不设置排污口</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禁止在“一江一口两湖七河”和332个水生生物保护区开展生产性捕捞。</w:t>
                  </w:r>
                </w:p>
              </w:tc>
              <w:tc>
                <w:tcPr>
                  <w:tcW w:w="58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58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9</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禁止在合规园区外新建、扩建钢铁、石化、化工、焦化、建材、有色、制浆造纸等高污染项目。</w:t>
                  </w:r>
                </w:p>
              </w:tc>
              <w:tc>
                <w:tcPr>
                  <w:tcW w:w="58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3865"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禁止新建、扩建不符合国家石化、现代煤化工等产业布局规划的项目。</w:t>
                  </w:r>
                </w:p>
              </w:tc>
              <w:tc>
                <w:tcPr>
                  <w:tcW w:w="585" w:type="pct"/>
                  <w:noWrap w:val="0"/>
                  <w:vAlign w:val="center"/>
                </w:tcPr>
                <w:p>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不涉及</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noWrap w:val="0"/>
                  <w:vAlign w:val="center"/>
                </w:tcPr>
                <w:p>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w:t>
                  </w:r>
                </w:p>
              </w:tc>
              <w:tc>
                <w:tcPr>
                  <w:tcW w:w="3865"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禁止新建、扩建法律法规和相关政策明令禁止的落后产能项目。禁止新建、扩建不符合国家产能置换要求的严重过剩产能行业的项目。禁止新建、扩建不符合要求的高耗能高排放</w:t>
                  </w:r>
                  <w:r>
                    <w:rPr>
                      <w:rFonts w:hint="eastAsia" w:cs="Times New Roman"/>
                      <w:color w:val="auto"/>
                      <w:szCs w:val="21"/>
                      <w:highlight w:val="none"/>
                      <w:lang w:val="en-US" w:eastAsia="zh-CN"/>
                    </w:rPr>
                    <w:t>项目。</w:t>
                  </w:r>
                </w:p>
              </w:tc>
              <w:tc>
                <w:tcPr>
                  <w:tcW w:w="585" w:type="pct"/>
                  <w:noWrap w:val="0"/>
                  <w:vAlign w:val="center"/>
                </w:tcPr>
                <w:p>
                  <w:pPr>
                    <w:pageBreakBefore w:val="0"/>
                    <w:kinsoku/>
                    <w:wordWrap/>
                    <w:bidi w:val="0"/>
                    <w:ind w:left="0" w:leftChars="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属于鼓励类项目</w:t>
                  </w:r>
                </w:p>
              </w:tc>
              <w:tc>
                <w:tcPr>
                  <w:tcW w:w="231"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80" w:firstLineChars="200"/>
              <w:textAlignment w:val="auto"/>
              <w:rPr>
                <w:rFonts w:hint="eastAsia" w:cs="Times New Roman"/>
                <w:b/>
                <w:color w:val="auto"/>
                <w:sz w:val="24"/>
                <w:szCs w:val="24"/>
                <w:highlight w:val="none"/>
                <w:lang w:val="en-US" w:eastAsia="zh-CN"/>
              </w:rPr>
            </w:pPr>
            <w:r>
              <w:rPr>
                <w:rFonts w:hint="default" w:ascii="Times New Roman" w:hAnsi="Times New Roman" w:cs="Times New Roman"/>
                <w:color w:val="auto"/>
                <w:sz w:val="24"/>
                <w:szCs w:val="24"/>
                <w:highlight w:val="none"/>
              </w:rPr>
              <w:t>项目建设满足</w:t>
            </w:r>
            <w:r>
              <w:rPr>
                <w:rFonts w:hint="eastAsia"/>
                <w:sz w:val="24"/>
                <w:szCs w:val="24"/>
              </w:rPr>
              <w:t>《四川省、重庆市长江经济带发展负面清单实施细则（试行，2022年版）》（川长江办〔2022〕17 号）</w:t>
            </w:r>
            <w:r>
              <w:rPr>
                <w:rFonts w:hint="default" w:ascii="Times New Roman" w:hAnsi="Times New Roman" w:cs="Times New Roman"/>
                <w:color w:val="auto"/>
                <w:sz w:val="24"/>
                <w:szCs w:val="24"/>
                <w:highlight w:val="none"/>
              </w:rPr>
              <w:t>的相应要求。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6、</w:t>
            </w:r>
            <w:r>
              <w:rPr>
                <w:rFonts w:hint="default" w:ascii="Times New Roman" w:hAnsi="Times New Roman" w:cs="Times New Roman"/>
                <w:b/>
                <w:bCs w:val="0"/>
                <w:color w:val="auto"/>
                <w:kern w:val="0"/>
                <w:sz w:val="24"/>
                <w:lang w:val="en-US" w:eastAsia="zh-CN"/>
              </w:rPr>
              <w:t>与</w:t>
            </w:r>
            <w:r>
              <w:rPr>
                <w:rFonts w:hint="default" w:ascii="Times New Roman" w:hAnsi="Times New Roman" w:eastAsia="宋体" w:cs="Times New Roman"/>
                <w:b/>
                <w:bCs w:val="0"/>
                <w:color w:val="auto"/>
                <w:kern w:val="0"/>
                <w:sz w:val="24"/>
                <w:lang w:val="en-US" w:eastAsia="zh-CN"/>
              </w:rPr>
              <w:t>《四川省嘉陵江流域生态环境保护条例》符合性分析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522"/>
              <w:jc w:val="left"/>
              <w:textAlignment w:val="auto"/>
              <w:rPr>
                <w:rFonts w:hint="default" w:ascii="Times New Roman" w:hAnsi="Times New Roman" w:eastAsia="宋体" w:cs="Times New Roman"/>
                <w:sz w:val="24"/>
                <w:szCs w:val="24"/>
              </w:rPr>
            </w:pPr>
            <w:r>
              <w:rPr>
                <w:rFonts w:hint="default" w:ascii="Times New Roman" w:hAnsi="Times New Roman" w:eastAsia="Times New Roman" w:cs="Times New Roman"/>
                <w:spacing w:val="10"/>
                <w:sz w:val="24"/>
                <w:szCs w:val="24"/>
              </w:rPr>
              <w:t xml:space="preserve">2021 </w:t>
            </w:r>
            <w:r>
              <w:rPr>
                <w:rFonts w:hint="default" w:ascii="Times New Roman" w:hAnsi="Times New Roman" w:eastAsia="宋体" w:cs="Times New Roman"/>
                <w:spacing w:val="10"/>
                <w:sz w:val="24"/>
                <w:szCs w:val="24"/>
              </w:rPr>
              <w:t xml:space="preserve">年 </w:t>
            </w:r>
            <w:r>
              <w:rPr>
                <w:rFonts w:hint="default" w:ascii="Times New Roman" w:hAnsi="Times New Roman" w:eastAsia="Times New Roman" w:cs="Times New Roman"/>
                <w:spacing w:val="10"/>
                <w:sz w:val="24"/>
                <w:szCs w:val="24"/>
              </w:rPr>
              <w:t>11</w:t>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pacing w:val="6"/>
                <w:sz w:val="24"/>
                <w:szCs w:val="24"/>
              </w:rPr>
              <w:t>月</w:t>
            </w:r>
            <w:r>
              <w:rPr>
                <w:rFonts w:hint="default" w:ascii="Times New Roman" w:hAnsi="Times New Roman" w:eastAsia="宋体" w:cs="Times New Roman"/>
                <w:spacing w:val="4"/>
                <w:sz w:val="24"/>
                <w:szCs w:val="24"/>
              </w:rPr>
              <w:t xml:space="preserve"> </w:t>
            </w:r>
            <w:r>
              <w:rPr>
                <w:rFonts w:hint="default" w:ascii="Times New Roman" w:hAnsi="Times New Roman" w:eastAsia="Times New Roman" w:cs="Times New Roman"/>
                <w:spacing w:val="4"/>
                <w:sz w:val="24"/>
                <w:szCs w:val="24"/>
              </w:rPr>
              <w:t xml:space="preserve">25 </w:t>
            </w:r>
            <w:r>
              <w:rPr>
                <w:rFonts w:hint="default" w:ascii="Times New Roman" w:hAnsi="Times New Roman" w:eastAsia="宋体" w:cs="Times New Roman"/>
                <w:spacing w:val="4"/>
                <w:sz w:val="24"/>
                <w:szCs w:val="24"/>
              </w:rPr>
              <w:t>日四川省第十三届人民代表大会常务委员会第三十一会议通过了《四</w:t>
            </w:r>
            <w:r>
              <w:rPr>
                <w:rFonts w:hint="default" w:ascii="Times New Roman" w:hAnsi="Times New Roman" w:eastAsia="宋体" w:cs="Times New Roman"/>
                <w:spacing w:val="10"/>
                <w:sz w:val="24"/>
                <w:szCs w:val="24"/>
              </w:rPr>
              <w:t>川省嘉陵江流域生态环境保护条例》。本项目与嘉陵江流</w:t>
            </w:r>
            <w:r>
              <w:rPr>
                <w:rFonts w:hint="default" w:ascii="Times New Roman" w:hAnsi="Times New Roman" w:eastAsia="宋体" w:cs="Times New Roman"/>
                <w:spacing w:val="5"/>
                <w:sz w:val="24"/>
                <w:szCs w:val="24"/>
              </w:rPr>
              <w:t>域</w:t>
            </w:r>
            <w:r>
              <w:rPr>
                <w:rFonts w:hint="default" w:ascii="Times New Roman" w:hAnsi="Times New Roman" w:eastAsia="宋体" w:cs="Times New Roman"/>
                <w:spacing w:val="16"/>
                <w:sz w:val="24"/>
                <w:szCs w:val="24"/>
              </w:rPr>
              <w:t>保</w:t>
            </w:r>
            <w:r>
              <w:rPr>
                <w:rFonts w:hint="default" w:ascii="Times New Roman" w:hAnsi="Times New Roman" w:eastAsia="宋体" w:cs="Times New Roman"/>
                <w:spacing w:val="8"/>
                <w:sz w:val="24"/>
                <w:szCs w:val="24"/>
              </w:rPr>
              <w:t>护条例的符合性分析见下表：</w:t>
            </w:r>
          </w:p>
          <w:p>
            <w:pPr>
              <w:pageBreakBefore w:val="0"/>
              <w:kinsoku/>
              <w:wordWrap/>
              <w:bidi w:val="0"/>
              <w:spacing w:line="360" w:lineRule="auto"/>
              <w:ind w:left="0" w:leftChars="0" w:right="0"/>
              <w:jc w:val="center"/>
              <w:rPr>
                <w:rFonts w:hint="eastAsia"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rPr>
              <w:t>表 1-</w:t>
            </w:r>
            <w:r>
              <w:rPr>
                <w:rFonts w:hint="eastAsia" w:ascii="Times New Roman" w:hAnsi="Times New Roman" w:eastAsia="黑体" w:cs="Times New Roman"/>
                <w:color w:val="auto"/>
                <w:szCs w:val="21"/>
                <w:highlight w:val="none"/>
                <w:lang w:val="en-US" w:eastAsia="zh-CN"/>
              </w:rPr>
              <w:t>8</w:t>
            </w:r>
            <w:r>
              <w:rPr>
                <w:rFonts w:hint="default" w:ascii="Times New Roman" w:hAnsi="Times New Roman" w:eastAsia="黑体" w:cs="Times New Roman"/>
                <w:color w:val="auto"/>
                <w:szCs w:val="21"/>
                <w:highlight w:val="none"/>
              </w:rPr>
              <w:t xml:space="preserve">  与本项目与“嘉陵江流域保护条例”的符合性分析</w:t>
            </w:r>
          </w:p>
          <w:tbl>
            <w:tblPr>
              <w:tblStyle w:val="66"/>
              <w:tblW w:w="75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7"/>
              <w:gridCol w:w="4162"/>
              <w:gridCol w:w="1900"/>
              <w:gridCol w:w="7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pacing w:val="16"/>
                      <w:sz w:val="21"/>
                      <w:szCs w:val="21"/>
                      <w:lang w:val="en-US" w:eastAsia="zh-CN"/>
                    </w:rPr>
                  </w:pPr>
                  <w:r>
                    <w:rPr>
                      <w:rFonts w:hint="eastAsia" w:ascii="Times New Roman" w:hAnsi="Times New Roman" w:eastAsia="宋体" w:cs="Times New Roman"/>
                      <w:spacing w:val="16"/>
                      <w:sz w:val="21"/>
                      <w:szCs w:val="21"/>
                      <w:lang w:val="en-US" w:eastAsia="zh-CN"/>
                    </w:rPr>
                    <w:t>序号</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hanging="25"/>
                    <w:jc w:val="center"/>
                    <w:textAlignment w:val="auto"/>
                    <w:rPr>
                      <w:rFonts w:hint="default" w:ascii="Times New Roman" w:hAnsi="Times New Roman" w:eastAsia="宋体" w:cs="Times New Roman"/>
                      <w:spacing w:val="-3"/>
                      <w:sz w:val="21"/>
                      <w:szCs w:val="21"/>
                    </w:rPr>
                  </w:pPr>
                  <w:r>
                    <w:rPr>
                      <w:rFonts w:hint="eastAsia" w:ascii="Times New Roman" w:hAnsi="Times New Roman" w:cs="Times New Roman"/>
                      <w:b/>
                      <w:bCs/>
                      <w:color w:val="auto"/>
                      <w:szCs w:val="21"/>
                      <w:highlight w:val="none"/>
                      <w:lang w:val="en-US" w:eastAsia="zh-CN"/>
                    </w:rPr>
                    <w:t>保护条例</w:t>
                  </w:r>
                  <w:r>
                    <w:rPr>
                      <w:rFonts w:hint="default" w:ascii="Times New Roman" w:hAnsi="Times New Roman" w:cs="Times New Roman"/>
                      <w:b/>
                      <w:bCs/>
                      <w:color w:val="auto"/>
                      <w:szCs w:val="21"/>
                      <w:highlight w:val="none"/>
                    </w:rPr>
                    <w:t>相关要求</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2"/>
                    <w:jc w:val="center"/>
                    <w:textAlignment w:val="auto"/>
                    <w:rPr>
                      <w:rFonts w:hint="default" w:ascii="Times New Roman" w:hAnsi="Times New Roman" w:eastAsia="宋体" w:cs="Times New Roman"/>
                      <w:spacing w:val="-30"/>
                      <w:sz w:val="21"/>
                      <w:szCs w:val="21"/>
                      <w:lang w:val="en-US" w:eastAsia="zh-CN"/>
                    </w:rPr>
                  </w:pPr>
                  <w:r>
                    <w:rPr>
                      <w:rFonts w:hint="eastAsia" w:ascii="Times New Roman" w:hAnsi="Times New Roman" w:eastAsia="宋体" w:cs="Times New Roman"/>
                      <w:spacing w:val="14"/>
                      <w:sz w:val="21"/>
                      <w:szCs w:val="21"/>
                      <w:lang w:val="en-US" w:eastAsia="zh-CN"/>
                    </w:rPr>
                    <w:t>本项目</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pacing w:val="14"/>
                      <w:sz w:val="21"/>
                      <w:szCs w:val="21"/>
                      <w:lang w:val="en-US" w:eastAsia="zh-CN"/>
                    </w:rPr>
                  </w:pPr>
                  <w:r>
                    <w:rPr>
                      <w:rFonts w:hint="eastAsia" w:ascii="Times New Roman" w:hAnsi="Times New Roman" w:eastAsia="宋体" w:cs="Times New Roman"/>
                      <w:spacing w:val="14"/>
                      <w:sz w:val="21"/>
                      <w:szCs w:val="21"/>
                      <w:lang w:val="en-US" w:eastAsia="zh-CN"/>
                    </w:rPr>
                    <w:t>符合性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position w:val="4"/>
                      <w:sz w:val="21"/>
                      <w:szCs w:val="21"/>
                    </w:rPr>
                    <w:t>第</w:t>
                  </w:r>
                  <w:r>
                    <w:rPr>
                      <w:rFonts w:hint="eastAsia" w:ascii="Times New Roman" w:hAnsi="Times New Roman" w:eastAsia="宋体" w:cs="Times New Roman"/>
                      <w:spacing w:val="14"/>
                      <w:position w:val="4"/>
                      <w:sz w:val="21"/>
                      <w:szCs w:val="21"/>
                      <w:lang w:val="en-US" w:eastAsia="zh-CN"/>
                    </w:rPr>
                    <w:t>十七</w:t>
                  </w:r>
                  <w:r>
                    <w:rPr>
                      <w:rFonts w:hint="default" w:ascii="Times New Roman" w:hAnsi="Times New Roman" w:eastAsia="宋体" w:cs="Times New Roman"/>
                      <w:spacing w:val="16"/>
                      <w:sz w:val="21"/>
                      <w:szCs w:val="21"/>
                    </w:rPr>
                    <w:t>条</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hanging="2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禁</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3"/>
                      <w:sz w:val="21"/>
                      <w:szCs w:val="21"/>
                    </w:rPr>
                    <w:t>止</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3"/>
                      <w:sz w:val="21"/>
                      <w:szCs w:val="21"/>
                    </w:rPr>
                    <w:t>在</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3"/>
                      <w:sz w:val="21"/>
                      <w:szCs w:val="21"/>
                    </w:rPr>
                    <w:t>嘉</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3"/>
                      <w:sz w:val="21"/>
                      <w:szCs w:val="21"/>
                    </w:rPr>
                    <w:t>陵</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江</w:t>
                  </w:r>
                  <w:r>
                    <w:rPr>
                      <w:rFonts w:hint="default" w:ascii="Times New Roman" w:hAnsi="Times New Roman" w:eastAsia="宋体" w:cs="Times New Roman"/>
                      <w:spacing w:val="-60"/>
                      <w:sz w:val="21"/>
                      <w:szCs w:val="21"/>
                    </w:rPr>
                    <w:t xml:space="preserve"> </w:t>
                  </w:r>
                  <w:r>
                    <w:rPr>
                      <w:rFonts w:hint="default" w:ascii="Times New Roman" w:hAnsi="Times New Roman" w:eastAsia="宋体" w:cs="Times New Roman"/>
                      <w:spacing w:val="-3"/>
                      <w:sz w:val="21"/>
                      <w:szCs w:val="21"/>
                    </w:rPr>
                    <w:t>干</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支</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流</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3"/>
                      <w:sz w:val="21"/>
                      <w:szCs w:val="21"/>
                    </w:rPr>
                    <w:t>岸</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3"/>
                      <w:sz w:val="21"/>
                      <w:szCs w:val="21"/>
                    </w:rPr>
                    <w:t>线</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3"/>
                      <w:sz w:val="21"/>
                      <w:szCs w:val="21"/>
                    </w:rPr>
                    <w:t>一</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3"/>
                      <w:sz w:val="21"/>
                      <w:szCs w:val="21"/>
                    </w:rPr>
                    <w:t>公</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3"/>
                      <w:sz w:val="21"/>
                      <w:szCs w:val="21"/>
                    </w:rPr>
                    <w:t>里</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3"/>
                      <w:sz w:val="21"/>
                      <w:szCs w:val="21"/>
                    </w:rPr>
                    <w:t>范</w:t>
                  </w:r>
                  <w:r>
                    <w:rPr>
                      <w:rFonts w:hint="default" w:ascii="Times New Roman" w:hAnsi="Times New Roman" w:eastAsia="宋体" w:cs="Times New Roman"/>
                      <w:spacing w:val="-40"/>
                      <w:sz w:val="21"/>
                      <w:szCs w:val="21"/>
                    </w:rPr>
                    <w:t xml:space="preserve"> </w:t>
                  </w:r>
                  <w:r>
                    <w:rPr>
                      <w:rFonts w:hint="default" w:ascii="Times New Roman" w:hAnsi="Times New Roman" w:eastAsia="宋体" w:cs="Times New Roman"/>
                      <w:spacing w:val="-3"/>
                      <w:sz w:val="21"/>
                      <w:szCs w:val="21"/>
                    </w:rPr>
                    <w:t>围</w:t>
                  </w:r>
                  <w:r>
                    <w:rPr>
                      <w:rFonts w:hint="default" w:ascii="Times New Roman" w:hAnsi="Times New Roman" w:eastAsia="宋体" w:cs="Times New Roman"/>
                      <w:spacing w:val="-8"/>
                      <w:sz w:val="21"/>
                      <w:szCs w:val="21"/>
                    </w:rPr>
                    <w:t>内</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8"/>
                      <w:sz w:val="21"/>
                      <w:szCs w:val="21"/>
                    </w:rPr>
                    <w:t>新</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8"/>
                      <w:sz w:val="21"/>
                      <w:szCs w:val="21"/>
                    </w:rPr>
                    <w:t>建</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8"/>
                      <w:sz w:val="21"/>
                      <w:szCs w:val="21"/>
                    </w:rPr>
                    <w:t>、</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8"/>
                      <w:sz w:val="21"/>
                      <w:szCs w:val="21"/>
                    </w:rPr>
                    <w:t>扩</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8"/>
                      <w:sz w:val="21"/>
                      <w:szCs w:val="21"/>
                    </w:rPr>
                    <w:t>建</w:t>
                  </w:r>
                  <w:r>
                    <w:rPr>
                      <w:rFonts w:hint="default" w:ascii="Times New Roman" w:hAnsi="Times New Roman" w:eastAsia="宋体" w:cs="Times New Roman"/>
                      <w:spacing w:val="-60"/>
                      <w:sz w:val="21"/>
                      <w:szCs w:val="21"/>
                    </w:rPr>
                    <w:t xml:space="preserve"> </w:t>
                  </w:r>
                  <w:r>
                    <w:rPr>
                      <w:rFonts w:hint="default" w:ascii="Times New Roman" w:hAnsi="Times New Roman" w:eastAsia="宋体" w:cs="Times New Roman"/>
                      <w:spacing w:val="-8"/>
                      <w:sz w:val="21"/>
                      <w:szCs w:val="21"/>
                    </w:rPr>
                    <w:t>化</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8"/>
                      <w:sz w:val="21"/>
                      <w:szCs w:val="21"/>
                    </w:rPr>
                    <w:t>工</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8"/>
                      <w:sz w:val="21"/>
                      <w:szCs w:val="21"/>
                    </w:rPr>
                    <w:t>园</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8"/>
                      <w:sz w:val="21"/>
                      <w:szCs w:val="21"/>
                    </w:rPr>
                    <w:t>区</w:t>
                  </w:r>
                  <w:r>
                    <w:rPr>
                      <w:rFonts w:hint="default" w:ascii="Times New Roman" w:hAnsi="Times New Roman" w:eastAsia="宋体" w:cs="Times New Roman"/>
                      <w:spacing w:val="-60"/>
                      <w:sz w:val="21"/>
                      <w:szCs w:val="21"/>
                    </w:rPr>
                    <w:t xml:space="preserve"> </w:t>
                  </w:r>
                  <w:r>
                    <w:rPr>
                      <w:rFonts w:hint="default" w:ascii="Times New Roman" w:hAnsi="Times New Roman" w:eastAsia="宋体" w:cs="Times New Roman"/>
                      <w:spacing w:val="-8"/>
                      <w:sz w:val="21"/>
                      <w:szCs w:val="21"/>
                    </w:rPr>
                    <w:t>和</w:t>
                  </w:r>
                  <w:r>
                    <w:rPr>
                      <w:rFonts w:hint="default" w:ascii="Times New Roman" w:hAnsi="Times New Roman" w:eastAsia="宋体" w:cs="Times New Roman"/>
                      <w:spacing w:val="-60"/>
                      <w:sz w:val="21"/>
                      <w:szCs w:val="21"/>
                    </w:rPr>
                    <w:t xml:space="preserve"> </w:t>
                  </w:r>
                  <w:r>
                    <w:rPr>
                      <w:rFonts w:hint="default" w:ascii="Times New Roman" w:hAnsi="Times New Roman" w:eastAsia="宋体" w:cs="Times New Roman"/>
                      <w:spacing w:val="-8"/>
                      <w:sz w:val="21"/>
                      <w:szCs w:val="21"/>
                    </w:rPr>
                    <w:t>化</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8"/>
                      <w:sz w:val="21"/>
                      <w:szCs w:val="21"/>
                    </w:rPr>
                    <w:t>工</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8"/>
                      <w:sz w:val="21"/>
                      <w:szCs w:val="21"/>
                    </w:rPr>
                    <w:t>项</w:t>
                  </w:r>
                  <w:r>
                    <w:rPr>
                      <w:rFonts w:hint="default" w:ascii="Times New Roman" w:hAnsi="Times New Roman" w:eastAsia="宋体" w:cs="Times New Roman"/>
                      <w:spacing w:val="-21"/>
                      <w:sz w:val="21"/>
                      <w:szCs w:val="21"/>
                    </w:rPr>
                    <w:t xml:space="preserve"> </w:t>
                  </w:r>
                  <w:r>
                    <w:rPr>
                      <w:rFonts w:hint="default" w:ascii="Times New Roman" w:hAnsi="Times New Roman" w:eastAsia="宋体" w:cs="Times New Roman"/>
                      <w:spacing w:val="-8"/>
                      <w:sz w:val="21"/>
                      <w:szCs w:val="21"/>
                    </w:rPr>
                    <w:t>目</w:t>
                  </w:r>
                  <w:r>
                    <w:rPr>
                      <w:rFonts w:hint="default" w:ascii="Times New Roman" w:hAnsi="Times New Roman" w:eastAsia="宋体" w:cs="Times New Roman"/>
                      <w:spacing w:val="-67"/>
                      <w:sz w:val="21"/>
                      <w:szCs w:val="21"/>
                    </w:rPr>
                    <w:t xml:space="preserve"> </w:t>
                  </w:r>
                  <w:r>
                    <w:rPr>
                      <w:rFonts w:hint="default" w:ascii="Times New Roman" w:hAnsi="Times New Roman" w:eastAsia="宋体" w:cs="Times New Roman"/>
                      <w:spacing w:val="-8"/>
                      <w:sz w:val="21"/>
                      <w:szCs w:val="21"/>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30"/>
                      <w:sz w:val="21"/>
                      <w:szCs w:val="21"/>
                    </w:rPr>
                    <w:t>项</w:t>
                  </w:r>
                  <w:r>
                    <w:rPr>
                      <w:rFonts w:hint="default" w:ascii="Times New Roman" w:hAnsi="Times New Roman" w:eastAsia="宋体" w:cs="Times New Roman"/>
                      <w:spacing w:val="-21"/>
                      <w:sz w:val="21"/>
                      <w:szCs w:val="21"/>
                    </w:rPr>
                    <w:t xml:space="preserve"> 目 为 学 校 ，不</w:t>
                  </w:r>
                  <w:r>
                    <w:rPr>
                      <w:rFonts w:hint="default" w:ascii="Times New Roman" w:hAnsi="Times New Roman" w:eastAsia="宋体" w:cs="Times New Roman"/>
                      <w:spacing w:val="-6"/>
                      <w:sz w:val="21"/>
                      <w:szCs w:val="21"/>
                    </w:rPr>
                    <w:t>属</w:t>
                  </w:r>
                  <w:r>
                    <w:rPr>
                      <w:rFonts w:hint="default" w:ascii="Times New Roman" w:hAnsi="Times New Roman" w:eastAsia="宋体" w:cs="Times New Roman"/>
                      <w:spacing w:val="-5"/>
                      <w:sz w:val="21"/>
                      <w:szCs w:val="21"/>
                    </w:rPr>
                    <w:t xml:space="preserve"> 于化工园区</w:t>
                  </w:r>
                  <w:r>
                    <w:rPr>
                      <w:rFonts w:hint="default" w:ascii="Times New Roman" w:hAnsi="Times New Roman" w:eastAsia="宋体" w:cs="Times New Roman"/>
                      <w:spacing w:val="-26"/>
                      <w:sz w:val="21"/>
                      <w:szCs w:val="21"/>
                    </w:rPr>
                    <w:t>和</w:t>
                  </w:r>
                  <w:r>
                    <w:rPr>
                      <w:rFonts w:hint="default" w:ascii="Times New Roman" w:hAnsi="Times New Roman" w:eastAsia="宋体" w:cs="Times New Roman"/>
                      <w:spacing w:val="-21"/>
                      <w:sz w:val="21"/>
                      <w:szCs w:val="21"/>
                    </w:rPr>
                    <w:t xml:space="preserve"> 化 工 项 目</w:t>
                  </w:r>
                  <w:r>
                    <w:rPr>
                      <w:rFonts w:hint="eastAsia" w:ascii="Times New Roman" w:hAnsi="Times New Roman" w:eastAsia="宋体" w:cs="Times New Roman"/>
                      <w:spacing w:val="-21"/>
                      <w:sz w:val="21"/>
                      <w:szCs w:val="21"/>
                      <w:lang w:eastAsia="zh-CN"/>
                    </w:rPr>
                    <w:t>。</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符</w:t>
                  </w:r>
                  <w:r>
                    <w:rPr>
                      <w:rFonts w:hint="default" w:ascii="Times New Roman" w:hAnsi="Times New Roman" w:eastAsia="宋体" w:cs="Times New Roman"/>
                      <w:spacing w:val="13"/>
                      <w:sz w:val="21"/>
                      <w:szCs w:val="21"/>
                    </w:rPr>
                    <w:t>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position w:val="4"/>
                      <w:sz w:val="21"/>
                      <w:szCs w:val="21"/>
                    </w:rPr>
                    <w:t>第二</w:t>
                  </w:r>
                  <w:r>
                    <w:rPr>
                      <w:rFonts w:hint="eastAsia" w:ascii="Times New Roman" w:hAnsi="Times New Roman" w:eastAsia="宋体" w:cs="Times New Roman"/>
                      <w:spacing w:val="14"/>
                      <w:position w:val="4"/>
                      <w:sz w:val="21"/>
                      <w:szCs w:val="21"/>
                      <w:lang w:val="en-US" w:eastAsia="zh-CN"/>
                    </w:rPr>
                    <w:t>十</w:t>
                  </w:r>
                  <w:r>
                    <w:rPr>
                      <w:rFonts w:hint="default" w:ascii="Times New Roman" w:hAnsi="Times New Roman" w:eastAsia="宋体" w:cs="Times New Roman"/>
                      <w:spacing w:val="15"/>
                      <w:sz w:val="21"/>
                      <w:szCs w:val="21"/>
                    </w:rPr>
                    <w:t>一</w:t>
                  </w:r>
                  <w:r>
                    <w:rPr>
                      <w:rFonts w:hint="default" w:ascii="Times New Roman" w:hAnsi="Times New Roman" w:eastAsia="宋体" w:cs="Times New Roman"/>
                      <w:sz w:val="21"/>
                      <w:szCs w:val="21"/>
                    </w:rPr>
                    <w:t>条</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按</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2"/>
                      <w:sz w:val="21"/>
                      <w:szCs w:val="21"/>
                    </w:rPr>
                    <w:t>照</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2"/>
                      <w:sz w:val="21"/>
                      <w:szCs w:val="21"/>
                    </w:rPr>
                    <w:t>排</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2"/>
                      <w:sz w:val="21"/>
                      <w:szCs w:val="21"/>
                    </w:rPr>
                    <w:t>污</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许</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可</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证</w:t>
                  </w:r>
                  <w:r>
                    <w:rPr>
                      <w:rFonts w:hint="default" w:ascii="Times New Roman" w:hAnsi="Times New Roman" w:eastAsia="宋体" w:cs="Times New Roman"/>
                      <w:spacing w:val="-39"/>
                      <w:sz w:val="21"/>
                      <w:szCs w:val="21"/>
                    </w:rPr>
                    <w:t xml:space="preserve"> </w:t>
                  </w:r>
                  <w:r>
                    <w:rPr>
                      <w:rFonts w:hint="default" w:ascii="Times New Roman" w:hAnsi="Times New Roman" w:eastAsia="宋体" w:cs="Times New Roman"/>
                      <w:spacing w:val="-2"/>
                      <w:sz w:val="21"/>
                      <w:szCs w:val="21"/>
                    </w:rPr>
                    <w:t>的</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2"/>
                      <w:sz w:val="21"/>
                      <w:szCs w:val="21"/>
                    </w:rPr>
                    <w:t>规</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2"/>
                      <w:sz w:val="21"/>
                      <w:szCs w:val="21"/>
                    </w:rPr>
                    <w:t>定</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排</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2"/>
                      <w:sz w:val="21"/>
                      <w:szCs w:val="21"/>
                    </w:rPr>
                    <w:t>放</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2"/>
                      <w:sz w:val="21"/>
                      <w:szCs w:val="21"/>
                    </w:rPr>
                    <w:t>污</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2"/>
                      <w:sz w:val="21"/>
                      <w:szCs w:val="21"/>
                    </w:rPr>
                    <w:t>染</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2"/>
                      <w:sz w:val="21"/>
                      <w:szCs w:val="21"/>
                    </w:rPr>
                    <w:t>物；</w:t>
                  </w:r>
                  <w:r>
                    <w:rPr>
                      <w:rFonts w:hint="default" w:ascii="Times New Roman" w:hAnsi="Times New Roman" w:eastAsia="宋体" w:cs="Times New Roman"/>
                      <w:spacing w:val="-1"/>
                      <w:sz w:val="21"/>
                      <w:szCs w:val="21"/>
                    </w:rPr>
                    <w:t>禁</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1"/>
                      <w:sz w:val="21"/>
                      <w:szCs w:val="21"/>
                    </w:rPr>
                    <w:t>止</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1"/>
                      <w:sz w:val="21"/>
                      <w:szCs w:val="21"/>
                    </w:rPr>
                    <w:t>未</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1"/>
                      <w:sz w:val="21"/>
                      <w:szCs w:val="21"/>
                    </w:rPr>
                    <w:t>取</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1"/>
                      <w:sz w:val="21"/>
                      <w:szCs w:val="21"/>
                    </w:rPr>
                    <w:t>得</w:t>
                  </w:r>
                  <w:r>
                    <w:rPr>
                      <w:rFonts w:hint="default" w:ascii="Times New Roman" w:hAnsi="Times New Roman" w:eastAsia="宋体" w:cs="Times New Roman"/>
                      <w:spacing w:val="-61"/>
                      <w:sz w:val="21"/>
                      <w:szCs w:val="21"/>
                    </w:rPr>
                    <w:t xml:space="preserve"> </w:t>
                  </w:r>
                  <w:r>
                    <w:rPr>
                      <w:rFonts w:hint="default" w:ascii="Times New Roman" w:hAnsi="Times New Roman" w:eastAsia="宋体" w:cs="Times New Roman"/>
                      <w:spacing w:val="-1"/>
                      <w:sz w:val="21"/>
                      <w:szCs w:val="21"/>
                    </w:rPr>
                    <w:t>排</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1"/>
                      <w:sz w:val="21"/>
                      <w:szCs w:val="21"/>
                    </w:rPr>
                    <w:t>污</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1"/>
                      <w:sz w:val="21"/>
                      <w:szCs w:val="21"/>
                    </w:rPr>
                    <w:t>许</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1"/>
                      <w:sz w:val="21"/>
                      <w:szCs w:val="21"/>
                    </w:rPr>
                    <w:t>可</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1"/>
                      <w:sz w:val="21"/>
                      <w:szCs w:val="21"/>
                    </w:rPr>
                    <w:t>证</w:t>
                  </w:r>
                  <w:r>
                    <w:rPr>
                      <w:rFonts w:hint="default" w:ascii="Times New Roman" w:hAnsi="Times New Roman" w:eastAsia="宋体" w:cs="Times New Roman"/>
                      <w:spacing w:val="-49"/>
                      <w:sz w:val="21"/>
                      <w:szCs w:val="21"/>
                    </w:rPr>
                    <w:t xml:space="preserve"> </w:t>
                  </w:r>
                  <w:r>
                    <w:rPr>
                      <w:rFonts w:hint="default" w:ascii="Times New Roman" w:hAnsi="Times New Roman" w:eastAsia="宋体" w:cs="Times New Roman"/>
                      <w:spacing w:val="-1"/>
                      <w:sz w:val="21"/>
                      <w:szCs w:val="21"/>
                    </w:rPr>
                    <w:t>或</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1"/>
                      <w:sz w:val="21"/>
                      <w:szCs w:val="21"/>
                    </w:rPr>
                    <w:t>者</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1"/>
                      <w:sz w:val="21"/>
                      <w:szCs w:val="21"/>
                    </w:rPr>
                    <w:t>违</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1"/>
                      <w:sz w:val="21"/>
                      <w:szCs w:val="21"/>
                    </w:rPr>
                    <w:t>反</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1"/>
                      <w:sz w:val="21"/>
                      <w:szCs w:val="21"/>
                    </w:rPr>
                    <w:t>排</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1"/>
                      <w:sz w:val="21"/>
                      <w:szCs w:val="21"/>
                    </w:rPr>
                    <w:t>污</w:t>
                  </w:r>
                  <w:r>
                    <w:rPr>
                      <w:rFonts w:hint="default" w:ascii="Times New Roman" w:hAnsi="Times New Roman" w:eastAsia="宋体" w:cs="Times New Roman"/>
                      <w:spacing w:val="-34"/>
                      <w:sz w:val="21"/>
                      <w:szCs w:val="21"/>
                    </w:rPr>
                    <w:t>许</w:t>
                  </w:r>
                  <w:r>
                    <w:rPr>
                      <w:rFonts w:hint="default" w:ascii="Times New Roman" w:hAnsi="Times New Roman" w:eastAsia="宋体" w:cs="Times New Roman"/>
                      <w:spacing w:val="-21"/>
                      <w:sz w:val="21"/>
                      <w:szCs w:val="21"/>
                    </w:rPr>
                    <w:t xml:space="preserve"> 可 证 的 规 定排 放 污 染物。</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1"/>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项</w:t>
                  </w:r>
                  <w:r>
                    <w:rPr>
                      <w:rFonts w:hint="default" w:ascii="Times New Roman" w:hAnsi="Times New Roman" w:eastAsia="宋体" w:cs="Times New Roman"/>
                      <w:spacing w:val="-5"/>
                      <w:sz w:val="21"/>
                      <w:szCs w:val="21"/>
                    </w:rPr>
                    <w:t>目建成后将</w:t>
                  </w:r>
                  <w:r>
                    <w:rPr>
                      <w:rFonts w:hint="default" w:ascii="Times New Roman" w:hAnsi="Times New Roman" w:eastAsia="宋体" w:cs="Times New Roman"/>
                      <w:spacing w:val="-8"/>
                      <w:sz w:val="21"/>
                      <w:szCs w:val="21"/>
                    </w:rPr>
                    <w:t>按</w:t>
                  </w:r>
                  <w:r>
                    <w:rPr>
                      <w:rFonts w:hint="default" w:ascii="Times New Roman" w:hAnsi="Times New Roman" w:eastAsia="宋体" w:cs="Times New Roman"/>
                      <w:spacing w:val="-4"/>
                      <w:sz w:val="21"/>
                      <w:szCs w:val="21"/>
                    </w:rPr>
                    <w:t>要 求办理排</w:t>
                  </w:r>
                  <w:r>
                    <w:rPr>
                      <w:rFonts w:hint="default" w:ascii="Times New Roman" w:hAnsi="Times New Roman" w:eastAsia="宋体" w:cs="Times New Roman"/>
                      <w:spacing w:val="25"/>
                      <w:sz w:val="21"/>
                      <w:szCs w:val="21"/>
                    </w:rPr>
                    <w:t>证。</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符</w:t>
                  </w:r>
                  <w:r>
                    <w:rPr>
                      <w:rFonts w:hint="default" w:ascii="Times New Roman" w:hAnsi="Times New Roman" w:eastAsia="宋体" w:cs="Times New Roman"/>
                      <w:spacing w:val="13"/>
                      <w:sz w:val="21"/>
                      <w:szCs w:val="21"/>
                    </w:rPr>
                    <w:t>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3"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第五十八</w:t>
                  </w:r>
                  <w:r>
                    <w:rPr>
                      <w:rFonts w:hint="default" w:ascii="Times New Roman" w:hAnsi="Times New Roman" w:eastAsia="宋体" w:cs="Times New Roman"/>
                      <w:sz w:val="21"/>
                      <w:szCs w:val="21"/>
                    </w:rPr>
                    <w:t>条</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公</w:t>
                  </w:r>
                  <w:r>
                    <w:rPr>
                      <w:rFonts w:hint="default" w:ascii="Times New Roman" w:hAnsi="Times New Roman" w:eastAsia="宋体" w:cs="Times New Roman"/>
                      <w:spacing w:val="-26"/>
                      <w:sz w:val="21"/>
                      <w:szCs w:val="21"/>
                    </w:rPr>
                    <w:t xml:space="preserve"> </w:t>
                  </w:r>
                  <w:r>
                    <w:rPr>
                      <w:rFonts w:hint="default" w:ascii="Times New Roman" w:hAnsi="Times New Roman" w:eastAsia="宋体" w:cs="Times New Roman"/>
                      <w:spacing w:val="-7"/>
                      <w:sz w:val="21"/>
                      <w:szCs w:val="21"/>
                    </w:rPr>
                    <w:t>共</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7"/>
                      <w:sz w:val="21"/>
                      <w:szCs w:val="21"/>
                    </w:rPr>
                    <w:t>污</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7"/>
                      <w:sz w:val="21"/>
                      <w:szCs w:val="21"/>
                    </w:rPr>
                    <w:t>水</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7"/>
                      <w:sz w:val="21"/>
                      <w:szCs w:val="21"/>
                    </w:rPr>
                    <w:t>管</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7"/>
                      <w:sz w:val="21"/>
                      <w:szCs w:val="21"/>
                    </w:rPr>
                    <w:t>网</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7"/>
                      <w:sz w:val="21"/>
                      <w:szCs w:val="21"/>
                    </w:rPr>
                    <w:t>覆</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7"/>
                      <w:sz w:val="21"/>
                      <w:szCs w:val="21"/>
                    </w:rPr>
                    <w:t>盖</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7"/>
                      <w:sz w:val="21"/>
                      <w:szCs w:val="21"/>
                    </w:rPr>
                    <w:t>区</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7"/>
                      <w:sz w:val="21"/>
                      <w:szCs w:val="21"/>
                    </w:rPr>
                    <w:t>域</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7"/>
                      <w:sz w:val="21"/>
                      <w:szCs w:val="21"/>
                    </w:rPr>
                    <w:t>内</w:t>
                  </w:r>
                  <w:r>
                    <w:rPr>
                      <w:rFonts w:hint="default" w:ascii="Times New Roman" w:hAnsi="Times New Roman" w:eastAsia="宋体" w:cs="Times New Roman"/>
                      <w:spacing w:val="-68"/>
                      <w:sz w:val="21"/>
                      <w:szCs w:val="21"/>
                    </w:rPr>
                    <w:t xml:space="preserve"> </w:t>
                  </w:r>
                  <w:r>
                    <w:rPr>
                      <w:rFonts w:hint="default" w:ascii="Times New Roman" w:hAnsi="Times New Roman" w:eastAsia="宋体" w:cs="Times New Roman"/>
                      <w:spacing w:val="-7"/>
                      <w:sz w:val="21"/>
                      <w:szCs w:val="21"/>
                    </w:rPr>
                    <w:t>，从</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7"/>
                      <w:sz w:val="21"/>
                      <w:szCs w:val="21"/>
                    </w:rPr>
                    <w:t>事</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7"/>
                      <w:sz w:val="21"/>
                      <w:szCs w:val="21"/>
                    </w:rPr>
                    <w:t>工</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7"/>
                      <w:sz w:val="21"/>
                      <w:szCs w:val="21"/>
                    </w:rPr>
                    <w:t>业</w:t>
                  </w:r>
                  <w:r>
                    <w:rPr>
                      <w:rFonts w:hint="default" w:ascii="Times New Roman" w:hAnsi="Times New Roman" w:eastAsia="宋体" w:cs="Times New Roman"/>
                      <w:spacing w:val="-63"/>
                      <w:sz w:val="21"/>
                      <w:szCs w:val="21"/>
                    </w:rPr>
                    <w:t xml:space="preserve"> </w:t>
                  </w:r>
                  <w:r>
                    <w:rPr>
                      <w:rFonts w:hint="default" w:ascii="Times New Roman" w:hAnsi="Times New Roman" w:eastAsia="宋体" w:cs="Times New Roman"/>
                      <w:spacing w:val="-7"/>
                      <w:sz w:val="21"/>
                      <w:szCs w:val="21"/>
                    </w:rPr>
                    <w:t>、建</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7"/>
                      <w:sz w:val="21"/>
                      <w:szCs w:val="21"/>
                    </w:rPr>
                    <w:t>筑</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7"/>
                      <w:sz w:val="21"/>
                      <w:szCs w:val="21"/>
                    </w:rPr>
                    <w:t>、</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7"/>
                      <w:sz w:val="21"/>
                      <w:szCs w:val="21"/>
                    </w:rPr>
                    <w:t>餐</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7"/>
                      <w:sz w:val="21"/>
                      <w:szCs w:val="21"/>
                    </w:rPr>
                    <w:t>饮</w:t>
                  </w:r>
                  <w:r>
                    <w:rPr>
                      <w:rFonts w:hint="default" w:ascii="Times New Roman" w:hAnsi="Times New Roman" w:eastAsia="宋体" w:cs="Times New Roman"/>
                      <w:spacing w:val="-29"/>
                      <w:sz w:val="21"/>
                      <w:szCs w:val="21"/>
                    </w:rPr>
                    <w:t xml:space="preserve"> </w:t>
                  </w:r>
                  <w:r>
                    <w:rPr>
                      <w:rFonts w:hint="default" w:ascii="Times New Roman" w:hAnsi="Times New Roman" w:eastAsia="宋体" w:cs="Times New Roman"/>
                      <w:spacing w:val="-7"/>
                      <w:sz w:val="21"/>
                      <w:szCs w:val="21"/>
                    </w:rPr>
                    <w:t>、医</w:t>
                  </w:r>
                  <w:r>
                    <w:rPr>
                      <w:rFonts w:hint="default" w:ascii="Times New Roman" w:hAnsi="Times New Roman" w:eastAsia="宋体" w:cs="Times New Roman"/>
                      <w:spacing w:val="-60"/>
                      <w:sz w:val="21"/>
                      <w:szCs w:val="21"/>
                    </w:rPr>
                    <w:t xml:space="preserve"> </w:t>
                  </w:r>
                  <w:r>
                    <w:rPr>
                      <w:rFonts w:hint="default" w:ascii="Times New Roman" w:hAnsi="Times New Roman" w:eastAsia="宋体" w:cs="Times New Roman"/>
                      <w:spacing w:val="-7"/>
                      <w:sz w:val="21"/>
                      <w:szCs w:val="21"/>
                    </w:rPr>
                    <w:t>疗</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7"/>
                      <w:sz w:val="21"/>
                      <w:szCs w:val="21"/>
                    </w:rPr>
                    <w:t>、</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7"/>
                      <w:sz w:val="21"/>
                      <w:szCs w:val="21"/>
                    </w:rPr>
                    <w:t>洗</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7"/>
                      <w:sz w:val="21"/>
                      <w:szCs w:val="21"/>
                    </w:rPr>
                    <w:t>车</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7"/>
                      <w:sz w:val="21"/>
                      <w:szCs w:val="21"/>
                    </w:rPr>
                    <w:t>、洗</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7"/>
                      <w:sz w:val="21"/>
                      <w:szCs w:val="21"/>
                    </w:rPr>
                    <w:t>衣</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7"/>
                      <w:sz w:val="21"/>
                      <w:szCs w:val="21"/>
                    </w:rPr>
                    <w:t>、</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7"/>
                      <w:sz w:val="21"/>
                      <w:szCs w:val="21"/>
                    </w:rPr>
                    <w:t>洗</w:t>
                  </w:r>
                  <w:r>
                    <w:rPr>
                      <w:rFonts w:hint="default" w:ascii="Times New Roman" w:hAnsi="Times New Roman" w:eastAsia="宋体" w:cs="Times New Roman"/>
                      <w:spacing w:val="-3"/>
                      <w:sz w:val="21"/>
                      <w:szCs w:val="21"/>
                    </w:rPr>
                    <w:t>浴</w:t>
                  </w:r>
                  <w:r>
                    <w:rPr>
                      <w:rFonts w:hint="default" w:ascii="Times New Roman" w:hAnsi="Times New Roman" w:eastAsia="宋体" w:cs="Times New Roman"/>
                      <w:spacing w:val="-35"/>
                      <w:sz w:val="21"/>
                      <w:szCs w:val="21"/>
                    </w:rPr>
                    <w:t xml:space="preserve"> </w:t>
                  </w:r>
                  <w:r>
                    <w:rPr>
                      <w:rFonts w:hint="default" w:ascii="Times New Roman" w:hAnsi="Times New Roman" w:eastAsia="宋体" w:cs="Times New Roman"/>
                      <w:spacing w:val="-3"/>
                      <w:sz w:val="21"/>
                      <w:szCs w:val="21"/>
                    </w:rPr>
                    <w:t>、美</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3"/>
                      <w:sz w:val="21"/>
                      <w:szCs w:val="21"/>
                    </w:rPr>
                    <w:t>容</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美</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发</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3"/>
                      <w:sz w:val="21"/>
                      <w:szCs w:val="21"/>
                    </w:rPr>
                    <w:t>等</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3"/>
                      <w:sz w:val="21"/>
                      <w:szCs w:val="21"/>
                    </w:rPr>
                    <w:t>活</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3"/>
                      <w:sz w:val="21"/>
                      <w:szCs w:val="21"/>
                    </w:rPr>
                    <w:t>动</w:t>
                  </w:r>
                  <w:r>
                    <w:rPr>
                      <w:rFonts w:hint="default" w:ascii="Times New Roman" w:hAnsi="Times New Roman" w:eastAsia="宋体" w:cs="Times New Roman"/>
                      <w:spacing w:val="-39"/>
                      <w:sz w:val="21"/>
                      <w:szCs w:val="21"/>
                    </w:rPr>
                    <w:t xml:space="preserve"> </w:t>
                  </w:r>
                  <w:r>
                    <w:rPr>
                      <w:rFonts w:hint="default" w:ascii="Times New Roman" w:hAnsi="Times New Roman" w:eastAsia="宋体" w:cs="Times New Roman"/>
                      <w:spacing w:val="-3"/>
                      <w:sz w:val="21"/>
                      <w:szCs w:val="21"/>
                    </w:rPr>
                    <w:t>的</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3"/>
                      <w:sz w:val="21"/>
                      <w:szCs w:val="21"/>
                    </w:rPr>
                    <w:t>企</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3"/>
                      <w:sz w:val="21"/>
                      <w:szCs w:val="21"/>
                    </w:rPr>
                    <w:t>业</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3"/>
                      <w:sz w:val="21"/>
                      <w:szCs w:val="21"/>
                    </w:rPr>
                    <w:t>事</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3"/>
                      <w:sz w:val="21"/>
                      <w:szCs w:val="21"/>
                    </w:rPr>
                    <w:t>业</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3"/>
                      <w:sz w:val="21"/>
                      <w:szCs w:val="21"/>
                    </w:rPr>
                    <w:t>单</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3"/>
                      <w:sz w:val="21"/>
                      <w:szCs w:val="21"/>
                    </w:rPr>
                    <w:t>位</w:t>
                  </w:r>
                  <w:r>
                    <w:rPr>
                      <w:rFonts w:hint="default" w:ascii="Times New Roman" w:hAnsi="Times New Roman" w:eastAsia="宋体" w:cs="Times New Roman"/>
                      <w:spacing w:val="-4"/>
                      <w:sz w:val="21"/>
                      <w:szCs w:val="21"/>
                    </w:rPr>
                    <w:t>和</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4"/>
                      <w:sz w:val="21"/>
                      <w:szCs w:val="21"/>
                    </w:rPr>
                    <w:t>其</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4"/>
                      <w:sz w:val="21"/>
                      <w:szCs w:val="21"/>
                    </w:rPr>
                    <w:t>他</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4"/>
                      <w:sz w:val="21"/>
                      <w:szCs w:val="21"/>
                    </w:rPr>
                    <w:t>生</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产</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经</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4"/>
                      <w:sz w:val="21"/>
                      <w:szCs w:val="21"/>
                    </w:rPr>
                    <w:t>营</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4"/>
                      <w:sz w:val="21"/>
                      <w:szCs w:val="21"/>
                    </w:rPr>
                    <w:t>者</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4"/>
                      <w:sz w:val="21"/>
                      <w:szCs w:val="21"/>
                    </w:rPr>
                    <w:t>排</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放</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4"/>
                      <w:sz w:val="21"/>
                      <w:szCs w:val="21"/>
                    </w:rPr>
                    <w:t>污</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水</w:t>
                  </w:r>
                  <w:r>
                    <w:rPr>
                      <w:rFonts w:hint="default" w:ascii="Times New Roman" w:hAnsi="Times New Roman" w:eastAsia="宋体" w:cs="Times New Roman"/>
                      <w:spacing w:val="-39"/>
                      <w:sz w:val="21"/>
                      <w:szCs w:val="21"/>
                    </w:rPr>
                    <w:t xml:space="preserve"> </w:t>
                  </w:r>
                  <w:r>
                    <w:rPr>
                      <w:rFonts w:hint="default" w:ascii="Times New Roman" w:hAnsi="Times New Roman" w:eastAsia="宋体" w:cs="Times New Roman"/>
                      <w:spacing w:val="-4"/>
                      <w:sz w:val="21"/>
                      <w:szCs w:val="21"/>
                    </w:rPr>
                    <w:t>的</w:t>
                  </w:r>
                  <w:r>
                    <w:rPr>
                      <w:rFonts w:hint="default" w:ascii="Times New Roman" w:hAnsi="Times New Roman" w:eastAsia="宋体" w:cs="Times New Roman"/>
                      <w:spacing w:val="-42"/>
                      <w:sz w:val="21"/>
                      <w:szCs w:val="21"/>
                    </w:rPr>
                    <w:t xml:space="preserve"> </w:t>
                  </w:r>
                  <w:r>
                    <w:rPr>
                      <w:rFonts w:hint="default" w:ascii="Times New Roman" w:hAnsi="Times New Roman" w:eastAsia="宋体" w:cs="Times New Roman"/>
                      <w:spacing w:val="-4"/>
                      <w:sz w:val="21"/>
                      <w:szCs w:val="21"/>
                    </w:rPr>
                    <w:t>，</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4"/>
                      <w:sz w:val="21"/>
                      <w:szCs w:val="21"/>
                    </w:rPr>
                    <w:t>应</w:t>
                  </w:r>
                  <w:r>
                    <w:rPr>
                      <w:rFonts w:hint="default" w:ascii="Times New Roman" w:hAnsi="Times New Roman" w:eastAsia="宋体" w:cs="Times New Roman"/>
                      <w:spacing w:val="-31"/>
                      <w:sz w:val="21"/>
                      <w:szCs w:val="21"/>
                    </w:rPr>
                    <w:t xml:space="preserve"> </w:t>
                  </w:r>
                  <w:r>
                    <w:rPr>
                      <w:rFonts w:hint="default" w:ascii="Times New Roman" w:hAnsi="Times New Roman" w:eastAsia="宋体" w:cs="Times New Roman"/>
                      <w:spacing w:val="-4"/>
                      <w:sz w:val="21"/>
                      <w:szCs w:val="21"/>
                    </w:rPr>
                    <w:t>当将</w:t>
                  </w:r>
                  <w:r>
                    <w:rPr>
                      <w:rFonts w:hint="default" w:ascii="Times New Roman" w:hAnsi="Times New Roman" w:eastAsia="宋体" w:cs="Times New Roman"/>
                      <w:spacing w:val="-47"/>
                      <w:sz w:val="21"/>
                      <w:szCs w:val="21"/>
                    </w:rPr>
                    <w:t xml:space="preserve"> </w:t>
                  </w:r>
                  <w:r>
                    <w:rPr>
                      <w:rFonts w:hint="default" w:ascii="Times New Roman" w:hAnsi="Times New Roman" w:eastAsia="宋体" w:cs="Times New Roman"/>
                      <w:spacing w:val="-4"/>
                      <w:sz w:val="21"/>
                      <w:szCs w:val="21"/>
                    </w:rPr>
                    <w:t>雨</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水</w:t>
                  </w:r>
                  <w:r>
                    <w:rPr>
                      <w:rFonts w:hint="default" w:ascii="Times New Roman" w:hAnsi="Times New Roman" w:eastAsia="宋体" w:cs="Times New Roman"/>
                      <w:spacing w:val="-42"/>
                      <w:sz w:val="21"/>
                      <w:szCs w:val="21"/>
                    </w:rPr>
                    <w:t xml:space="preserve"> </w:t>
                  </w:r>
                  <w:r>
                    <w:rPr>
                      <w:rFonts w:hint="default" w:ascii="Times New Roman" w:hAnsi="Times New Roman" w:eastAsia="宋体" w:cs="Times New Roman"/>
                      <w:spacing w:val="-4"/>
                      <w:sz w:val="21"/>
                      <w:szCs w:val="21"/>
                    </w:rPr>
                    <w:t>、污</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水</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4"/>
                      <w:sz w:val="21"/>
                      <w:szCs w:val="21"/>
                    </w:rPr>
                    <w:t>分</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4"/>
                      <w:sz w:val="21"/>
                      <w:szCs w:val="21"/>
                    </w:rPr>
                    <w:t>别</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4"/>
                      <w:sz w:val="21"/>
                      <w:szCs w:val="21"/>
                    </w:rPr>
                    <w:t>排</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4"/>
                      <w:sz w:val="21"/>
                      <w:szCs w:val="21"/>
                    </w:rPr>
                    <w:t>入</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4"/>
                      <w:sz w:val="21"/>
                      <w:szCs w:val="21"/>
                    </w:rPr>
                    <w:t>公</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4"/>
                      <w:sz w:val="21"/>
                      <w:szCs w:val="21"/>
                    </w:rPr>
                    <w:t>共</w:t>
                  </w:r>
                  <w:r>
                    <w:rPr>
                      <w:rFonts w:hint="default" w:ascii="Times New Roman" w:hAnsi="Times New Roman" w:eastAsia="宋体" w:cs="Times New Roman"/>
                      <w:spacing w:val="-48"/>
                      <w:sz w:val="21"/>
                      <w:szCs w:val="21"/>
                    </w:rPr>
                    <w:t xml:space="preserve"> </w:t>
                  </w:r>
                  <w:r>
                    <w:rPr>
                      <w:rFonts w:hint="default" w:ascii="Times New Roman" w:hAnsi="Times New Roman" w:eastAsia="宋体" w:cs="Times New Roman"/>
                      <w:spacing w:val="-4"/>
                      <w:sz w:val="21"/>
                      <w:szCs w:val="21"/>
                    </w:rPr>
                    <w:t>雨</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4"/>
                      <w:sz w:val="21"/>
                      <w:szCs w:val="21"/>
                    </w:rPr>
                    <w:t>水</w:t>
                  </w:r>
                  <w:r>
                    <w:rPr>
                      <w:rFonts w:hint="default" w:ascii="Times New Roman" w:hAnsi="Times New Roman" w:eastAsia="宋体" w:cs="Times New Roman"/>
                      <w:spacing w:val="-44"/>
                      <w:sz w:val="21"/>
                      <w:szCs w:val="21"/>
                    </w:rPr>
                    <w:t xml:space="preserve"> </w:t>
                  </w:r>
                  <w:r>
                    <w:rPr>
                      <w:rFonts w:hint="eastAsia" w:ascii="Times New Roman" w:hAnsi="Times New Roman" w:eastAsia="宋体" w:cs="Times New Roman"/>
                      <w:spacing w:val="-44"/>
                      <w:sz w:val="21"/>
                      <w:szCs w:val="21"/>
                      <w:lang w:eastAsia="zh-CN"/>
                    </w:rPr>
                    <w:t>、</w:t>
                  </w:r>
                  <w:r>
                    <w:rPr>
                      <w:rFonts w:hint="default" w:ascii="Times New Roman" w:hAnsi="Times New Roman" w:eastAsia="宋体" w:cs="Times New Roman"/>
                      <w:spacing w:val="-4"/>
                      <w:sz w:val="21"/>
                      <w:szCs w:val="21"/>
                    </w:rPr>
                    <w:t>污</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6"/>
                      <w:sz w:val="21"/>
                      <w:szCs w:val="21"/>
                    </w:rPr>
                    <w:t>水</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6"/>
                      <w:sz w:val="21"/>
                      <w:szCs w:val="21"/>
                    </w:rPr>
                    <w:t>管</w:t>
                  </w:r>
                  <w:r>
                    <w:rPr>
                      <w:rFonts w:hint="default" w:ascii="Times New Roman" w:hAnsi="Times New Roman" w:eastAsia="宋体" w:cs="Times New Roman"/>
                      <w:spacing w:val="-42"/>
                      <w:sz w:val="21"/>
                      <w:szCs w:val="21"/>
                    </w:rPr>
                    <w:t xml:space="preserve"> </w:t>
                  </w:r>
                  <w:r>
                    <w:rPr>
                      <w:rFonts w:hint="default" w:ascii="Times New Roman" w:hAnsi="Times New Roman" w:eastAsia="宋体" w:cs="Times New Roman"/>
                      <w:spacing w:val="-6"/>
                      <w:sz w:val="21"/>
                      <w:szCs w:val="21"/>
                    </w:rPr>
                    <w:t>网</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6"/>
                      <w:sz w:val="21"/>
                      <w:szCs w:val="21"/>
                    </w:rPr>
                    <w:t>及</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6"/>
                      <w:sz w:val="21"/>
                      <w:szCs w:val="21"/>
                    </w:rPr>
                    <w:t>其</w:t>
                  </w:r>
                  <w:r>
                    <w:rPr>
                      <w:rFonts w:hint="default" w:ascii="Times New Roman" w:hAnsi="Times New Roman" w:eastAsia="宋体" w:cs="Times New Roman"/>
                      <w:spacing w:val="-40"/>
                      <w:sz w:val="21"/>
                      <w:szCs w:val="21"/>
                    </w:rPr>
                    <w:t xml:space="preserve"> </w:t>
                  </w:r>
                  <w:r>
                    <w:rPr>
                      <w:rFonts w:hint="default" w:ascii="Times New Roman" w:hAnsi="Times New Roman" w:eastAsia="宋体" w:cs="Times New Roman"/>
                      <w:spacing w:val="-6"/>
                      <w:sz w:val="21"/>
                      <w:szCs w:val="21"/>
                    </w:rPr>
                    <w:t>附</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6"/>
                      <w:sz w:val="21"/>
                      <w:szCs w:val="21"/>
                    </w:rPr>
                    <w:t>属</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6"/>
                      <w:sz w:val="21"/>
                      <w:szCs w:val="21"/>
                    </w:rPr>
                    <w:t>设</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6"/>
                      <w:sz w:val="21"/>
                      <w:szCs w:val="21"/>
                    </w:rPr>
                    <w:t>施</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6"/>
                      <w:sz w:val="21"/>
                      <w:szCs w:val="21"/>
                    </w:rPr>
                    <w:t>，</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6"/>
                      <w:sz w:val="21"/>
                      <w:szCs w:val="21"/>
                    </w:rPr>
                    <w:t>有</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6"/>
                      <w:sz w:val="21"/>
                      <w:szCs w:val="21"/>
                    </w:rPr>
                    <w:t>关</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6"/>
                      <w:sz w:val="21"/>
                      <w:szCs w:val="21"/>
                    </w:rPr>
                    <w:t>主</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6"/>
                      <w:sz w:val="21"/>
                      <w:szCs w:val="21"/>
                    </w:rPr>
                    <w:t>管</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6"/>
                      <w:sz w:val="21"/>
                      <w:szCs w:val="21"/>
                    </w:rPr>
                    <w:t>部</w:t>
                  </w:r>
                  <w:r>
                    <w:rPr>
                      <w:rFonts w:hint="default" w:ascii="Times New Roman" w:hAnsi="Times New Roman" w:eastAsia="宋体" w:cs="Times New Roman"/>
                      <w:spacing w:val="-35"/>
                      <w:sz w:val="21"/>
                      <w:szCs w:val="21"/>
                    </w:rPr>
                    <w:t xml:space="preserve"> </w:t>
                  </w:r>
                  <w:r>
                    <w:rPr>
                      <w:rFonts w:hint="default" w:ascii="Times New Roman" w:hAnsi="Times New Roman" w:eastAsia="宋体" w:cs="Times New Roman"/>
                      <w:spacing w:val="-6"/>
                      <w:sz w:val="21"/>
                      <w:szCs w:val="21"/>
                    </w:rPr>
                    <w:t>门</w:t>
                  </w:r>
                  <w:r>
                    <w:rPr>
                      <w:rFonts w:hint="default" w:ascii="Times New Roman" w:hAnsi="Times New Roman" w:eastAsia="宋体" w:cs="Times New Roman"/>
                      <w:spacing w:val="-2"/>
                      <w:sz w:val="21"/>
                      <w:szCs w:val="21"/>
                    </w:rPr>
                    <w:t>应</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2"/>
                      <w:sz w:val="21"/>
                      <w:szCs w:val="21"/>
                    </w:rPr>
                    <w:t>当</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2"/>
                      <w:sz w:val="21"/>
                      <w:szCs w:val="21"/>
                    </w:rPr>
                    <w:t>推</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2"/>
                      <w:sz w:val="21"/>
                      <w:szCs w:val="21"/>
                    </w:rPr>
                    <w:t>动</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2"/>
                      <w:sz w:val="21"/>
                      <w:szCs w:val="21"/>
                    </w:rPr>
                    <w:t>行</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2"/>
                      <w:sz w:val="21"/>
                      <w:szCs w:val="21"/>
                    </w:rPr>
                    <w:t>业</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2"/>
                      <w:sz w:val="21"/>
                      <w:szCs w:val="21"/>
                    </w:rPr>
                    <w:t>经</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2"/>
                      <w:sz w:val="21"/>
                      <w:szCs w:val="21"/>
                    </w:rPr>
                    <w:t>营</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2"/>
                      <w:sz w:val="21"/>
                      <w:szCs w:val="21"/>
                    </w:rPr>
                    <w:t>者</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2"/>
                      <w:sz w:val="21"/>
                      <w:szCs w:val="21"/>
                    </w:rPr>
                    <w:t>设</w:t>
                  </w:r>
                  <w:r>
                    <w:rPr>
                      <w:rFonts w:hint="default" w:ascii="Times New Roman" w:hAnsi="Times New Roman" w:eastAsia="宋体" w:cs="Times New Roman"/>
                      <w:spacing w:val="-65"/>
                      <w:sz w:val="21"/>
                      <w:szCs w:val="21"/>
                    </w:rPr>
                    <w:t xml:space="preserve"> </w:t>
                  </w:r>
                  <w:r>
                    <w:rPr>
                      <w:rFonts w:hint="default" w:ascii="Times New Roman" w:hAnsi="Times New Roman" w:eastAsia="宋体" w:cs="Times New Roman"/>
                      <w:spacing w:val="-2"/>
                      <w:sz w:val="21"/>
                      <w:szCs w:val="21"/>
                    </w:rPr>
                    <w:t>置</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2"/>
                      <w:sz w:val="21"/>
                      <w:szCs w:val="21"/>
                    </w:rPr>
                    <w:t>隔</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64"/>
                      <w:sz w:val="21"/>
                      <w:szCs w:val="21"/>
                    </w:rPr>
                    <w:t xml:space="preserve"> </w:t>
                  </w:r>
                  <w:r>
                    <w:rPr>
                      <w:rFonts w:hint="default" w:ascii="Times New Roman" w:hAnsi="Times New Roman" w:eastAsia="宋体" w:cs="Times New Roman"/>
                      <w:spacing w:val="-2"/>
                      <w:sz w:val="21"/>
                      <w:szCs w:val="21"/>
                    </w:rPr>
                    <w:t>池</w:t>
                  </w:r>
                  <w:r>
                    <w:rPr>
                      <w:rFonts w:hint="default" w:ascii="Times New Roman" w:hAnsi="Times New Roman" w:eastAsia="宋体" w:cs="Times New Roman"/>
                      <w:spacing w:val="-64"/>
                      <w:sz w:val="21"/>
                      <w:szCs w:val="21"/>
                    </w:rPr>
                    <w:t xml:space="preserve"> </w:t>
                  </w:r>
                  <w:r>
                    <w:rPr>
                      <w:rFonts w:hint="default" w:ascii="Times New Roman" w:hAnsi="Times New Roman" w:eastAsia="宋体" w:cs="Times New Roman"/>
                      <w:spacing w:val="-2"/>
                      <w:sz w:val="21"/>
                      <w:szCs w:val="21"/>
                    </w:rPr>
                    <w:t>等</w:t>
                  </w:r>
                  <w:r>
                    <w:rPr>
                      <w:rFonts w:hint="default" w:ascii="Times New Roman" w:hAnsi="Times New Roman" w:eastAsia="宋体" w:cs="Times New Roman"/>
                      <w:spacing w:val="-64"/>
                      <w:sz w:val="21"/>
                      <w:szCs w:val="21"/>
                    </w:rPr>
                    <w:t xml:space="preserve"> </w:t>
                  </w:r>
                  <w:r>
                    <w:rPr>
                      <w:rFonts w:hint="default" w:ascii="Times New Roman" w:hAnsi="Times New Roman" w:eastAsia="宋体" w:cs="Times New Roman"/>
                      <w:spacing w:val="-2"/>
                      <w:sz w:val="21"/>
                      <w:szCs w:val="21"/>
                    </w:rPr>
                    <w:t>污</w:t>
                  </w:r>
                  <w:r>
                    <w:rPr>
                      <w:rFonts w:hint="default" w:ascii="Times New Roman" w:hAnsi="Times New Roman" w:eastAsia="宋体" w:cs="Times New Roman"/>
                      <w:spacing w:val="1"/>
                      <w:sz w:val="21"/>
                      <w:szCs w:val="21"/>
                    </w:rPr>
                    <w:t>水预</w:t>
                  </w:r>
                  <w:r>
                    <w:rPr>
                      <w:rFonts w:hint="eastAsia" w:ascii="Times New Roman" w:hAnsi="Times New Roman" w:eastAsia="宋体" w:cs="Times New Roman"/>
                      <w:spacing w:val="1"/>
                      <w:sz w:val="21"/>
                      <w:szCs w:val="21"/>
                      <w:lang w:val="en-US" w:eastAsia="zh-CN"/>
                    </w:rPr>
                    <w:t>处</w:t>
                  </w:r>
                  <w:r>
                    <w:rPr>
                      <w:rFonts w:hint="default" w:ascii="Times New Roman" w:hAnsi="Times New Roman" w:eastAsia="宋体" w:cs="Times New Roman"/>
                      <w:sz w:val="21"/>
                      <w:szCs w:val="21"/>
                    </w:rPr>
                    <w:t>理设施；除楼顶公共屋面雨水排</w:t>
                  </w:r>
                  <w:r>
                    <w:rPr>
                      <w:rFonts w:hint="default" w:ascii="Times New Roman" w:hAnsi="Times New Roman" w:eastAsia="宋体" w:cs="Times New Roman"/>
                      <w:spacing w:val="-22"/>
                      <w:sz w:val="21"/>
                      <w:szCs w:val="21"/>
                    </w:rPr>
                    <w:t>放 系 统 外 ，依 照 相 关 规 定将 阳台 、 露</w:t>
                  </w:r>
                  <w:r>
                    <w:rPr>
                      <w:rFonts w:hint="default" w:ascii="Times New Roman" w:hAnsi="Times New Roman" w:eastAsia="宋体" w:cs="Times New Roman"/>
                      <w:spacing w:val="-2"/>
                      <w:sz w:val="21"/>
                      <w:szCs w:val="21"/>
                    </w:rPr>
                    <w:t>台</w:t>
                  </w:r>
                  <w:r>
                    <w:rPr>
                      <w:rFonts w:hint="default" w:ascii="Times New Roman" w:hAnsi="Times New Roman" w:eastAsia="宋体" w:cs="Times New Roman"/>
                      <w:spacing w:val="-50"/>
                      <w:sz w:val="21"/>
                      <w:szCs w:val="21"/>
                    </w:rPr>
                    <w:t xml:space="preserve"> </w:t>
                  </w:r>
                  <w:r>
                    <w:rPr>
                      <w:rFonts w:hint="default" w:ascii="Times New Roman" w:hAnsi="Times New Roman" w:eastAsia="宋体" w:cs="Times New Roman"/>
                      <w:spacing w:val="-2"/>
                      <w:sz w:val="21"/>
                      <w:szCs w:val="21"/>
                    </w:rPr>
                    <w:t>排</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2"/>
                      <w:sz w:val="21"/>
                      <w:szCs w:val="21"/>
                    </w:rPr>
                    <w:t>水</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管</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2"/>
                      <w:sz w:val="21"/>
                      <w:szCs w:val="21"/>
                    </w:rPr>
                    <w:t>道</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2"/>
                      <w:sz w:val="21"/>
                      <w:szCs w:val="21"/>
                    </w:rPr>
                    <w:t>接</w:t>
                  </w:r>
                  <w:r>
                    <w:rPr>
                      <w:rFonts w:hint="default" w:ascii="Times New Roman" w:hAnsi="Times New Roman" w:eastAsia="宋体" w:cs="Times New Roman"/>
                      <w:spacing w:val="-61"/>
                      <w:sz w:val="21"/>
                      <w:szCs w:val="21"/>
                    </w:rPr>
                    <w:t xml:space="preserve"> </w:t>
                  </w:r>
                  <w:r>
                    <w:rPr>
                      <w:rFonts w:hint="default" w:ascii="Times New Roman" w:hAnsi="Times New Roman" w:eastAsia="宋体" w:cs="Times New Roman"/>
                      <w:spacing w:val="-2"/>
                      <w:sz w:val="21"/>
                      <w:szCs w:val="21"/>
                    </w:rPr>
                    <w:t>入</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2"/>
                      <w:sz w:val="21"/>
                      <w:szCs w:val="21"/>
                    </w:rPr>
                    <w:t>污</w:t>
                  </w:r>
                  <w:r>
                    <w:rPr>
                      <w:rFonts w:hint="default" w:ascii="Times New Roman" w:hAnsi="Times New Roman" w:eastAsia="宋体" w:cs="Times New Roman"/>
                      <w:spacing w:val="-59"/>
                      <w:sz w:val="21"/>
                      <w:szCs w:val="21"/>
                    </w:rPr>
                    <w:t xml:space="preserve"> </w:t>
                  </w:r>
                  <w:r>
                    <w:rPr>
                      <w:rFonts w:hint="default" w:ascii="Times New Roman" w:hAnsi="Times New Roman" w:eastAsia="宋体" w:cs="Times New Roman"/>
                      <w:spacing w:val="-2"/>
                      <w:sz w:val="21"/>
                      <w:szCs w:val="21"/>
                    </w:rPr>
                    <w:t>水</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2"/>
                      <w:sz w:val="21"/>
                      <w:szCs w:val="21"/>
                    </w:rPr>
                    <w:t>管</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2"/>
                      <w:sz w:val="21"/>
                      <w:szCs w:val="21"/>
                    </w:rPr>
                    <w:t>网</w:t>
                  </w:r>
                  <w:r>
                    <w:rPr>
                      <w:rFonts w:hint="default" w:ascii="Times New Roman" w:hAnsi="Times New Roman" w:eastAsia="宋体" w:cs="Times New Roman"/>
                      <w:spacing w:val="-68"/>
                      <w:sz w:val="21"/>
                      <w:szCs w:val="21"/>
                    </w:rPr>
                    <w:t xml:space="preserve"> </w:t>
                  </w:r>
                  <w:r>
                    <w:rPr>
                      <w:rFonts w:hint="default" w:ascii="Times New Roman" w:hAnsi="Times New Roman" w:eastAsia="宋体" w:cs="Times New Roman"/>
                      <w:spacing w:val="-2"/>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Cs w:val="21"/>
                      <w:highlight w:val="none"/>
                    </w:rPr>
                    <w:t>公共污水管网未覆盖的宾馆、餐饮、洗车企业等企业事业单位和其他生产经营者应当自建配套的水污染物处理设施或者采取其他收集处理水污染物的措施﹐确保其排放的污水符合污染物排放标准。</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3"/>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0"/>
                      <w:sz w:val="21"/>
                      <w:szCs w:val="21"/>
                    </w:rPr>
                    <w:t>项</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5"/>
                      <w:sz w:val="21"/>
                      <w:szCs w:val="21"/>
                    </w:rPr>
                    <w:t>目 所 在 区 域</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0"/>
                      <w:sz w:val="21"/>
                      <w:szCs w:val="21"/>
                    </w:rPr>
                    <w:t>已</w:t>
                  </w:r>
                  <w:r>
                    <w:rPr>
                      <w:rFonts w:hint="default" w:ascii="Times New Roman" w:hAnsi="Times New Roman" w:eastAsia="宋体" w:cs="Times New Roman"/>
                      <w:spacing w:val="-7"/>
                      <w:sz w:val="21"/>
                      <w:szCs w:val="21"/>
                    </w:rPr>
                    <w:t xml:space="preserve"> </w:t>
                  </w:r>
                  <w:r>
                    <w:rPr>
                      <w:rFonts w:hint="default" w:ascii="Times New Roman" w:hAnsi="Times New Roman" w:eastAsia="宋体" w:cs="Times New Roman"/>
                      <w:spacing w:val="-5"/>
                      <w:sz w:val="21"/>
                      <w:szCs w:val="21"/>
                    </w:rPr>
                    <w:t>有 市 政 污 水</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31"/>
                      <w:sz w:val="21"/>
                      <w:szCs w:val="21"/>
                    </w:rPr>
                    <w:t>管</w:t>
                  </w:r>
                  <w:r>
                    <w:rPr>
                      <w:rFonts w:hint="default" w:ascii="Times New Roman" w:hAnsi="Times New Roman" w:eastAsia="宋体" w:cs="Times New Roman"/>
                      <w:spacing w:val="-21"/>
                      <w:sz w:val="21"/>
                      <w:szCs w:val="21"/>
                    </w:rPr>
                    <w:t xml:space="preserve"> 网 覆 盖 ，项 目</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0"/>
                      <w:sz w:val="21"/>
                      <w:szCs w:val="21"/>
                    </w:rPr>
                    <w:t>实</w:t>
                  </w:r>
                  <w:r>
                    <w:rPr>
                      <w:rFonts w:hint="default" w:ascii="Times New Roman" w:hAnsi="Times New Roman" w:eastAsia="宋体" w:cs="Times New Roman"/>
                      <w:spacing w:val="-7"/>
                      <w:sz w:val="21"/>
                      <w:szCs w:val="21"/>
                    </w:rPr>
                    <w:t xml:space="preserve"> </w:t>
                  </w:r>
                  <w:r>
                    <w:rPr>
                      <w:rFonts w:hint="default" w:ascii="Times New Roman" w:hAnsi="Times New Roman" w:eastAsia="宋体" w:cs="Times New Roman"/>
                      <w:spacing w:val="-5"/>
                      <w:sz w:val="21"/>
                      <w:szCs w:val="21"/>
                    </w:rPr>
                    <w:t>行 雨 污 分 流</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9"/>
                      <w:sz w:val="21"/>
                      <w:szCs w:val="21"/>
                    </w:rPr>
                    <w:t>制</w:t>
                  </w:r>
                  <w:r>
                    <w:rPr>
                      <w:rFonts w:hint="default" w:ascii="Times New Roman" w:hAnsi="Times New Roman" w:eastAsia="宋体" w:cs="Times New Roman"/>
                      <w:spacing w:val="-21"/>
                      <w:sz w:val="21"/>
                      <w:szCs w:val="21"/>
                    </w:rPr>
                    <w:t xml:space="preserve"> ，分 别 收 集 后</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4"/>
                      <w:sz w:val="21"/>
                      <w:szCs w:val="21"/>
                    </w:rPr>
                    <w:t>分</w:t>
                  </w:r>
                  <w:r>
                    <w:rPr>
                      <w:rFonts w:hint="default" w:ascii="Times New Roman" w:hAnsi="Times New Roman" w:eastAsia="宋体" w:cs="Times New Roman"/>
                      <w:spacing w:val="19"/>
                      <w:sz w:val="21"/>
                      <w:szCs w:val="21"/>
                    </w:rPr>
                    <w:t>别排放；</w:t>
                  </w:r>
                  <w:r>
                    <w:rPr>
                      <w:rFonts w:hint="default" w:ascii="Times New Roman" w:hAnsi="Times New Roman" w:eastAsia="宋体" w:cs="Times New Roman"/>
                      <w:color w:val="auto"/>
                      <w:spacing w:val="19"/>
                      <w:sz w:val="21"/>
                      <w:szCs w:val="21"/>
                    </w:rPr>
                    <w:t>各环</w:t>
                  </w:r>
                  <w:r>
                    <w:rPr>
                      <w:rFonts w:hint="default" w:ascii="Times New Roman" w:hAnsi="Times New Roman" w:eastAsia="宋体" w:cs="Times New Roman"/>
                      <w:color w:val="auto"/>
                      <w:spacing w:val="6"/>
                      <w:sz w:val="21"/>
                      <w:szCs w:val="21"/>
                    </w:rPr>
                    <w:t>节</w:t>
                  </w:r>
                  <w:r>
                    <w:rPr>
                      <w:rFonts w:hint="default" w:ascii="Times New Roman" w:hAnsi="Times New Roman" w:eastAsia="宋体" w:cs="Times New Roman"/>
                      <w:color w:val="auto"/>
                      <w:spacing w:val="4"/>
                      <w:sz w:val="21"/>
                      <w:szCs w:val="21"/>
                    </w:rPr>
                    <w:t>的废水分别自</w:t>
                  </w:r>
                  <w:r>
                    <w:rPr>
                      <w:rFonts w:hint="default" w:ascii="Times New Roman" w:hAnsi="Times New Roman" w:eastAsia="宋体" w:cs="Times New Roman"/>
                      <w:color w:val="auto"/>
                      <w:spacing w:val="-10"/>
                      <w:sz w:val="21"/>
                      <w:szCs w:val="21"/>
                    </w:rPr>
                    <w:t>建</w:t>
                  </w:r>
                  <w:r>
                    <w:rPr>
                      <w:rFonts w:hint="default" w:ascii="Times New Roman" w:hAnsi="Times New Roman" w:eastAsia="宋体" w:cs="Times New Roman"/>
                      <w:color w:val="auto"/>
                      <w:spacing w:val="-5"/>
                      <w:sz w:val="21"/>
                      <w:szCs w:val="21"/>
                    </w:rPr>
                    <w:t>设施预 处理</w:t>
                  </w:r>
                  <w:r>
                    <w:rPr>
                      <w:rFonts w:hint="default" w:ascii="Times New Roman" w:hAnsi="Times New Roman" w:eastAsia="宋体" w:cs="Times New Roman"/>
                      <w:color w:val="auto"/>
                      <w:spacing w:val="-13"/>
                      <w:sz w:val="21"/>
                      <w:szCs w:val="21"/>
                    </w:rPr>
                    <w:t>后再排入市政管</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9"/>
                      <w:sz w:val="21"/>
                      <w:szCs w:val="21"/>
                    </w:rPr>
                    <w:t>网</w:t>
                  </w:r>
                  <w:r>
                    <w:rPr>
                      <w:rFonts w:hint="default" w:ascii="Times New Roman" w:hAnsi="Times New Roman" w:eastAsia="宋体" w:cs="Times New Roman"/>
                      <w:color w:val="auto"/>
                      <w:spacing w:val="-35"/>
                      <w:sz w:val="21"/>
                      <w:szCs w:val="21"/>
                    </w:rPr>
                    <w:t xml:space="preserve"> </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9"/>
                      <w:sz w:val="21"/>
                      <w:szCs w:val="21"/>
                    </w:rPr>
                    <w:t>雨</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pacing w:val="-9"/>
                      <w:sz w:val="21"/>
                      <w:szCs w:val="21"/>
                    </w:rPr>
                    <w:t>水</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9"/>
                      <w:sz w:val="21"/>
                      <w:szCs w:val="21"/>
                    </w:rPr>
                    <w:t>、</w:t>
                  </w:r>
                  <w:r>
                    <w:rPr>
                      <w:rFonts w:hint="default" w:ascii="Times New Roman" w:hAnsi="Times New Roman" w:eastAsia="宋体" w:cs="Times New Roman"/>
                      <w:spacing w:val="-46"/>
                      <w:sz w:val="21"/>
                      <w:szCs w:val="21"/>
                    </w:rPr>
                    <w:t xml:space="preserve"> </w:t>
                  </w:r>
                  <w:r>
                    <w:rPr>
                      <w:rFonts w:hint="default" w:ascii="Times New Roman" w:hAnsi="Times New Roman" w:eastAsia="宋体" w:cs="Times New Roman"/>
                      <w:spacing w:val="-9"/>
                      <w:sz w:val="21"/>
                      <w:szCs w:val="21"/>
                    </w:rPr>
                    <w:t>空</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9"/>
                      <w:sz w:val="21"/>
                      <w:szCs w:val="21"/>
                    </w:rPr>
                    <w:t>调</w:t>
                  </w:r>
                  <w:r>
                    <w:rPr>
                      <w:rFonts w:hint="default" w:ascii="Times New Roman" w:hAnsi="Times New Roman" w:eastAsia="宋体" w:cs="Times New Roman"/>
                      <w:spacing w:val="-10"/>
                      <w:sz w:val="21"/>
                      <w:szCs w:val="21"/>
                    </w:rPr>
                    <w:t>水</w:t>
                  </w:r>
                  <w:r>
                    <w:rPr>
                      <w:rFonts w:hint="default" w:ascii="Times New Roman" w:hAnsi="Times New Roman" w:eastAsia="宋体" w:cs="Times New Roman"/>
                      <w:spacing w:val="-5"/>
                      <w:sz w:val="21"/>
                      <w:szCs w:val="21"/>
                    </w:rPr>
                    <w:t>等雨水管单</w:t>
                  </w:r>
                  <w:r>
                    <w:rPr>
                      <w:rFonts w:hint="default" w:ascii="Times New Roman" w:hAnsi="Times New Roman" w:eastAsia="宋体" w:cs="Times New Roman"/>
                      <w:spacing w:val="-24"/>
                      <w:sz w:val="21"/>
                      <w:szCs w:val="21"/>
                    </w:rPr>
                    <w:t>独</w:t>
                  </w:r>
                  <w:r>
                    <w:rPr>
                      <w:rFonts w:hint="default" w:ascii="Times New Roman" w:hAnsi="Times New Roman" w:eastAsia="宋体" w:cs="Times New Roman"/>
                      <w:spacing w:val="-22"/>
                      <w:sz w:val="21"/>
                      <w:szCs w:val="21"/>
                    </w:rPr>
                    <w:t xml:space="preserve"> 排 放</w:t>
                  </w:r>
                  <w:r>
                    <w:rPr>
                      <w:rFonts w:hint="eastAsia" w:ascii="Times New Roman" w:hAnsi="Times New Roman" w:eastAsia="宋体" w:cs="Times New Roman"/>
                      <w:spacing w:val="-22"/>
                      <w:sz w:val="21"/>
                      <w:szCs w:val="21"/>
                      <w:lang w:eastAsia="zh-CN"/>
                    </w:rPr>
                    <w:t>。</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符</w:t>
                  </w:r>
                  <w:r>
                    <w:rPr>
                      <w:rFonts w:hint="default" w:ascii="Times New Roman" w:hAnsi="Times New Roman" w:eastAsia="宋体" w:cs="Times New Roman"/>
                      <w:spacing w:val="13"/>
                      <w:sz w:val="21"/>
                      <w:szCs w:val="21"/>
                    </w:rPr>
                    <w:t>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5"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第</w:t>
                  </w:r>
                  <w:r>
                    <w:rPr>
                      <w:rFonts w:hint="default" w:ascii="Times New Roman" w:hAnsi="Times New Roman" w:eastAsia="宋体" w:cs="Times New Roman"/>
                      <w:spacing w:val="4"/>
                      <w:sz w:val="21"/>
                      <w:szCs w:val="21"/>
                    </w:rPr>
                    <w:t>六十二</w:t>
                  </w:r>
                  <w:r>
                    <w:rPr>
                      <w:rFonts w:hint="default" w:ascii="Times New Roman" w:hAnsi="Times New Roman" w:eastAsia="宋体" w:cs="Times New Roman"/>
                      <w:sz w:val="21"/>
                      <w:szCs w:val="21"/>
                    </w:rPr>
                    <w:t>条</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6"/>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学校、科研机构、企业等单位实验、检验、</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化</w:t>
                  </w:r>
                  <w:r>
                    <w:rPr>
                      <w:rFonts w:hint="default" w:ascii="Times New Roman" w:hAnsi="Times New Roman" w:eastAsia="宋体" w:cs="Times New Roman"/>
                      <w:spacing w:val="7"/>
                      <w:sz w:val="21"/>
                      <w:szCs w:val="21"/>
                    </w:rPr>
                    <w:t>验产生的废液应当单独收集</w:t>
                  </w:r>
                  <w:r>
                    <w:rPr>
                      <w:rFonts w:hint="eastAsia" w:ascii="Times New Roman" w:hAnsi="Times New Roman" w:eastAsia="宋体" w:cs="Times New Roman"/>
                      <w:spacing w:val="7"/>
                      <w:sz w:val="21"/>
                      <w:szCs w:val="21"/>
                      <w:lang w:eastAsia="zh-CN"/>
                    </w:rPr>
                    <w:t>、</w:t>
                  </w:r>
                  <w:r>
                    <w:rPr>
                      <w:rFonts w:hint="default" w:ascii="Times New Roman" w:hAnsi="Times New Roman" w:eastAsia="宋体" w:cs="Times New Roman"/>
                      <w:spacing w:val="7"/>
                      <w:sz w:val="21"/>
                      <w:szCs w:val="21"/>
                    </w:rPr>
                    <w:t>分类安全处</w:t>
                  </w:r>
                  <w:r>
                    <w:rPr>
                      <w:rFonts w:hint="default" w:ascii="Times New Roman" w:hAnsi="Times New Roman" w:eastAsia="宋体" w:cs="Times New Roman"/>
                      <w:spacing w:val="1"/>
                      <w:sz w:val="21"/>
                      <w:szCs w:val="21"/>
                    </w:rPr>
                    <w:t>置，不得直接排</w:t>
                  </w:r>
                  <w:r>
                    <w:rPr>
                      <w:rFonts w:hint="default" w:ascii="Times New Roman" w:hAnsi="Times New Roman" w:eastAsia="宋体" w:cs="Times New Roman"/>
                      <w:sz w:val="21"/>
                      <w:szCs w:val="21"/>
                    </w:rPr>
                    <w:t xml:space="preserve">放或者倾倒。医疗卫生机构、 </w:t>
                  </w:r>
                  <w:r>
                    <w:rPr>
                      <w:rFonts w:hint="default" w:ascii="Times New Roman" w:hAnsi="Times New Roman" w:eastAsia="宋体" w:cs="Times New Roman"/>
                      <w:spacing w:val="10"/>
                      <w:sz w:val="21"/>
                      <w:szCs w:val="21"/>
                    </w:rPr>
                    <w:t>传</w:t>
                  </w:r>
                  <w:r>
                    <w:rPr>
                      <w:rFonts w:hint="default" w:ascii="Times New Roman" w:hAnsi="Times New Roman" w:eastAsia="宋体" w:cs="Times New Roman"/>
                      <w:spacing w:val="7"/>
                      <w:sz w:val="21"/>
                      <w:szCs w:val="21"/>
                    </w:rPr>
                    <w:t>染病疫情防控期间集中医学观察点，在传</w:t>
                  </w:r>
                  <w:r>
                    <w:rPr>
                      <w:rFonts w:hint="default" w:ascii="Times New Roman" w:hAnsi="Times New Roman" w:eastAsia="宋体" w:cs="Times New Roman"/>
                      <w:spacing w:val="13"/>
                      <w:sz w:val="21"/>
                      <w:szCs w:val="21"/>
                    </w:rPr>
                    <w:t>染</w:t>
                  </w:r>
                  <w:r>
                    <w:rPr>
                      <w:rFonts w:hint="default" w:ascii="Times New Roman" w:hAnsi="Times New Roman" w:eastAsia="宋体" w:cs="Times New Roman"/>
                      <w:spacing w:val="7"/>
                      <w:sz w:val="21"/>
                      <w:szCs w:val="21"/>
                    </w:rPr>
                    <w:t>病疫情等特殊时期，应当按照防控要求加</w:t>
                  </w:r>
                  <w:r>
                    <w:rPr>
                      <w:rFonts w:hint="default" w:ascii="Times New Roman" w:hAnsi="Times New Roman" w:eastAsia="宋体" w:cs="Times New Roman"/>
                      <w:spacing w:val="13"/>
                      <w:sz w:val="21"/>
                      <w:szCs w:val="21"/>
                    </w:rPr>
                    <w:t>密</w:t>
                  </w:r>
                  <w:r>
                    <w:rPr>
                      <w:rFonts w:hint="default" w:ascii="Times New Roman" w:hAnsi="Times New Roman" w:eastAsia="宋体" w:cs="Times New Roman"/>
                      <w:spacing w:val="7"/>
                      <w:sz w:val="21"/>
                      <w:szCs w:val="21"/>
                    </w:rPr>
                    <w:t>监测频次。产生的污水以及传染病病人或</w:t>
                  </w:r>
                  <w:r>
                    <w:rPr>
                      <w:rFonts w:hint="default" w:ascii="Times New Roman" w:hAnsi="Times New Roman" w:eastAsia="宋体" w:cs="Times New Roman"/>
                      <w:spacing w:val="10"/>
                      <w:sz w:val="21"/>
                      <w:szCs w:val="21"/>
                    </w:rPr>
                    <w:t>者</w:t>
                  </w:r>
                  <w:r>
                    <w:rPr>
                      <w:rFonts w:hint="default" w:ascii="Times New Roman" w:hAnsi="Times New Roman" w:eastAsia="宋体" w:cs="Times New Roman"/>
                      <w:spacing w:val="7"/>
                      <w:sz w:val="21"/>
                      <w:szCs w:val="21"/>
                    </w:rPr>
                    <w:t>疑似传染病病人的排泄物，应当按照国家</w:t>
                  </w:r>
                  <w:r>
                    <w:rPr>
                      <w:rFonts w:hint="default" w:ascii="Times New Roman" w:hAnsi="Times New Roman" w:eastAsia="宋体" w:cs="Times New Roman"/>
                      <w:spacing w:val="19"/>
                      <w:sz w:val="21"/>
                      <w:szCs w:val="21"/>
                    </w:rPr>
                    <w:t>规定严格消毒，达到国家规定的排放标</w:t>
                  </w:r>
                  <w:r>
                    <w:rPr>
                      <w:rFonts w:hint="default" w:ascii="Times New Roman" w:hAnsi="Times New Roman" w:eastAsia="宋体" w:cs="Times New Roman"/>
                      <w:spacing w:val="16"/>
                      <w:sz w:val="21"/>
                      <w:szCs w:val="21"/>
                    </w:rPr>
                    <w:t>准</w:t>
                  </w:r>
                  <w:r>
                    <w:rPr>
                      <w:rFonts w:hint="default" w:ascii="Times New Roman" w:hAnsi="Times New Roman" w:eastAsia="宋体" w:cs="Times New Roman"/>
                      <w:spacing w:val="10"/>
                      <w:sz w:val="21"/>
                      <w:szCs w:val="21"/>
                    </w:rPr>
                    <w:t>后</w:t>
                  </w:r>
                  <w:r>
                    <w:rPr>
                      <w:rFonts w:hint="default" w:ascii="Times New Roman" w:hAnsi="Times New Roman" w:eastAsia="宋体" w:cs="Times New Roman"/>
                      <w:spacing w:val="7"/>
                      <w:sz w:val="21"/>
                      <w:szCs w:val="21"/>
                    </w:rPr>
                    <w:t>，方可排入城乡污水处理系统。属于重点</w:t>
                  </w:r>
                  <w:r>
                    <w:rPr>
                      <w:rFonts w:hint="default" w:ascii="Times New Roman" w:hAnsi="Times New Roman" w:eastAsia="宋体" w:cs="Times New Roman"/>
                      <w:spacing w:val="19"/>
                      <w:sz w:val="21"/>
                      <w:szCs w:val="21"/>
                    </w:rPr>
                    <w:t>排污单位的医疗机构应当安装污水自动</w:t>
                  </w:r>
                  <w:r>
                    <w:rPr>
                      <w:rFonts w:hint="default" w:ascii="Times New Roman" w:hAnsi="Times New Roman" w:eastAsia="宋体" w:cs="Times New Roman"/>
                      <w:spacing w:val="16"/>
                      <w:sz w:val="21"/>
                      <w:szCs w:val="21"/>
                    </w:rPr>
                    <w:t>在</w:t>
                  </w:r>
                  <w:r>
                    <w:rPr>
                      <w:rFonts w:hint="default" w:ascii="Times New Roman" w:hAnsi="Times New Roman" w:eastAsia="宋体" w:cs="Times New Roman"/>
                      <w:spacing w:val="9"/>
                      <w:sz w:val="21"/>
                      <w:szCs w:val="21"/>
                    </w:rPr>
                    <w:t>线监控设施，并与当地生态环境部门联网。</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5"/>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0"/>
                      <w:sz w:val="21"/>
                      <w:szCs w:val="21"/>
                    </w:rPr>
                    <w:t>项</w:t>
                  </w:r>
                  <w:r>
                    <w:rPr>
                      <w:rFonts w:hint="default" w:ascii="Times New Roman" w:hAnsi="Times New Roman" w:eastAsia="宋体" w:cs="Times New Roman"/>
                      <w:spacing w:val="9"/>
                      <w:sz w:val="21"/>
                      <w:szCs w:val="21"/>
                    </w:rPr>
                    <w:t>目</w:t>
                  </w:r>
                  <w:r>
                    <w:rPr>
                      <w:rFonts w:hint="eastAsia" w:ascii="Times New Roman" w:hAnsi="Times New Roman" w:eastAsia="宋体" w:cs="Times New Roman"/>
                      <w:spacing w:val="9"/>
                      <w:sz w:val="21"/>
                      <w:szCs w:val="21"/>
                      <w:lang w:val="en-US" w:eastAsia="zh-CN"/>
                    </w:rPr>
                    <w:t>学校</w:t>
                  </w:r>
                  <w:r>
                    <w:rPr>
                      <w:rFonts w:hint="default" w:ascii="Times New Roman" w:hAnsi="Times New Roman" w:eastAsia="宋体" w:cs="Times New Roman"/>
                      <w:spacing w:val="9"/>
                      <w:sz w:val="21"/>
                      <w:szCs w:val="21"/>
                    </w:rPr>
                    <w:t>实验室产生的</w:t>
                  </w:r>
                  <w:r>
                    <w:rPr>
                      <w:rFonts w:hint="default" w:ascii="Times New Roman" w:hAnsi="Times New Roman" w:eastAsia="宋体" w:cs="Times New Roman"/>
                      <w:spacing w:val="-6"/>
                      <w:sz w:val="21"/>
                      <w:szCs w:val="21"/>
                    </w:rPr>
                    <w:t>废水、实验室</w:t>
                  </w:r>
                  <w:r>
                    <w:rPr>
                      <w:rFonts w:hint="default" w:ascii="Times New Roman" w:hAnsi="Times New Roman" w:eastAsia="宋体" w:cs="Times New Roman"/>
                      <w:spacing w:val="15"/>
                      <w:sz w:val="21"/>
                      <w:szCs w:val="21"/>
                    </w:rPr>
                    <w:t>废</w:t>
                  </w:r>
                  <w:r>
                    <w:rPr>
                      <w:rFonts w:hint="default" w:ascii="Times New Roman" w:hAnsi="Times New Roman" w:eastAsia="宋体" w:cs="Times New Roman"/>
                      <w:spacing w:val="11"/>
                      <w:sz w:val="21"/>
                      <w:szCs w:val="21"/>
                    </w:rPr>
                    <w:t>液</w:t>
                  </w:r>
                  <w:r>
                    <w:rPr>
                      <w:rFonts w:hint="eastAsia" w:ascii="Times New Roman" w:hAnsi="Times New Roman" w:eastAsia="宋体" w:cs="Times New Roman"/>
                      <w:spacing w:val="11"/>
                      <w:sz w:val="21"/>
                      <w:szCs w:val="21"/>
                      <w:lang w:eastAsia="zh-CN"/>
                    </w:rPr>
                    <w:t>、</w:t>
                  </w:r>
                  <w:r>
                    <w:rPr>
                      <w:rFonts w:hint="default" w:ascii="Times New Roman" w:hAnsi="Times New Roman" w:eastAsia="宋体" w:cs="Times New Roman"/>
                      <w:spacing w:val="-6"/>
                      <w:sz w:val="21"/>
                      <w:szCs w:val="21"/>
                    </w:rPr>
                    <w:t>固废</w:t>
                  </w:r>
                  <w:r>
                    <w:rPr>
                      <w:rFonts w:hint="default" w:ascii="Times New Roman" w:hAnsi="Times New Roman" w:eastAsia="宋体" w:cs="Times New Roman"/>
                      <w:spacing w:val="11"/>
                      <w:sz w:val="21"/>
                      <w:szCs w:val="21"/>
                    </w:rPr>
                    <w:t>等分别收集，</w:t>
                  </w:r>
                  <w:r>
                    <w:rPr>
                      <w:rFonts w:hint="eastAsia" w:ascii="Times New Roman" w:hAnsi="Times New Roman" w:eastAsia="宋体" w:cs="Times New Roman"/>
                      <w:b w:val="0"/>
                      <w:bCs w:val="0"/>
                      <w:color w:val="000000"/>
                      <w:kern w:val="0"/>
                      <w:sz w:val="21"/>
                      <w:szCs w:val="21"/>
                      <w:lang w:val="en-US" w:eastAsia="zh-CN" w:bidi="ar"/>
                    </w:rPr>
                    <w:t>实验废水经中和处置至pH值中性后，经专用管道排入化粪</w:t>
                  </w:r>
                  <w:r>
                    <w:rPr>
                      <w:rFonts w:hint="eastAsia" w:ascii="Times New Roman" w:hAnsi="Times New Roman" w:eastAsia="宋体" w:cs="Times New Roman"/>
                      <w:b w:val="0"/>
                      <w:bCs w:val="0"/>
                      <w:color w:val="auto"/>
                      <w:kern w:val="0"/>
                      <w:sz w:val="21"/>
                      <w:szCs w:val="21"/>
                      <w:lang w:val="en-US" w:eastAsia="zh-CN" w:bidi="ar"/>
                    </w:rPr>
                    <w:t>池</w:t>
                  </w:r>
                  <w:r>
                    <w:rPr>
                      <w:rFonts w:hint="eastAsia" w:ascii="Times New Roman" w:hAnsi="Times New Roman" w:eastAsia="宋体" w:cs="Times New Roman"/>
                      <w:color w:val="auto"/>
                      <w:spacing w:val="10"/>
                      <w:sz w:val="21"/>
                      <w:szCs w:val="21"/>
                      <w:lang w:eastAsia="zh-CN"/>
                    </w:rPr>
                    <w:t>、</w:t>
                  </w:r>
                  <w:r>
                    <w:rPr>
                      <w:rFonts w:hint="default" w:ascii="Times New Roman" w:hAnsi="Times New Roman" w:eastAsia="宋体" w:cs="Times New Roman"/>
                      <w:spacing w:val="10"/>
                      <w:sz w:val="21"/>
                      <w:szCs w:val="21"/>
                    </w:rPr>
                    <w:t>废液分类收</w:t>
                  </w:r>
                  <w:r>
                    <w:rPr>
                      <w:rFonts w:hint="default" w:ascii="Times New Roman" w:hAnsi="Times New Roman" w:eastAsia="宋体" w:cs="Times New Roman"/>
                      <w:spacing w:val="8"/>
                      <w:sz w:val="21"/>
                      <w:szCs w:val="21"/>
                    </w:rPr>
                    <w:t>集</w:t>
                  </w:r>
                  <w:r>
                    <w:rPr>
                      <w:rFonts w:hint="default" w:ascii="Times New Roman" w:hAnsi="Times New Roman" w:eastAsia="宋体" w:cs="Times New Roman"/>
                      <w:spacing w:val="10"/>
                      <w:sz w:val="21"/>
                      <w:szCs w:val="21"/>
                    </w:rPr>
                    <w:t>作危废处理，各</w:t>
                  </w:r>
                  <w:r>
                    <w:rPr>
                      <w:rFonts w:hint="default" w:ascii="Times New Roman" w:hAnsi="Times New Roman" w:eastAsia="宋体" w:cs="Times New Roman"/>
                      <w:spacing w:val="8"/>
                      <w:sz w:val="21"/>
                      <w:szCs w:val="21"/>
                    </w:rPr>
                    <w:t>固</w:t>
                  </w:r>
                  <w:r>
                    <w:rPr>
                      <w:rFonts w:hint="default" w:ascii="Times New Roman" w:hAnsi="Times New Roman" w:eastAsia="宋体" w:cs="Times New Roman"/>
                      <w:spacing w:val="10"/>
                      <w:sz w:val="21"/>
                      <w:szCs w:val="21"/>
                    </w:rPr>
                    <w:t>废分类收集，属</w:t>
                  </w:r>
                  <w:r>
                    <w:rPr>
                      <w:rFonts w:hint="default" w:ascii="Times New Roman" w:hAnsi="Times New Roman" w:eastAsia="宋体" w:cs="Times New Roman"/>
                      <w:spacing w:val="8"/>
                      <w:sz w:val="21"/>
                      <w:szCs w:val="21"/>
                    </w:rPr>
                    <w:t>于</w:t>
                  </w:r>
                  <w:r>
                    <w:rPr>
                      <w:rFonts w:hint="default" w:ascii="Times New Roman" w:hAnsi="Times New Roman" w:eastAsia="宋体" w:cs="Times New Roman"/>
                      <w:spacing w:val="10"/>
                      <w:sz w:val="21"/>
                      <w:szCs w:val="21"/>
                    </w:rPr>
                    <w:t>危险废物的单独</w:t>
                  </w:r>
                  <w:r>
                    <w:rPr>
                      <w:rFonts w:hint="default" w:ascii="Times New Roman" w:hAnsi="Times New Roman" w:eastAsia="宋体" w:cs="Times New Roman"/>
                      <w:spacing w:val="8"/>
                      <w:sz w:val="21"/>
                      <w:szCs w:val="21"/>
                    </w:rPr>
                    <w:t>处</w:t>
                  </w:r>
                  <w:r>
                    <w:rPr>
                      <w:rFonts w:hint="default" w:ascii="Times New Roman" w:hAnsi="Times New Roman" w:eastAsia="宋体" w:cs="Times New Roman"/>
                      <w:spacing w:val="10"/>
                      <w:sz w:val="21"/>
                      <w:szCs w:val="21"/>
                    </w:rPr>
                    <w:t>置。项目不属于</w:t>
                  </w:r>
                  <w:r>
                    <w:rPr>
                      <w:rFonts w:hint="default" w:ascii="Times New Roman" w:hAnsi="Times New Roman" w:eastAsia="宋体" w:cs="Times New Roman"/>
                      <w:spacing w:val="8"/>
                      <w:sz w:val="21"/>
                      <w:szCs w:val="21"/>
                    </w:rPr>
                    <w:t>重</w:t>
                  </w:r>
                  <w:r>
                    <w:rPr>
                      <w:rFonts w:hint="default" w:ascii="Times New Roman" w:hAnsi="Times New Roman" w:eastAsia="宋体" w:cs="Times New Roman"/>
                      <w:spacing w:val="10"/>
                      <w:sz w:val="21"/>
                      <w:szCs w:val="21"/>
                    </w:rPr>
                    <w:t>点排污单位</w:t>
                  </w:r>
                  <w:r>
                    <w:rPr>
                      <w:rFonts w:hint="eastAsia" w:ascii="Times New Roman" w:hAnsi="Times New Roman" w:eastAsia="宋体" w:cs="Times New Roman"/>
                      <w:spacing w:val="10"/>
                      <w:sz w:val="21"/>
                      <w:szCs w:val="21"/>
                      <w:lang w:eastAsia="zh-CN"/>
                    </w:rPr>
                    <w:t>。</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符</w:t>
                  </w:r>
                  <w:r>
                    <w:rPr>
                      <w:rFonts w:hint="default" w:ascii="Times New Roman" w:hAnsi="Times New Roman" w:eastAsia="宋体" w:cs="Times New Roman"/>
                      <w:spacing w:val="3"/>
                      <w:sz w:val="21"/>
                      <w:szCs w:val="21"/>
                    </w:rPr>
                    <w:t>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jc w:val="center"/>
              </w:trPr>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position w:val="4"/>
                      <w:sz w:val="21"/>
                      <w:szCs w:val="21"/>
                    </w:rPr>
                    <w:t>第</w:t>
                  </w:r>
                  <w:r>
                    <w:rPr>
                      <w:rFonts w:hint="default" w:ascii="Times New Roman" w:hAnsi="Times New Roman" w:eastAsia="宋体" w:cs="Times New Roman"/>
                      <w:spacing w:val="4"/>
                      <w:position w:val="4"/>
                      <w:sz w:val="21"/>
                      <w:szCs w:val="21"/>
                    </w:rPr>
                    <w:t>八</w:t>
                  </w:r>
                  <w:r>
                    <w:rPr>
                      <w:rFonts w:hint="eastAsia" w:ascii="Times New Roman" w:hAnsi="Times New Roman" w:eastAsia="宋体" w:cs="Times New Roman"/>
                      <w:spacing w:val="4"/>
                      <w:position w:val="4"/>
                      <w:sz w:val="21"/>
                      <w:szCs w:val="21"/>
                      <w:lang w:val="en-US" w:eastAsia="zh-CN"/>
                    </w:rPr>
                    <w:t>十</w:t>
                  </w:r>
                  <w:r>
                    <w:rPr>
                      <w:rFonts w:hint="default" w:ascii="Times New Roman" w:hAnsi="Times New Roman" w:eastAsia="宋体" w:cs="Times New Roman"/>
                      <w:spacing w:val="4"/>
                      <w:sz w:val="21"/>
                      <w:szCs w:val="21"/>
                    </w:rPr>
                    <w:t>条</w:t>
                  </w:r>
                </w:p>
              </w:tc>
              <w:tc>
                <w:tcPr>
                  <w:tcW w:w="4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13"/>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12"/>
                      <w:sz w:val="21"/>
                      <w:szCs w:val="21"/>
                    </w:rPr>
                    <w:t>限</w:t>
                  </w:r>
                  <w:r>
                    <w:rPr>
                      <w:rFonts w:hint="default" w:ascii="Times New Roman" w:hAnsi="Times New Roman" w:eastAsia="宋体" w:cs="Times New Roman"/>
                      <w:spacing w:val="9"/>
                      <w:sz w:val="21"/>
                      <w:szCs w:val="21"/>
                    </w:rPr>
                    <w:t>期</w:t>
                  </w:r>
                  <w:r>
                    <w:rPr>
                      <w:rFonts w:hint="default" w:ascii="Times New Roman" w:hAnsi="Times New Roman" w:eastAsia="宋体" w:cs="Times New Roman"/>
                      <w:spacing w:val="6"/>
                      <w:sz w:val="21"/>
                      <w:szCs w:val="21"/>
                    </w:rPr>
                    <w:t>禁止生产、销售、进口、使用、转让严</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9"/>
                      <w:sz w:val="21"/>
                      <w:szCs w:val="21"/>
                    </w:rPr>
                    <w:t>重污染水环境的工艺和设备</w:t>
                  </w:r>
                  <w:r>
                    <w:rPr>
                      <w:rFonts w:hint="eastAsia" w:ascii="Times New Roman" w:hAnsi="Times New Roman" w:eastAsia="宋体" w:cs="Times New Roman"/>
                      <w:spacing w:val="9"/>
                      <w:sz w:val="21"/>
                      <w:szCs w:val="21"/>
                      <w:lang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2"/>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0"/>
                      <w:sz w:val="21"/>
                      <w:szCs w:val="21"/>
                    </w:rPr>
                    <w:t>项</w:t>
                  </w:r>
                  <w:r>
                    <w:rPr>
                      <w:rFonts w:hint="default" w:ascii="Times New Roman" w:hAnsi="Times New Roman" w:eastAsia="宋体" w:cs="Times New Roman"/>
                      <w:spacing w:val="9"/>
                      <w:sz w:val="21"/>
                      <w:szCs w:val="21"/>
                    </w:rPr>
                    <w:t>目使用的设备不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2"/>
                      <w:sz w:val="21"/>
                      <w:szCs w:val="21"/>
                    </w:rPr>
                    <w:t>属</w:t>
                  </w:r>
                  <w:r>
                    <w:rPr>
                      <w:rFonts w:hint="default" w:ascii="Times New Roman" w:hAnsi="Times New Roman" w:eastAsia="宋体" w:cs="Times New Roman"/>
                      <w:spacing w:val="9"/>
                      <w:sz w:val="21"/>
                      <w:szCs w:val="21"/>
                    </w:rPr>
                    <w:t>于严重污染水环</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境的设备</w:t>
                  </w:r>
                  <w:r>
                    <w:rPr>
                      <w:rFonts w:hint="eastAsia" w:ascii="Times New Roman" w:hAnsi="Times New Roman" w:eastAsia="宋体" w:cs="Times New Roman"/>
                      <w:spacing w:val="7"/>
                      <w:sz w:val="21"/>
                      <w:szCs w:val="21"/>
                      <w:lang w:eastAsia="zh-CN"/>
                    </w:rPr>
                    <w:t>。</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符</w:t>
                  </w:r>
                  <w:r>
                    <w:rPr>
                      <w:rFonts w:hint="default" w:ascii="Times New Roman" w:hAnsi="Times New Roman" w:eastAsia="宋体" w:cs="Times New Roman"/>
                      <w:spacing w:val="3"/>
                      <w:sz w:val="21"/>
                      <w:szCs w:val="21"/>
                    </w:rPr>
                    <w:t>合</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7、</w:t>
            </w:r>
            <w:r>
              <w:rPr>
                <w:rFonts w:hint="default" w:ascii="Times New Roman" w:hAnsi="Times New Roman" w:cs="Times New Roman"/>
                <w:b/>
                <w:color w:val="auto"/>
                <w:sz w:val="24"/>
                <w:szCs w:val="24"/>
                <w:highlight w:val="none"/>
              </w:rPr>
              <w:t>与</w:t>
            </w:r>
            <w:r>
              <w:rPr>
                <w:rFonts w:hint="eastAsia"/>
                <w:b/>
                <w:bCs/>
                <w:sz w:val="24"/>
                <w:szCs w:val="24"/>
              </w:rPr>
              <w:t>饮用水水源关系</w:t>
            </w:r>
            <w:r>
              <w:rPr>
                <w:b/>
                <w:bCs/>
                <w:sz w:val="24"/>
                <w:szCs w:val="24"/>
              </w:rPr>
              <w:t>符合性分析</w:t>
            </w:r>
          </w:p>
          <w:p>
            <w:pPr>
              <w:pageBreakBefore w:val="0"/>
              <w:kinsoku/>
              <w:wordWrap/>
              <w:bidi w:val="0"/>
              <w:spacing w:line="360" w:lineRule="auto"/>
              <w:ind w:left="0" w:leftChars="0" w:right="0" w:firstLine="480" w:firstLineChars="200"/>
              <w:rPr>
                <w:rFonts w:hint="eastAsia"/>
                <w:sz w:val="24"/>
                <w:szCs w:val="24"/>
                <w:lang w:eastAsia="zh-CN"/>
              </w:rPr>
            </w:pPr>
            <w:r>
              <w:rPr>
                <w:rFonts w:hint="default" w:ascii="Times New Roman" w:hAnsi="Times New Roman" w:eastAsia="宋体" w:cs="Times New Roman"/>
                <w:color w:val="auto"/>
                <w:sz w:val="24"/>
                <w:szCs w:val="24"/>
                <w:highlight w:val="none"/>
              </w:rPr>
              <w:t>根据达州市人民政府《关于通川区乡镇集中式饮用水水源地保护区划定调整的批复》（达市府函〔20</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b w:val="0"/>
                <w:bCs w:val="0"/>
                <w:color w:val="auto"/>
                <w:sz w:val="24"/>
                <w:szCs w:val="24"/>
                <w:lang w:val="en-US" w:eastAsia="zh-CN"/>
              </w:rPr>
              <w:t>本项目位</w:t>
            </w:r>
            <w:r>
              <w:rPr>
                <w:rFonts w:hint="default" w:ascii="Times New Roman" w:hAnsi="Times New Roman" w:cs="Times New Roman"/>
                <w:color w:val="auto"/>
                <w:sz w:val="24"/>
                <w:szCs w:val="24"/>
                <w:lang w:val="en-US" w:eastAsia="zh-CN"/>
              </w:rPr>
              <w:t>于罗江镇州河山桥社区水源地</w:t>
            </w:r>
            <w:r>
              <w:rPr>
                <w:rFonts w:hint="default" w:ascii="Times New Roman" w:hAnsi="Times New Roman" w:cs="Times New Roman"/>
                <w:sz w:val="24"/>
                <w:szCs w:val="24"/>
                <w:lang w:val="en-US" w:eastAsia="zh-CN"/>
              </w:rPr>
              <w:t>取水口</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E107°</w:t>
            </w:r>
            <w:r>
              <w:rPr>
                <w:rFonts w:hint="eastAsia" w:ascii="Times New Roman" w:hAnsi="Times New Roman" w:cs="Times New Roman"/>
                <w:sz w:val="24"/>
                <w:szCs w:val="24"/>
                <w:lang w:val="en-US" w:eastAsia="zh-CN"/>
              </w:rPr>
              <w:t>31</w:t>
            </w: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″、N31°</w:t>
            </w:r>
            <w:r>
              <w:rPr>
                <w:rFonts w:hint="eastAsia" w:ascii="Times New Roman" w:hAnsi="Times New Roman" w:cs="Times New Roman"/>
                <w:sz w:val="24"/>
                <w:szCs w:val="24"/>
                <w:lang w:val="en-US" w:eastAsia="zh-CN"/>
              </w:rPr>
              <w:t>18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下</w:t>
            </w:r>
            <w:r>
              <w:rPr>
                <w:rFonts w:hint="default" w:ascii="Times New Roman" w:hAnsi="Times New Roman" w:cs="Times New Roman"/>
                <w:sz w:val="24"/>
                <w:szCs w:val="24"/>
                <w:lang w:eastAsia="zh-CN"/>
              </w:rPr>
              <w:t>游</w:t>
            </w:r>
            <w:r>
              <w:rPr>
                <w:rFonts w:hint="default" w:ascii="Times New Roman" w:hAnsi="Times New Roman" w:cs="Times New Roman"/>
                <w:sz w:val="24"/>
                <w:szCs w:val="24"/>
                <w:lang w:val="en-US" w:eastAsia="zh-CN"/>
              </w:rPr>
              <w:t>直线距离</w:t>
            </w:r>
            <w:r>
              <w:rPr>
                <w:rFonts w:hint="default" w:ascii="Times New Roman" w:hAnsi="Times New Roman" w:cs="Times New Roman"/>
                <w:sz w:val="24"/>
                <w:szCs w:val="24"/>
                <w:lang w:eastAsia="zh-CN"/>
              </w:rPr>
              <w:t>约</w:t>
            </w: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lang w:val="en-US" w:eastAsia="zh-CN"/>
              </w:rPr>
              <w:t>km处，不属于其一、二级</w:t>
            </w:r>
            <w:r>
              <w:rPr>
                <w:rFonts w:hint="eastAsia" w:ascii="Times New Roman" w:hAnsi="Times New Roman" w:cs="Times New Roman"/>
                <w:sz w:val="24"/>
                <w:szCs w:val="24"/>
                <w:lang w:val="en-US" w:eastAsia="zh-CN"/>
              </w:rPr>
              <w:t>、准保护区。</w:t>
            </w:r>
            <w:r>
              <w:rPr>
                <w:rFonts w:hint="eastAsia" w:ascii="Times New Roman" w:hAnsi="Times New Roman" w:cs="Times New Roman"/>
                <w:color w:val="auto"/>
                <w:sz w:val="24"/>
                <w:szCs w:val="24"/>
                <w:lang w:val="en-US" w:eastAsia="zh-CN"/>
              </w:rPr>
              <w:t>本项目施工废水回用不外排；施工人员</w:t>
            </w:r>
            <w:r>
              <w:rPr>
                <w:rFonts w:hint="default"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highlight w:val="none"/>
              </w:rPr>
              <w:t>利用周边公共生活设施</w:t>
            </w:r>
            <w:r>
              <w:rPr>
                <w:rFonts w:hint="eastAsia" w:ascii="Times New Roman" w:hAnsi="Times New Roman" w:cs="Times New Roman"/>
                <w:color w:val="auto"/>
                <w:sz w:val="24"/>
                <w:szCs w:val="24"/>
                <w:lang w:val="en-US" w:eastAsia="zh-CN"/>
              </w:rPr>
              <w:t>处理。</w:t>
            </w:r>
            <w:r>
              <w:rPr>
                <w:rFonts w:hint="default" w:ascii="Times New Roman" w:hAnsi="Times New Roman" w:eastAsia="宋体" w:cs="Times New Roman"/>
                <w:sz w:val="24"/>
                <w:szCs w:val="24"/>
              </w:rPr>
              <w:t>项目营运期</w:t>
            </w:r>
            <w:r>
              <w:rPr>
                <w:rFonts w:hint="eastAsia" w:ascii="Times New Roman" w:hAnsi="Times New Roman" w:eastAsia="宋体" w:cs="Times New Roman"/>
                <w:sz w:val="24"/>
                <w:szCs w:val="24"/>
                <w:lang w:val="en-US" w:eastAsia="zh-CN"/>
              </w:rPr>
              <w:t>食堂废水经隔油处理后、实验室废水经中和处理后排入化粪池与生活污水一同处理达《污水综合排放标准》（GB8978-1996）中三级排放标准后排入市政污水管网。</w:t>
            </w:r>
            <w:r>
              <w:rPr>
                <w:rFonts w:hint="eastAsia" w:ascii="Times New Roman" w:hAnsi="Times New Roman" w:eastAsia="宋体" w:cs="Times New Roman"/>
                <w:sz w:val="24"/>
                <w:szCs w:val="24"/>
              </w:rPr>
              <w:t>故</w:t>
            </w:r>
            <w:r>
              <w:rPr>
                <w:rFonts w:hint="eastAsia"/>
                <w:sz w:val="24"/>
                <w:szCs w:val="24"/>
              </w:rPr>
              <w:t>本项目不会对饮用水源造成影响，本项目建设与饮用水水源地相容</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项目与集中式饮用水水源保护区关系表见下表。</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jc w:val="center"/>
              <w:textAlignment w:val="auto"/>
              <w:rPr>
                <w:rFonts w:hint="default" w:ascii="Times New Roman" w:hAnsi="Times New Roman" w:eastAsia="黑体" w:cs="Times New Roman"/>
                <w:bCs/>
                <w:color w:val="auto"/>
                <w:sz w:val="24"/>
                <w:szCs w:val="24"/>
                <w:highlight w:val="none"/>
              </w:rPr>
            </w:pPr>
            <w:r>
              <w:rPr>
                <w:rFonts w:hint="default" w:ascii="Times New Roman" w:hAnsi="Times New Roman" w:eastAsia="黑体" w:cs="Times New Roman"/>
                <w:color w:val="auto"/>
                <w:szCs w:val="21"/>
                <w:highlight w:val="none"/>
              </w:rPr>
              <w:t>表1-</w:t>
            </w:r>
            <w:r>
              <w:rPr>
                <w:rFonts w:hint="eastAsia" w:ascii="Times New Roman" w:hAnsi="Times New Roman" w:eastAsia="黑体" w:cs="Times New Roman"/>
                <w:color w:val="auto"/>
                <w:szCs w:val="21"/>
                <w:highlight w:val="none"/>
                <w:lang w:val="en-US" w:eastAsia="zh-CN"/>
              </w:rPr>
              <w:t>9</w:t>
            </w:r>
            <w:r>
              <w:rPr>
                <w:rFonts w:hint="default" w:ascii="Times New Roman" w:hAnsi="Times New Roman" w:eastAsia="黑体" w:cs="Times New Roman"/>
                <w:color w:val="auto"/>
                <w:szCs w:val="21"/>
                <w:highlight w:val="none"/>
              </w:rPr>
              <w:t xml:space="preserve">  本项目与集中式饮用水水源保护区关系表</w:t>
            </w:r>
          </w:p>
          <w:tbl>
            <w:tblPr>
              <w:tblStyle w:val="25"/>
              <w:tblW w:w="5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768"/>
              <w:gridCol w:w="1768"/>
              <w:gridCol w:w="1770"/>
              <w:gridCol w:w="128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取水点位置</w:t>
                  </w:r>
                </w:p>
              </w:tc>
              <w:tc>
                <w:tcPr>
                  <w:tcW w:w="10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一级保护区</w:t>
                  </w:r>
                </w:p>
              </w:tc>
              <w:tc>
                <w:tcPr>
                  <w:tcW w:w="10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二级保护区</w:t>
                  </w:r>
                </w:p>
              </w:tc>
              <w:tc>
                <w:tcPr>
                  <w:tcW w:w="103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eastAsia="宋体" w:cs="Times New Roman"/>
                      <w:b/>
                      <w:color w:val="auto"/>
                      <w:highlight w:val="none"/>
                      <w:lang w:val="en-US" w:eastAsia="zh-CN"/>
                    </w:rPr>
                  </w:pPr>
                  <w:r>
                    <w:rPr>
                      <w:rFonts w:hint="eastAsia" w:cs="Times New Roman"/>
                      <w:b/>
                      <w:color w:val="auto"/>
                      <w:highlight w:val="none"/>
                      <w:lang w:val="en-US" w:eastAsia="zh-CN"/>
                    </w:rPr>
                    <w:t>准保护区</w:t>
                  </w:r>
                </w:p>
              </w:tc>
              <w:tc>
                <w:tcPr>
                  <w:tcW w:w="74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项目排污口与取水点位置关系</w:t>
                  </w: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是否涉及饮用水源保护区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Cs/>
                      <w:color w:val="auto"/>
                      <w:highlight w:val="none"/>
                      <w:lang w:val="en-US"/>
                    </w:rPr>
                  </w:pPr>
                  <w:r>
                    <w:rPr>
                      <w:rFonts w:hint="default" w:ascii="Times New Roman" w:hAnsi="Times New Roman" w:cs="Times New Roman"/>
                      <w:color w:val="auto"/>
                      <w:sz w:val="21"/>
                      <w:szCs w:val="21"/>
                      <w:lang w:val="en-US" w:eastAsia="zh-CN"/>
                    </w:rPr>
                    <w:t>罗江镇州河山桥社区水源地</w:t>
                  </w:r>
                  <w:r>
                    <w:rPr>
                      <w:rFonts w:hint="default" w:ascii="Times New Roman" w:hAnsi="Times New Roman" w:cs="Times New Roman"/>
                      <w:sz w:val="21"/>
                      <w:szCs w:val="21"/>
                      <w:lang w:val="en-US" w:eastAsia="zh-CN"/>
                    </w:rPr>
                    <w:t>取水口</w:t>
                  </w:r>
                </w:p>
              </w:tc>
              <w:tc>
                <w:tcPr>
                  <w:tcW w:w="10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both"/>
                    <w:textAlignment w:val="auto"/>
                    <w:rPr>
                      <w:rFonts w:hint="default" w:ascii="Times New Roman" w:hAnsi="Times New Roman" w:cs="Times New Roman"/>
                      <w:bCs/>
                      <w:color w:val="auto"/>
                      <w:highlight w:val="none"/>
                    </w:rPr>
                  </w:pPr>
                  <w:r>
                    <w:rPr>
                      <w:rFonts w:hint="default" w:ascii="Times New Roman" w:hAnsi="Times New Roman" w:cs="Times New Roman"/>
                      <w:b w:val="0"/>
                      <w:bCs/>
                      <w:color w:val="auto"/>
                      <w:highlight w:val="none"/>
                    </w:rPr>
                    <w:t>以州河为水源</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从取水口</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灌子滩上口</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上溯1000米</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敖烈子）至下游100米（灌子滩下口</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的水域及其河岸两侧纵深各200米的陆域。</w:t>
                  </w:r>
                </w:p>
              </w:tc>
              <w:tc>
                <w:tcPr>
                  <w:tcW w:w="10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以州河为水源</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从取水口</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灌子滩上口</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上溯1000米</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敖烈子）至下游100米（灌子滩下口</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的水域及其河岸两侧纵深各200米的陆域。</w:t>
                  </w:r>
                </w:p>
              </w:tc>
              <w:tc>
                <w:tcPr>
                  <w:tcW w:w="103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从二级保护区上界牛滩弯（罗江电站</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起，上溯5000米</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水滩河）的水域及其河岸两侧纵深各200米的陆域。</w:t>
                  </w:r>
                </w:p>
              </w:tc>
              <w:tc>
                <w:tcPr>
                  <w:tcW w:w="74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left"/>
                    <w:textAlignment w:val="auto"/>
                    <w:rPr>
                      <w:rFonts w:hint="eastAsia"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下游直线距离约2.2</w:t>
                  </w:r>
                  <w:r>
                    <w:rPr>
                      <w:rFonts w:hint="default" w:ascii="Times New Roman" w:hAnsi="Times New Roman" w:cs="Times New Roman"/>
                      <w:bCs/>
                      <w:color w:val="auto"/>
                      <w:highlight w:val="none"/>
                    </w:rPr>
                    <w:t>km</w:t>
                  </w:r>
                  <w:r>
                    <w:rPr>
                      <w:rFonts w:hint="eastAsia" w:cs="Times New Roman"/>
                      <w:bCs/>
                      <w:color w:val="auto"/>
                      <w:highlight w:val="none"/>
                      <w:lang w:eastAsia="zh-CN"/>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否</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rPr>
                <w:rFonts w:ascii="宋体" w:hAnsi="宋体" w:eastAsia="宋体" w:cs="宋体"/>
                <w:kern w:val="0"/>
                <w:sz w:val="24"/>
                <w:szCs w:val="24"/>
                <w:lang w:val="en-US" w:eastAsia="zh-CN" w:bidi="ar"/>
              </w:rPr>
              <w:drawing>
                <wp:inline distT="0" distB="0" distL="114300" distR="114300">
                  <wp:extent cx="3971925" cy="3771900"/>
                  <wp:effectExtent l="0" t="0" r="9525" b="0"/>
                  <wp:docPr id="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IMG_256"/>
                          <pic:cNvPicPr>
                            <a:picLocks noChangeAspect="1"/>
                          </pic:cNvPicPr>
                        </pic:nvPicPr>
                        <pic:blipFill>
                          <a:blip r:embed="rId11"/>
                          <a:stretch>
                            <a:fillRect/>
                          </a:stretch>
                        </pic:blipFill>
                        <pic:spPr>
                          <a:xfrm>
                            <a:off x="0" y="0"/>
                            <a:ext cx="3971925" cy="37719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黑体"/>
                <w:kern w:val="2"/>
                <w:sz w:val="21"/>
                <w:szCs w:val="21"/>
                <w:lang w:val="en-US" w:eastAsia="zh-CN" w:bidi="ar-SA"/>
              </w:rPr>
            </w:pPr>
            <w:r>
              <w:rPr>
                <w:rFonts w:hint="default" w:ascii="Times New Roman" w:hAnsi="Times New Roman" w:eastAsia="黑体" w:cs="黑体"/>
                <w:kern w:val="2"/>
                <w:sz w:val="21"/>
                <w:szCs w:val="21"/>
                <w:lang w:val="en-US" w:eastAsia="zh-CN" w:bidi="ar-SA"/>
              </w:rPr>
              <w:t>图1-</w:t>
            </w:r>
            <w:r>
              <w:rPr>
                <w:rFonts w:hint="eastAsia" w:ascii="Times New Roman" w:hAnsi="Times New Roman" w:eastAsia="黑体" w:cs="黑体"/>
                <w:kern w:val="2"/>
                <w:sz w:val="21"/>
                <w:szCs w:val="21"/>
                <w:lang w:val="en-US" w:eastAsia="zh-CN" w:bidi="ar-SA"/>
              </w:rPr>
              <w:t>4</w:t>
            </w:r>
            <w:r>
              <w:rPr>
                <w:rFonts w:hint="default" w:ascii="Times New Roman" w:hAnsi="Times New Roman" w:eastAsia="黑体" w:cs="黑体"/>
                <w:kern w:val="2"/>
                <w:sz w:val="21"/>
                <w:szCs w:val="21"/>
                <w:lang w:val="en-US" w:eastAsia="zh-CN" w:bidi="ar-SA"/>
              </w:rPr>
              <w:t xml:space="preserve">  项目与周边饮用水源位置关系图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eastAsia="宋体"/>
                <w:b/>
                <w:bCs/>
                <w:color w:val="auto"/>
                <w:sz w:val="24"/>
                <w:szCs w:val="24"/>
                <w:lang w:val="en-US" w:eastAsia="zh-CN"/>
              </w:rPr>
            </w:pPr>
            <w:r>
              <w:rPr>
                <w:rFonts w:hint="eastAsia" w:ascii="Times New Roman" w:hAnsi="Times New Roman" w:eastAsia="宋体" w:cs="Times New Roman"/>
                <w:b/>
                <w:bCs/>
                <w:sz w:val="24"/>
                <w:szCs w:val="24"/>
                <w:lang w:val="en-US" w:eastAsia="zh-CN"/>
              </w:rPr>
              <w:t>8、</w:t>
            </w:r>
            <w:r>
              <w:rPr>
                <w:rFonts w:hint="eastAsia" w:eastAsia="宋体"/>
                <w:b/>
                <w:bCs/>
                <w:color w:val="auto"/>
                <w:sz w:val="24"/>
                <w:szCs w:val="24"/>
                <w:lang w:val="en-US" w:eastAsia="zh-CN"/>
              </w:rPr>
              <w:t>选址合理性及外环境相容性分析</w:t>
            </w:r>
          </w:p>
          <w:p>
            <w:pPr>
              <w:pStyle w:val="20"/>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（1）外环境关系</w:t>
            </w:r>
          </w:p>
          <w:p>
            <w:pPr>
              <w:pStyle w:val="20"/>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本项目位</w:t>
            </w:r>
            <w:r>
              <w:rPr>
                <w:rFonts w:hint="default" w:ascii="Times New Roman" w:hAnsi="Times New Roman" w:eastAsia="宋体" w:cs="Times New Roman"/>
                <w:b w:val="0"/>
                <w:bCs w:val="0"/>
                <w:sz w:val="24"/>
                <w:szCs w:val="24"/>
                <w:u w:val="none"/>
                <w:lang w:val="en-US" w:eastAsia="zh-CN"/>
              </w:rPr>
              <w:t>于</w:t>
            </w:r>
            <w:r>
              <w:rPr>
                <w:rFonts w:hint="eastAsia" w:ascii="Times New Roman" w:hAnsi="Times New Roman" w:eastAsia="宋体" w:cs="Times New Roman"/>
                <w:b w:val="0"/>
                <w:bCs w:val="0"/>
                <w:sz w:val="24"/>
                <w:szCs w:val="24"/>
                <w:u w:val="none"/>
                <w:lang w:val="en-US" w:eastAsia="zh-CN"/>
              </w:rPr>
              <w:t>达州市通</w:t>
            </w:r>
            <w:r>
              <w:rPr>
                <w:rFonts w:hint="eastAsia" w:ascii="Times New Roman" w:hAnsi="Times New Roman" w:eastAsia="宋体" w:cs="Times New Roman"/>
                <w:b w:val="0"/>
                <w:bCs w:val="0"/>
                <w:color w:val="auto"/>
                <w:kern w:val="0"/>
                <w:sz w:val="24"/>
                <w:szCs w:val="24"/>
                <w:lang w:val="en-US" w:eastAsia="zh-CN" w:bidi="ar"/>
              </w:rPr>
              <w:t>川区西南职教园区</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用地北临达宣快速通道，西临犀牛大道，南临精工街，东临6号路。距达州市中心约8km，距达州东站约8km，距达州站约11km，距达州河市机场约19km。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b w:val="0"/>
                <w:bCs w:val="0"/>
                <w:color w:val="auto"/>
                <w:kern w:val="0"/>
                <w:sz w:val="24"/>
                <w:szCs w:val="24"/>
                <w:lang w:val="en-US" w:eastAsia="zh-CN" w:bidi="ar"/>
              </w:rPr>
              <w:t>根据现场踏勘可知：</w:t>
            </w:r>
            <w:r>
              <w:rPr>
                <w:rFonts w:hint="default" w:ascii="Times New Roman" w:hAnsi="Times New Roman" w:eastAsia="宋体" w:cs="Times New Roman"/>
                <w:b w:val="0"/>
                <w:bCs w:val="0"/>
                <w:color w:val="auto"/>
                <w:kern w:val="0"/>
                <w:sz w:val="24"/>
                <w:szCs w:val="24"/>
                <w:lang w:val="en-US" w:eastAsia="zh-CN" w:bidi="ar"/>
              </w:rPr>
              <w:t>本项目北侧约</w:t>
            </w:r>
            <w:r>
              <w:rPr>
                <w:rFonts w:hint="eastAsia" w:ascii="Times New Roman" w:hAnsi="Times New Roman" w:cs="Times New Roman"/>
                <w:b w:val="0"/>
                <w:bCs w:val="0"/>
                <w:color w:val="auto"/>
                <w:kern w:val="0"/>
                <w:sz w:val="24"/>
                <w:szCs w:val="24"/>
                <w:lang w:val="en-US" w:eastAsia="zh-CN" w:bidi="ar"/>
              </w:rPr>
              <w:t>52</w:t>
            </w:r>
            <w:r>
              <w:rPr>
                <w:rFonts w:hint="default" w:ascii="Times New Roman" w:hAnsi="Times New Roman" w:eastAsia="宋体" w:cs="Times New Roman"/>
                <w:b w:val="0"/>
                <w:bCs w:val="0"/>
                <w:color w:val="auto"/>
                <w:kern w:val="0"/>
                <w:sz w:val="24"/>
                <w:szCs w:val="24"/>
                <w:lang w:val="en-US" w:eastAsia="zh-CN" w:bidi="ar"/>
              </w:rPr>
              <w:t>m为</w:t>
            </w:r>
            <w:r>
              <w:rPr>
                <w:rFonts w:hint="eastAsia"/>
                <w:sz w:val="24"/>
                <w:szCs w:val="24"/>
                <w:lang w:val="en-US" w:eastAsia="zh-CN"/>
              </w:rPr>
              <w:t>达州市农业科学研究院、347m为鸿鹄高级中学</w:t>
            </w:r>
            <w:r>
              <w:rPr>
                <w:rFonts w:hint="default" w:ascii="Times New Roman" w:hAnsi="Times New Roman" w:cs="Times New Roman"/>
                <w:b w:val="0"/>
                <w:bCs w:val="0"/>
                <w:color w:val="auto"/>
                <w:sz w:val="24"/>
                <w:szCs w:val="24"/>
                <w:lang w:val="en-US" w:eastAsia="zh-CN"/>
              </w:rPr>
              <w:t>；西北侧</w:t>
            </w:r>
            <w:r>
              <w:rPr>
                <w:rFonts w:hint="eastAsia" w:ascii="Times New Roman" w:hAnsi="Times New Roman" w:cs="Times New Roman"/>
                <w:b w:val="0"/>
                <w:bCs w:val="0"/>
                <w:color w:val="auto"/>
                <w:sz w:val="24"/>
                <w:szCs w:val="24"/>
                <w:lang w:val="en-US" w:eastAsia="zh-CN"/>
              </w:rPr>
              <w:t>为马鞍山；西侧</w:t>
            </w:r>
            <w:r>
              <w:rPr>
                <w:rFonts w:hint="default" w:ascii="Times New Roman" w:hAnsi="Times New Roman" w:cs="Times New Roman"/>
                <w:b w:val="0"/>
                <w:bCs w:val="0"/>
                <w:color w:val="auto"/>
                <w:sz w:val="24"/>
                <w:szCs w:val="24"/>
                <w:lang w:val="en-US" w:eastAsia="zh-CN"/>
              </w:rPr>
              <w:t>约</w:t>
            </w:r>
            <w:r>
              <w:rPr>
                <w:rFonts w:hint="eastAsia" w:ascii="Times New Roman" w:hAnsi="Times New Roman" w:cs="Times New Roman"/>
                <w:b w:val="0"/>
                <w:bCs w:val="0"/>
                <w:color w:val="auto"/>
                <w:sz w:val="24"/>
                <w:szCs w:val="24"/>
                <w:lang w:val="en-US" w:eastAsia="zh-CN"/>
              </w:rPr>
              <w:t>35</w:t>
            </w:r>
            <w:r>
              <w:rPr>
                <w:rFonts w:hint="default" w:ascii="Times New Roman" w:hAnsi="Times New Roman" w:cs="Times New Roman"/>
                <w:b w:val="0"/>
                <w:bCs w:val="0"/>
                <w:color w:val="auto"/>
                <w:sz w:val="24"/>
                <w:szCs w:val="24"/>
                <w:lang w:val="en-US" w:eastAsia="zh-CN"/>
              </w:rPr>
              <w:t>m为</w:t>
            </w:r>
            <w:r>
              <w:rPr>
                <w:rFonts w:hint="eastAsia"/>
                <w:sz w:val="24"/>
                <w:szCs w:val="24"/>
                <w:lang w:val="en-US" w:eastAsia="zh-CN"/>
              </w:rPr>
              <w:t>达州中医药职业学校（西校区）、445m为达州职业技术学院（新校区）；西南侧约54m为达职院、560m为达州技师学院；南侧约20m为达县职高；东南侧约48m为居民楼；东侧约281m为居民；东北侧为林地。</w:t>
            </w:r>
            <w:r>
              <w:rPr>
                <w:rFonts w:hint="default" w:ascii="Times New Roman" w:hAnsi="Times New Roman" w:eastAsia="宋体" w:cs="Times New Roman"/>
                <w:bCs/>
                <w:color w:val="auto"/>
                <w:sz w:val="24"/>
                <w:szCs w:val="24"/>
                <w:lang w:val="en-US" w:eastAsia="zh-CN"/>
              </w:rPr>
              <w:t>项目地表水</w:t>
            </w:r>
            <w:r>
              <w:rPr>
                <w:rFonts w:hint="eastAsia"/>
                <w:sz w:val="24"/>
                <w:szCs w:val="24"/>
                <w:lang w:val="en-US" w:eastAsia="zh-CN"/>
              </w:rPr>
              <w:t>子槽沟从北向南穿过本项目地块，州河</w:t>
            </w:r>
            <w:r>
              <w:rPr>
                <w:rFonts w:hint="default" w:ascii="Times New Roman" w:hAnsi="Times New Roman" w:eastAsia="宋体" w:cs="Times New Roman"/>
                <w:bCs/>
                <w:color w:val="auto"/>
                <w:sz w:val="24"/>
                <w:szCs w:val="24"/>
                <w:lang w:val="en-US" w:eastAsia="zh-CN"/>
              </w:rPr>
              <w:t>位于本项目</w:t>
            </w:r>
            <w:r>
              <w:rPr>
                <w:rFonts w:hint="eastAsia" w:ascii="Times New Roman" w:hAnsi="Times New Roman" w:cs="Times New Roman"/>
                <w:bCs/>
                <w:color w:val="auto"/>
                <w:sz w:val="24"/>
                <w:szCs w:val="24"/>
                <w:lang w:val="en-US" w:eastAsia="zh-CN"/>
              </w:rPr>
              <w:t>西</w:t>
            </w:r>
            <w:r>
              <w:rPr>
                <w:rFonts w:hint="default" w:ascii="Times New Roman" w:hAnsi="Times New Roman" w:eastAsia="宋体" w:cs="Times New Roman"/>
                <w:bCs/>
                <w:color w:val="auto"/>
                <w:sz w:val="24"/>
                <w:szCs w:val="24"/>
                <w:lang w:val="en-US" w:eastAsia="zh-CN"/>
              </w:rPr>
              <w:t>侧约</w:t>
            </w:r>
            <w:r>
              <w:rPr>
                <w:rFonts w:hint="eastAsia" w:ascii="Times New Roman" w:hAnsi="Times New Roman" w:cs="Times New Roman"/>
                <w:bCs/>
                <w:color w:val="auto"/>
                <w:sz w:val="24"/>
                <w:szCs w:val="24"/>
                <w:lang w:val="en-US" w:eastAsia="zh-CN"/>
              </w:rPr>
              <w:t>730</w:t>
            </w:r>
            <w:r>
              <w:rPr>
                <w:rFonts w:hint="default" w:ascii="Times New Roman" w:hAnsi="Times New Roman" w:eastAsia="宋体" w:cs="Times New Roman"/>
                <w:bCs/>
                <w:color w:val="auto"/>
                <w:sz w:val="24"/>
                <w:szCs w:val="24"/>
                <w:lang w:val="en-US" w:eastAsia="zh-CN"/>
              </w:rPr>
              <w:t>m处</w:t>
            </w:r>
            <w:r>
              <w:rPr>
                <w:rFonts w:hint="default" w:ascii="Times New Roman" w:hAnsi="Times New Roman" w:eastAsia="宋体" w:cs="Times New Roman"/>
                <w:bCs/>
                <w:color w:val="auto"/>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本项目外环境情况见下表，外环境关系图见附图。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color w:val="auto"/>
                <w:kern w:val="2"/>
                <w:sz w:val="21"/>
                <w:szCs w:val="21"/>
                <w:lang w:val="en-US" w:eastAsia="zh-CN" w:bidi="ar-SA"/>
              </w:rPr>
              <w:t>表</w:t>
            </w:r>
            <w:r>
              <w:rPr>
                <w:rFonts w:hint="eastAsia" w:ascii="Times New Roman" w:hAnsi="Times New Roman" w:eastAsia="黑体" w:cs="Times New Roman"/>
                <w:b w:val="0"/>
                <w:bCs w:val="0"/>
                <w:color w:val="auto"/>
                <w:kern w:val="2"/>
                <w:sz w:val="21"/>
                <w:szCs w:val="21"/>
                <w:lang w:val="en-US" w:eastAsia="zh-CN" w:bidi="ar-SA"/>
              </w:rPr>
              <w:t>1-10</w:t>
            </w:r>
            <w:r>
              <w:rPr>
                <w:rFonts w:hint="default" w:ascii="Times New Roman" w:hAnsi="Times New Roman" w:eastAsia="黑体" w:cs="Times New Roman"/>
                <w:b w:val="0"/>
                <w:bCs w:val="0"/>
                <w:color w:val="auto"/>
                <w:kern w:val="2"/>
                <w:sz w:val="21"/>
                <w:szCs w:val="21"/>
                <w:lang w:val="en-US" w:eastAsia="zh-CN" w:bidi="ar-SA"/>
              </w:rPr>
              <w:t xml:space="preserve">  </w:t>
            </w:r>
            <w:r>
              <w:rPr>
                <w:rFonts w:hint="eastAsia" w:ascii="Times New Roman" w:hAnsi="Times New Roman" w:eastAsia="黑体" w:cs="Times New Roman"/>
                <w:b w:val="0"/>
                <w:bCs w:val="0"/>
                <w:color w:val="auto"/>
                <w:kern w:val="2"/>
                <w:sz w:val="21"/>
                <w:szCs w:val="21"/>
                <w:lang w:val="en-US" w:eastAsia="zh-CN" w:bidi="ar-SA"/>
              </w:rPr>
              <w:t>项目外环境关系一览表</w:t>
            </w:r>
          </w:p>
          <w:tbl>
            <w:tblPr>
              <w:tblStyle w:val="25"/>
              <w:tblW w:w="75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24"/>
              <w:gridCol w:w="3000"/>
              <w:gridCol w:w="992"/>
              <w:gridCol w:w="960"/>
              <w:gridCol w:w="19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2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3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9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距离</w:t>
                  </w:r>
                </w:p>
              </w:tc>
              <w:tc>
                <w:tcPr>
                  <w:tcW w:w="19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达宣快速通道</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紧临</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一级公路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犀牛大道</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西侧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紧临</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pacing w:val="8"/>
                      <w:sz w:val="21"/>
                      <w:szCs w:val="21"/>
                    </w:rPr>
                    <w:t>城市主干道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精工街</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紧临</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pacing w:val="8"/>
                      <w:sz w:val="21"/>
                      <w:szCs w:val="21"/>
                    </w:rPr>
                    <w:t>城市次干道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6号路</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紧临</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pacing w:val="8"/>
                      <w:sz w:val="21"/>
                      <w:szCs w:val="21"/>
                    </w:rPr>
                    <w:t>城市次干道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达州市农业科学研究院</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52m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研究院，约102人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lang w:val="en-US" w:eastAsia="zh-CN"/>
                    </w:rPr>
                    <w:t>鸿鹄</w:t>
                  </w:r>
                  <w:r>
                    <w:rPr>
                      <w:rFonts w:hint="default" w:ascii="Times New Roman" w:hAnsi="Times New Roman" w:cs="Times New Roman"/>
                      <w:color w:val="auto"/>
                      <w:sz w:val="21"/>
                      <w:szCs w:val="21"/>
                      <w:lang w:val="en-US" w:eastAsia="zh-CN"/>
                    </w:rPr>
                    <w:t>高级中学</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347m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学校，约10000人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达州中医药职业学校（西校区）</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学校，约5300人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达州职业技术学院（新校区）</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445</w:t>
                  </w:r>
                </w:p>
              </w:tc>
              <w:tc>
                <w:tcPr>
                  <w:tcW w:w="195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学校，约17600人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达州职业技术学院（新校区）</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西南侧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54m</w:t>
                  </w:r>
                </w:p>
              </w:tc>
              <w:tc>
                <w:tcPr>
                  <w:tcW w:w="195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达州技师学院</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560m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学校，约3000人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达县职高</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学校，约8400人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居民楼</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东南侧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48m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居民，约1500人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13</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281m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居民，约10人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14</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子槽沟</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从北向南穿过本项目地块</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河流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15</w:t>
                  </w:r>
                </w:p>
              </w:tc>
              <w:tc>
                <w:tcPr>
                  <w:tcW w:w="300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州河</w:t>
                  </w:r>
                </w:p>
              </w:tc>
              <w:tc>
                <w:tcPr>
                  <w:tcW w:w="99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9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730m</w:t>
                  </w:r>
                </w:p>
              </w:tc>
              <w:tc>
                <w:tcPr>
                  <w:tcW w:w="195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河流</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（2）选址合理性分析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项目选址于达州市通川区西南职业教育园区</w:t>
            </w:r>
            <w:r>
              <w:rPr>
                <w:rFonts w:hint="eastAsia" w:ascii="Times New Roman" w:hAnsi="Times New Roman" w:eastAsia="宋体" w:cs="Times New Roman"/>
                <w:b w:val="0"/>
                <w:bCs w:val="0"/>
                <w:color w:val="auto"/>
                <w:kern w:val="0"/>
                <w:sz w:val="24"/>
                <w:szCs w:val="24"/>
                <w:lang w:val="en-US" w:eastAsia="zh-CN" w:bidi="ar"/>
              </w:rPr>
              <w:t>内</w:t>
            </w:r>
            <w:r>
              <w:rPr>
                <w:rFonts w:hint="default" w:ascii="Times New Roman" w:hAnsi="Times New Roman" w:eastAsia="宋体" w:cs="Times New Roman"/>
                <w:b w:val="0"/>
                <w:bCs w:val="0"/>
                <w:color w:val="auto"/>
                <w:kern w:val="0"/>
                <w:sz w:val="24"/>
                <w:szCs w:val="24"/>
                <w:lang w:val="en-US" w:eastAsia="zh-CN" w:bidi="ar"/>
              </w:rPr>
              <w:t>，选址合理性分析如下：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①本项目的建设已经过主管部门批准，取得了达州市发展和改革委员</w:t>
            </w:r>
            <w:r>
              <w:rPr>
                <w:rFonts w:hint="eastAsia" w:ascii="Times New Roman" w:hAnsi="Times New Roman" w:eastAsia="宋体" w:cs="Times New Roman"/>
                <w:b w:val="0"/>
                <w:bCs w:val="0"/>
                <w:color w:val="auto"/>
                <w:kern w:val="0"/>
                <w:sz w:val="24"/>
                <w:szCs w:val="24"/>
                <w:lang w:val="en-US" w:eastAsia="zh-CN" w:bidi="ar"/>
              </w:rPr>
              <w:t>会</w:t>
            </w:r>
            <w:r>
              <w:rPr>
                <w:rFonts w:hint="default" w:ascii="Times New Roman" w:hAnsi="Times New Roman" w:eastAsia="宋体" w:cs="Times New Roman"/>
                <w:b w:val="0"/>
                <w:bCs w:val="0"/>
                <w:color w:val="auto"/>
                <w:kern w:val="0"/>
                <w:sz w:val="24"/>
                <w:szCs w:val="24"/>
                <w:lang w:val="en-US" w:eastAsia="zh-CN" w:bidi="ar"/>
              </w:rPr>
              <w:t xml:space="preserve">出具的“关于达州中医药职业学院产教融合实训与研究基地项目（一期)建议书的批复” </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达市发改审</w:t>
            </w:r>
            <w:r>
              <w:rPr>
                <w:rFonts w:hint="eastAsia"/>
                <w:sz w:val="24"/>
                <w:szCs w:val="24"/>
              </w:rPr>
              <w:t>〔2022〕</w:t>
            </w:r>
            <w:r>
              <w:rPr>
                <w:rFonts w:hint="eastAsia" w:ascii="Times New Roman" w:hAnsi="Times New Roman" w:eastAsia="宋体" w:cs="Times New Roman"/>
                <w:b w:val="0"/>
                <w:bCs w:val="0"/>
                <w:color w:val="auto"/>
                <w:kern w:val="0"/>
                <w:sz w:val="24"/>
                <w:szCs w:val="24"/>
                <w:lang w:val="en-US" w:eastAsia="zh-CN" w:bidi="ar"/>
              </w:rPr>
              <w:t>7</w:t>
            </w:r>
            <w:r>
              <w:rPr>
                <w:rFonts w:hint="default" w:ascii="Times New Roman" w:hAnsi="Times New Roman" w:eastAsia="宋体" w:cs="Times New Roman"/>
                <w:b w:val="0"/>
                <w:bCs w:val="0"/>
                <w:color w:val="auto"/>
                <w:kern w:val="0"/>
                <w:sz w:val="24"/>
                <w:szCs w:val="24"/>
                <w:lang w:val="en-US" w:eastAsia="zh-CN" w:bidi="ar"/>
              </w:rPr>
              <w:t>4号</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且已</w:t>
            </w:r>
            <w:r>
              <w:rPr>
                <w:rFonts w:hint="default" w:ascii="Times New Roman" w:hAnsi="Times New Roman" w:eastAsia="宋体" w:cs="Times New Roman"/>
                <w:color w:val="auto"/>
                <w:kern w:val="0"/>
                <w:sz w:val="24"/>
                <w:szCs w:val="24"/>
                <w:lang w:val="en-US" w:eastAsia="zh-CN" w:bidi="ar"/>
              </w:rPr>
              <w:t>取得</w:t>
            </w:r>
            <w:r>
              <w:rPr>
                <w:rFonts w:hint="eastAsia" w:ascii="Times New Roman" w:hAnsi="Times New Roman" w:eastAsia="宋体" w:cs="Times New Roman"/>
                <w:color w:val="auto"/>
                <w:sz w:val="24"/>
                <w:szCs w:val="24"/>
                <w:highlight w:val="none"/>
                <w:lang w:val="en-US" w:eastAsia="zh-CN"/>
              </w:rPr>
              <w:t>达州市自然资源和规划局颁发的建设项目用地预审与选址意见书</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用字地511700202300002号），明确本项目符合国土空间用途管制要求。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②项目建设影响区范围不涉及特殊环境敏感目标。项目建设区属于规 划职业教育园区，评价范围内不涉及自然保护区、风景名胜区、基本农田、 饮用水源地保护区等特殊环境敏感目标。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③项目建设与周围环境相协调。本项目为学校类项目，本身也属于环境敏感目标。根据现场踏勘，项目拟建地块地表现状为</w:t>
            </w:r>
            <w:r>
              <w:rPr>
                <w:rFonts w:hint="eastAsia" w:ascii="Times New Roman" w:hAnsi="Times New Roman" w:eastAsia="宋体" w:cs="Times New Roman"/>
                <w:b w:val="0"/>
                <w:bCs w:val="0"/>
                <w:color w:val="auto"/>
                <w:sz w:val="24"/>
                <w:szCs w:val="24"/>
                <w:lang w:val="en-US" w:eastAsia="zh-CN"/>
              </w:rPr>
              <w:t>建设用地、耕地、其他农用地</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项目</w:t>
            </w:r>
            <w:r>
              <w:rPr>
                <w:rFonts w:hint="default" w:ascii="Times New Roman" w:hAnsi="Times New Roman" w:eastAsia="宋体" w:cs="Times New Roman"/>
                <w:b w:val="0"/>
                <w:bCs w:val="0"/>
                <w:color w:val="auto"/>
                <w:kern w:val="0"/>
                <w:sz w:val="24"/>
                <w:szCs w:val="24"/>
                <w:lang w:val="en-US" w:eastAsia="zh-CN" w:bidi="ar"/>
              </w:rPr>
              <w:t>北侧为</w:t>
            </w:r>
            <w:r>
              <w:rPr>
                <w:rFonts w:hint="eastAsia"/>
                <w:sz w:val="24"/>
                <w:szCs w:val="24"/>
                <w:lang w:val="en-US" w:eastAsia="zh-CN"/>
              </w:rPr>
              <w:t>达州市农业科学研究院、鸿福高级中学</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西侧为</w:t>
            </w:r>
            <w:r>
              <w:rPr>
                <w:rFonts w:hint="eastAsia"/>
                <w:sz w:val="24"/>
                <w:szCs w:val="24"/>
                <w:lang w:val="en-US" w:eastAsia="zh-CN"/>
              </w:rPr>
              <w:t>达州中医药职业学校（西校区）、达州职业技术学院（新校区）；西南侧为达职院、达州技师学院；南侧为达县职高；</w:t>
            </w:r>
            <w:r>
              <w:rPr>
                <w:rFonts w:hint="default" w:ascii="Times New Roman" w:hAnsi="Times New Roman" w:eastAsia="宋体" w:cs="Times New Roman"/>
                <w:b w:val="0"/>
                <w:bCs w:val="0"/>
                <w:color w:val="auto"/>
                <w:kern w:val="0"/>
                <w:sz w:val="24"/>
                <w:szCs w:val="24"/>
                <w:lang w:val="en-US" w:eastAsia="zh-CN" w:bidi="ar"/>
              </w:rPr>
              <w:t>与本项目性质相同</w:t>
            </w:r>
            <w:r>
              <w:rPr>
                <w:rFonts w:hint="eastAsia" w:ascii="Times New Roman" w:hAnsi="Times New Roman" w:eastAsia="宋体" w:cs="Times New Roman"/>
                <w:b w:val="0"/>
                <w:bCs w:val="0"/>
                <w:color w:val="auto"/>
                <w:kern w:val="0"/>
                <w:sz w:val="24"/>
                <w:szCs w:val="24"/>
                <w:lang w:val="en-US" w:eastAsia="zh-CN" w:bidi="ar"/>
              </w:rPr>
              <w:t>。项目</w:t>
            </w:r>
            <w:r>
              <w:rPr>
                <w:rFonts w:hint="default" w:ascii="Times New Roman" w:hAnsi="Times New Roman" w:cs="Times New Roman"/>
                <w:b w:val="0"/>
                <w:bCs w:val="0"/>
                <w:color w:val="auto"/>
                <w:sz w:val="24"/>
                <w:szCs w:val="24"/>
                <w:lang w:val="en-US" w:eastAsia="zh-CN"/>
              </w:rPr>
              <w:t>西北侧</w:t>
            </w:r>
            <w:r>
              <w:rPr>
                <w:rFonts w:hint="eastAsia" w:ascii="Times New Roman" w:hAnsi="Times New Roman" w:cs="Times New Roman"/>
                <w:b w:val="0"/>
                <w:bCs w:val="0"/>
                <w:color w:val="auto"/>
                <w:sz w:val="24"/>
                <w:szCs w:val="24"/>
                <w:lang w:val="en-US" w:eastAsia="zh-CN"/>
              </w:rPr>
              <w:t>为马鞍山；</w:t>
            </w:r>
            <w:r>
              <w:rPr>
                <w:rFonts w:hint="eastAsia"/>
                <w:sz w:val="24"/>
                <w:szCs w:val="24"/>
                <w:lang w:val="en-US" w:eastAsia="zh-CN"/>
              </w:rPr>
              <w:t>东南侧为居民楼；东侧为居民；东北侧为林地；</w:t>
            </w:r>
            <w:r>
              <w:rPr>
                <w:rFonts w:hint="default" w:ascii="Times New Roman" w:hAnsi="Times New Roman" w:eastAsia="宋体" w:cs="Times New Roman"/>
                <w:b w:val="0"/>
                <w:bCs w:val="0"/>
                <w:color w:val="auto"/>
                <w:kern w:val="0"/>
                <w:sz w:val="24"/>
                <w:szCs w:val="24"/>
                <w:lang w:val="en-US" w:eastAsia="zh-CN" w:bidi="ar"/>
              </w:rPr>
              <w:t>无工业企业。</w:t>
            </w:r>
            <w:r>
              <w:rPr>
                <w:rFonts w:hint="eastAsia" w:ascii="Times New Roman" w:hAnsi="Times New Roman" w:eastAsia="宋体" w:cs="Times New Roman"/>
                <w:b w:val="0"/>
                <w:bCs w:val="0"/>
                <w:color w:val="auto"/>
                <w:kern w:val="0"/>
                <w:sz w:val="24"/>
                <w:szCs w:val="24"/>
                <w:lang w:val="en-US" w:eastAsia="zh-CN" w:bidi="ar"/>
              </w:rPr>
              <w:t>同</w:t>
            </w:r>
            <w:r>
              <w:rPr>
                <w:rFonts w:hint="default" w:ascii="Times New Roman" w:hAnsi="Times New Roman" w:eastAsia="宋体" w:cs="Times New Roman"/>
                <w:b w:val="0"/>
                <w:bCs w:val="0"/>
                <w:color w:val="auto"/>
                <w:kern w:val="0"/>
                <w:sz w:val="24"/>
                <w:szCs w:val="24"/>
                <w:lang w:val="en-US" w:eastAsia="zh-CN" w:bidi="ar"/>
              </w:rPr>
              <w:t>时，项目建设区域周围为规划的教育科研用地，未来也不会有工业项目入驻。项目周围无重大环境制约因素，能够满足项目建设需求。</w:t>
            </w:r>
            <w:r>
              <w:rPr>
                <w:rFonts w:hint="default" w:ascii="Times New Roman" w:hAnsi="Times New Roman" w:cs="Times New Roman"/>
                <w:color w:val="auto"/>
                <w:sz w:val="24"/>
                <w:szCs w:val="24"/>
                <w:highlight w:val="none"/>
              </w:rPr>
              <w:t>根据主要环境影响和保护措施章节可知，本项目产生的废气、废水、噪声、固废在采取规范的污染物治理措施后，对区域环境不会产生明显影响，与外环境较为相容。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④项目拟建区域基础道路已建设完成，交通运输方便；且已建设有雨污水管网及污水处理设施，项目外排废水处理后可排入市政污水管网，确保废水得到有效收集处理，利于项目建设。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综上分析，本项目选址合理可行。</w:t>
            </w:r>
          </w:p>
          <w:p>
            <w:pPr>
              <w:pStyle w:val="24"/>
              <w:ind w:left="0" w:leftChars="0" w:firstLine="0" w:firstLineChars="0"/>
              <w:rPr>
                <w:rFonts w:hint="eastAsia" w:ascii="Times New Roman" w:hAnsi="Times New Roman" w:eastAsia="宋体" w:cs="Times New Roman"/>
                <w:color w:val="000000"/>
                <w:kern w:val="0"/>
                <w:sz w:val="24"/>
                <w:szCs w:val="24"/>
                <w:lang w:val="en-US" w:eastAsia="zh-CN" w:bidi="ar"/>
              </w:rPr>
            </w:pPr>
          </w:p>
          <w:p>
            <w:pPr>
              <w:rPr>
                <w:rFonts w:hint="eastAsia" w:ascii="Times New Roman" w:hAnsi="Times New Roman" w:eastAsia="宋体" w:cs="Times New Roman"/>
                <w:color w:val="000000"/>
                <w:kern w:val="0"/>
                <w:sz w:val="24"/>
                <w:szCs w:val="24"/>
                <w:lang w:val="en-US" w:eastAsia="zh-CN" w:bidi="ar"/>
              </w:rPr>
            </w:pPr>
          </w:p>
          <w:p>
            <w:pPr>
              <w:pStyle w:val="24"/>
              <w:rPr>
                <w:rFonts w:hint="eastAsia" w:ascii="Times New Roman" w:hAnsi="Times New Roman" w:eastAsia="宋体" w:cs="Times New Roman"/>
                <w:color w:val="000000"/>
                <w:kern w:val="0"/>
                <w:sz w:val="24"/>
                <w:szCs w:val="24"/>
                <w:lang w:val="en-US" w:eastAsia="zh-CN" w:bidi="ar"/>
              </w:rPr>
            </w:pPr>
          </w:p>
          <w:p>
            <w:pPr>
              <w:rPr>
                <w:rFonts w:hint="eastAsia" w:ascii="Times New Roman" w:hAnsi="Times New Roman" w:eastAsia="宋体" w:cs="Times New Roman"/>
                <w:color w:val="000000"/>
                <w:kern w:val="0"/>
                <w:sz w:val="24"/>
                <w:szCs w:val="24"/>
                <w:lang w:val="en-US" w:eastAsia="zh-CN" w:bidi="ar"/>
              </w:rPr>
            </w:pPr>
          </w:p>
          <w:p>
            <w:pPr>
              <w:pStyle w:val="24"/>
              <w:rPr>
                <w:rFonts w:hint="eastAsia"/>
                <w:lang w:val="en-US" w:eastAsia="zh-CN"/>
              </w:rPr>
            </w:pPr>
          </w:p>
          <w:p>
            <w:pPr>
              <w:pStyle w:val="20"/>
              <w:ind w:left="0" w:leftChars="0" w:firstLine="0" w:firstLineChars="0"/>
              <w:jc w:val="both"/>
              <w:rPr>
                <w:rFonts w:hint="default"/>
                <w:lang w:val="en-US" w:eastAsia="zh-CN"/>
              </w:rPr>
            </w:pPr>
          </w:p>
          <w:p>
            <w:pPr>
              <w:pStyle w:val="20"/>
              <w:rPr>
                <w:rFonts w:hint="default"/>
                <w:lang w:val="en-US" w:eastAsia="zh-CN"/>
              </w:rPr>
            </w:pPr>
          </w:p>
          <w:p>
            <w:pPr>
              <w:rPr>
                <w:rFonts w:hint="default"/>
                <w:lang w:val="en-US" w:eastAsia="zh-CN"/>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90" w:type="dxa"/>
            <w:noWrap w:val="0"/>
            <w:vAlign w:val="center"/>
          </w:tcPr>
          <w:p>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cs="宋体"/>
                <w:sz w:val="24"/>
                <w:szCs w:val="24"/>
              </w:rPr>
            </w:pPr>
            <w:r>
              <w:rPr>
                <w:rFonts w:hint="eastAsia" w:cs="宋体"/>
                <w:sz w:val="24"/>
                <w:szCs w:val="24"/>
              </w:rPr>
              <w:t>建设内容</w:t>
            </w:r>
          </w:p>
        </w:tc>
        <w:tc>
          <w:tcPr>
            <w:tcW w:w="8594"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达州中医药职业学院是经四川省人民政府批准、教育部备案，由达州市人民政府举办和主管的公办全日制普通高等职业院校。始建于2018年，位于</w:t>
            </w:r>
            <w:r>
              <w:rPr>
                <w:rFonts w:hint="eastAsia"/>
                <w:sz w:val="24"/>
                <w:szCs w:val="24"/>
                <w:lang w:eastAsia="zh-CN"/>
              </w:rPr>
              <w:t>达州市通川区西南职教园区。</w:t>
            </w:r>
            <w:r>
              <w:rPr>
                <w:rFonts w:hint="eastAsia" w:ascii="Times New Roman" w:hAnsi="Times New Roman" w:eastAsia="宋体" w:cs="Times New Roman"/>
                <w:sz w:val="24"/>
                <w:szCs w:val="24"/>
                <w:u w:val="none"/>
                <w:lang w:val="en-US" w:eastAsia="zh-CN"/>
              </w:rPr>
              <w:t>设有</w:t>
            </w:r>
            <w:r>
              <w:rPr>
                <w:rFonts w:hint="default" w:ascii="Times New Roman" w:hAnsi="Times New Roman" w:eastAsia="宋体" w:cs="Times New Roman"/>
                <w:sz w:val="24"/>
                <w:szCs w:val="24"/>
                <w:u w:val="none"/>
                <w:lang w:val="en-US" w:eastAsia="zh-CN"/>
              </w:rPr>
              <w:t>护理、中药学、中医康复技术、中药材生产与加工、康复治疗技术、医学检验技术、医学影像技术、药学、助产、中医学、针灸推拿、医学美容技术等12个高职专业和中医、护理、药剂、中药、中医康复技术、中医养生保健等6个中职专业</w:t>
            </w:r>
            <w:r>
              <w:rPr>
                <w:rFonts w:hint="eastAsia" w:ascii="Times New Roman" w:hAnsi="Times New Roman" w:eastAsia="宋体" w:cs="Times New Roman"/>
                <w:sz w:val="24"/>
                <w:szCs w:val="24"/>
                <w:u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目前已有</w:t>
            </w:r>
            <w:r>
              <w:rPr>
                <w:rFonts w:hint="eastAsia" w:ascii="Times New Roman" w:hAnsi="Times New Roman" w:eastAsia="宋体" w:cs="Times New Roman"/>
                <w:sz w:val="24"/>
                <w:szCs w:val="24"/>
                <w:u w:val="none"/>
                <w:lang w:val="en-US" w:eastAsia="zh-CN"/>
              </w:rPr>
              <w:t>达州中医药职业学院（</w:t>
            </w:r>
            <w:r>
              <w:rPr>
                <w:rFonts w:hint="eastAsia" w:ascii="Times New Roman" w:hAnsi="Times New Roman" w:eastAsia="宋体" w:cs="Times New Roman"/>
                <w:sz w:val="24"/>
                <w:szCs w:val="24"/>
                <w:lang w:val="en-US" w:eastAsia="zh-CN"/>
              </w:rPr>
              <w:t>西校区），占地285亩，已招生6300余人</w:t>
            </w:r>
            <w:r>
              <w:rPr>
                <w:rFonts w:hint="eastAsia" w:ascii="Times New Roman" w:hAnsi="Times New Roman" w:eastAsia="宋体" w:cs="Times New Roman"/>
                <w:sz w:val="24"/>
                <w:szCs w:val="24"/>
                <w:u w:val="none"/>
                <w:lang w:val="en-US" w:eastAsia="zh-CN"/>
              </w:rPr>
              <w:t>。</w:t>
            </w:r>
            <w:r>
              <w:rPr>
                <w:rFonts w:hint="eastAsia" w:ascii="Times New Roman" w:hAnsi="Times New Roman" w:eastAsia="宋体" w:cs="Times New Roman"/>
                <w:sz w:val="24"/>
                <w:szCs w:val="24"/>
                <w:lang w:val="en-US" w:eastAsia="zh-CN"/>
              </w:rPr>
              <w:t>现有教学楼、图书电教楼、实验实训室、食堂、学生宿舍等建筑面积7.11万m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，教学科研设备近5000万元，专业实验室35个，图书20多万册，标准多媒体教室和语音室82个，中医药文化馆、标准运动场、中医药休闲文化广场各1个。</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lang w:val="en-US" w:eastAsia="zh-CN"/>
              </w:rPr>
              <w:t>由于</w:t>
            </w:r>
            <w:r>
              <w:rPr>
                <w:rFonts w:hint="eastAsia" w:ascii="Times New Roman" w:hAnsi="Times New Roman" w:eastAsia="宋体" w:cs="Times New Roman"/>
                <w:sz w:val="24"/>
                <w:szCs w:val="24"/>
                <w:u w:val="none"/>
                <w:lang w:val="en-US" w:eastAsia="zh-CN"/>
              </w:rPr>
              <w:t>达州中医药职业学院（</w:t>
            </w:r>
            <w:r>
              <w:rPr>
                <w:rFonts w:hint="eastAsia" w:ascii="Times New Roman" w:hAnsi="Times New Roman" w:eastAsia="宋体" w:cs="Times New Roman"/>
                <w:sz w:val="24"/>
                <w:szCs w:val="24"/>
                <w:lang w:val="en-US" w:eastAsia="zh-CN"/>
              </w:rPr>
              <w:t>西校区）现有规模、校舍面积、教学设施等方面达不到国家标准，这些都严重影响了学校的发展与教学、医疗、科研工作的正常进行，以及学校教学质量的进一步提高。为进一步实现人才各阶段协同培养、贯通培养和创新培养。</w:t>
            </w:r>
            <w:r>
              <w:rPr>
                <w:rFonts w:hint="eastAsia"/>
                <w:color w:val="000000"/>
                <w:sz w:val="24"/>
                <w:szCs w:val="24"/>
                <w:shd w:val="clear" w:color="auto" w:fill="FFFFFF"/>
              </w:rPr>
              <w:t>达州国资</w:t>
            </w:r>
            <w:r>
              <w:rPr>
                <w:rFonts w:hint="eastAsia"/>
                <w:color w:val="000000"/>
                <w:sz w:val="24"/>
                <w:szCs w:val="24"/>
                <w:shd w:val="clear" w:color="auto" w:fill="FFFFFF"/>
                <w:lang w:eastAsia="zh-CN"/>
              </w:rPr>
              <w:t>工程建设有限</w:t>
            </w:r>
            <w:r>
              <w:rPr>
                <w:rFonts w:hint="eastAsia"/>
                <w:color w:val="000000"/>
                <w:sz w:val="24"/>
                <w:szCs w:val="24"/>
                <w:shd w:val="clear" w:color="auto" w:fill="FFFFFF"/>
              </w:rPr>
              <w:t>公司</w:t>
            </w:r>
            <w:r>
              <w:rPr>
                <w:rFonts w:hint="default" w:ascii="Times New Roman" w:hAnsi="Times New Roman" w:cs="Times New Roman"/>
                <w:sz w:val="24"/>
                <w:szCs w:val="24"/>
                <w:lang w:val="en-US" w:eastAsia="zh-CN"/>
              </w:rPr>
              <w:t>拟投资</w:t>
            </w:r>
            <w:r>
              <w:rPr>
                <w:rFonts w:hint="eastAsia"/>
                <w:sz w:val="24"/>
                <w:szCs w:val="24"/>
                <w:lang w:val="en-US" w:eastAsia="zh-CN"/>
              </w:rPr>
              <w:t>251604.9</w:t>
            </w:r>
            <w:r>
              <w:rPr>
                <w:rFonts w:hint="default" w:ascii="Times New Roman" w:hAnsi="Times New Roman" w:cs="Times New Roman"/>
                <w:sz w:val="24"/>
                <w:szCs w:val="24"/>
                <w:lang w:val="en-US" w:eastAsia="zh-CN"/>
              </w:rPr>
              <w:t>万元新建</w:t>
            </w:r>
            <w:r>
              <w:rPr>
                <w:rFonts w:hint="eastAsia" w:ascii="Times New Roman" w:hAnsi="Times New Roman" w:eastAsia="宋体" w:cs="Times New Roman"/>
                <w:sz w:val="24"/>
                <w:szCs w:val="24"/>
                <w:lang w:val="en-US" w:eastAsia="zh-CN"/>
              </w:rPr>
              <w:t>达州中医药职业学院产教融合实训与研究基地项目（一期）。从而满足教育部规定的校园用地空间的要求，计划达到10000人的招生规模，在此基础之上逐步调整、完善现有学科建设需求。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同时，受本项目规划建筑布局及</w:t>
            </w:r>
            <w:r>
              <w:rPr>
                <w:rFonts w:hint="eastAsia"/>
                <w:sz w:val="24"/>
                <w:szCs w:val="24"/>
                <w:lang w:eastAsia="zh-CN"/>
              </w:rPr>
              <w:t>达州市通川区西南职教园区</w:t>
            </w:r>
            <w:r>
              <w:rPr>
                <w:rFonts w:hint="eastAsia" w:ascii="Times New Roman" w:hAnsi="Times New Roman" w:eastAsia="宋体" w:cs="Times New Roman"/>
                <w:sz w:val="24"/>
                <w:szCs w:val="24"/>
                <w:lang w:val="en-US" w:eastAsia="zh-CN"/>
              </w:rPr>
              <w:t>北部基础设施6号路变更设计影响，</w:t>
            </w:r>
            <w:r>
              <w:rPr>
                <w:rFonts w:hint="eastAsia" w:ascii="Times New Roman" w:hAnsi="Times New Roman" w:eastAsia="宋体" w:cs="Times New Roman"/>
                <w:color w:val="auto"/>
                <w:sz w:val="24"/>
                <w:szCs w:val="24"/>
                <w:lang w:val="en-US" w:eastAsia="zh-CN"/>
              </w:rPr>
              <w:t>原河道部分区域与规划校区宿舍位置重叠，</w:t>
            </w:r>
            <w:r>
              <w:rPr>
                <w:rFonts w:hint="eastAsia" w:ascii="Times New Roman" w:hAnsi="Times New Roman" w:eastAsia="宋体" w:cs="Times New Roman"/>
                <w:sz w:val="24"/>
                <w:szCs w:val="24"/>
                <w:lang w:val="en-US" w:eastAsia="zh-CN"/>
              </w:rPr>
              <w:t>为保障校区内河道行洪安全，兼顾6号路建设实施情况，需要对该段河道进行改道，因此将流经校区部分河段纳入本项目一体实施。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ascii="Times New Roman" w:hAnsi="Times New Roman" w:cs="Times New Roman"/>
                <w:sz w:val="24"/>
                <w:szCs w:val="24"/>
              </w:rPr>
              <w:t>按照《中华人民共和国环境保护法》《中华人民共和国环境影响评价法》以及国务院令第682号《建设项目环境保护管理条例》的要求，本项目需进行环境影响评价。依据《建设项目环境影响评价分类管理名录（2021年版）》中“</w:t>
            </w:r>
            <w:r>
              <w:rPr>
                <w:rFonts w:hint="eastAsia" w:ascii="Times New Roman" w:hAnsi="Times New Roman" w:eastAsia="宋体" w:cs="Times New Roman"/>
                <w:color w:val="000000"/>
                <w:kern w:val="0"/>
                <w:sz w:val="24"/>
                <w:szCs w:val="24"/>
                <w:lang w:val="en-US" w:eastAsia="zh-CN" w:bidi="ar"/>
              </w:rPr>
              <w:t>五十</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社会事业与服务业</w:t>
            </w:r>
            <w:r>
              <w:rPr>
                <w:sz w:val="24"/>
                <w:szCs w:val="24"/>
              </w:rPr>
              <w:t>——</w:t>
            </w:r>
            <w:r>
              <w:rPr>
                <w:rFonts w:hint="eastAsia" w:ascii="Times New Roman" w:hAnsi="Times New Roman" w:eastAsia="宋体" w:cs="Times New Roman"/>
                <w:color w:val="000000"/>
                <w:kern w:val="0"/>
                <w:sz w:val="24"/>
                <w:szCs w:val="24"/>
                <w:lang w:val="en-US" w:eastAsia="zh-CN" w:bidi="ar"/>
              </w:rPr>
              <w:t>110</w:t>
            </w:r>
            <w:r>
              <w:rPr>
                <w:rFonts w:hint="default" w:ascii="Times New Roman" w:hAnsi="Times New Roman" w:eastAsia="宋体" w:cs="Times New Roman"/>
                <w:color w:val="000000"/>
                <w:kern w:val="0"/>
                <w:sz w:val="24"/>
                <w:szCs w:val="24"/>
                <w:lang w:val="en-US" w:eastAsia="zh-CN" w:bidi="ar"/>
              </w:rPr>
              <w:t xml:space="preserve"> </w:t>
            </w:r>
            <w:r>
              <w:rPr>
                <w:rFonts w:ascii="宋体" w:hAnsi="宋体" w:eastAsia="宋体" w:cs="宋体"/>
                <w:spacing w:val="8"/>
                <w:sz w:val="24"/>
                <w:szCs w:val="24"/>
              </w:rPr>
              <w:t>学校</w:t>
            </w:r>
            <w:r>
              <w:rPr>
                <w:rFonts w:ascii="宋体" w:hAnsi="宋体" w:eastAsia="宋体" w:cs="宋体"/>
                <w:spacing w:val="4"/>
                <w:sz w:val="24"/>
                <w:szCs w:val="24"/>
              </w:rPr>
              <w:t>、福利院、养老院 (建筑面</w:t>
            </w:r>
            <w:r>
              <w:rPr>
                <w:rFonts w:ascii="Times New Roman" w:hAnsi="Times New Roman" w:eastAsia="Times New Roman" w:cs="Times New Roman"/>
                <w:spacing w:val="10"/>
                <w:sz w:val="24"/>
                <w:szCs w:val="24"/>
              </w:rPr>
              <w:t xml:space="preserve">5000 </w:t>
            </w:r>
            <w:r>
              <w:rPr>
                <w:rFonts w:ascii="宋体" w:hAnsi="宋体" w:eastAsia="宋体" w:cs="宋体"/>
                <w:spacing w:val="10"/>
                <w:sz w:val="24"/>
                <w:szCs w:val="24"/>
              </w:rPr>
              <w:t>平方米及以上的)</w:t>
            </w:r>
            <w:r>
              <w:rPr>
                <w:sz w:val="24"/>
                <w:szCs w:val="24"/>
              </w:rPr>
              <w:t>——</w:t>
            </w:r>
            <w:r>
              <w:rPr>
                <w:rFonts w:ascii="宋体" w:hAnsi="宋体" w:eastAsia="宋体" w:cs="宋体"/>
                <w:spacing w:val="2"/>
                <w:sz w:val="24"/>
                <w:szCs w:val="24"/>
              </w:rPr>
              <w:t>新建涉及环境敏感区的</w:t>
            </w:r>
            <w:r>
              <w:rPr>
                <w:rFonts w:hint="eastAsia" w:ascii="宋体" w:hAnsi="宋体" w:eastAsia="宋体" w:cs="宋体"/>
                <w:spacing w:val="2"/>
                <w:sz w:val="24"/>
                <w:szCs w:val="24"/>
                <w:lang w:eastAsia="zh-CN"/>
              </w:rPr>
              <w:t>；</w:t>
            </w:r>
            <w:r>
              <w:rPr>
                <w:rFonts w:ascii="宋体" w:hAnsi="宋体" w:eastAsia="宋体" w:cs="宋体"/>
                <w:spacing w:val="2"/>
                <w:sz w:val="24"/>
                <w:szCs w:val="24"/>
              </w:rPr>
              <w:t>有化学、生物实验室的学校</w:t>
            </w:r>
            <w:r>
              <w:rPr>
                <w:rFonts w:hint="eastAsia" w:ascii="宋体" w:hAnsi="宋体" w:eastAsia="宋体" w:cs="宋体"/>
                <w:spacing w:val="2"/>
                <w:sz w:val="24"/>
                <w:szCs w:val="24"/>
                <w:lang w:eastAsia="zh-CN"/>
              </w:rPr>
              <w:t>。</w:t>
            </w:r>
            <w:r>
              <w:rPr>
                <w:rStyle w:val="65"/>
                <w:rFonts w:hint="default" w:ascii="Times New Roman" w:hAnsi="Times New Roman" w:eastAsia="宋体" w:cs="Times New Roman"/>
                <w:color w:val="auto"/>
                <w:sz w:val="24"/>
                <w:szCs w:val="24"/>
                <w:lang w:eastAsia="zh-CN"/>
              </w:rPr>
              <w:t>五十一</w:t>
            </w:r>
            <w:r>
              <w:rPr>
                <w:rStyle w:val="65"/>
                <w:rFonts w:hint="default" w:ascii="Times New Roman" w:hAnsi="Times New Roman" w:cs="Times New Roman"/>
                <w:color w:val="auto"/>
                <w:sz w:val="24"/>
                <w:szCs w:val="24"/>
              </w:rPr>
              <w:t>、</w:t>
            </w:r>
            <w:r>
              <w:rPr>
                <w:rStyle w:val="65"/>
                <w:rFonts w:hint="default" w:ascii="Times New Roman" w:hAnsi="Times New Roman" w:eastAsia="宋体" w:cs="Times New Roman"/>
                <w:color w:val="auto"/>
                <w:sz w:val="24"/>
                <w:szCs w:val="24"/>
                <w:lang w:eastAsia="zh-CN"/>
              </w:rPr>
              <w:t>水利</w:t>
            </w:r>
            <w:r>
              <w:rPr>
                <w:sz w:val="24"/>
                <w:szCs w:val="24"/>
              </w:rPr>
              <w:t>——</w:t>
            </w:r>
            <w:r>
              <w:rPr>
                <w:rStyle w:val="65"/>
                <w:rFonts w:hint="default" w:ascii="Times New Roman" w:hAnsi="Times New Roman" w:eastAsia="宋体" w:cs="Times New Roman"/>
                <w:color w:val="auto"/>
                <w:sz w:val="24"/>
                <w:szCs w:val="24"/>
                <w:lang w:val="en-US" w:eastAsia="zh-CN"/>
              </w:rPr>
              <w:t>12</w:t>
            </w:r>
            <w:r>
              <w:rPr>
                <w:rStyle w:val="65"/>
                <w:rFonts w:hint="eastAsia" w:ascii="Times New Roman" w:hAnsi="Times New Roman" w:eastAsia="宋体" w:cs="Times New Roman"/>
                <w:color w:val="auto"/>
                <w:sz w:val="24"/>
                <w:szCs w:val="24"/>
                <w:lang w:val="en-US" w:eastAsia="zh-CN"/>
              </w:rPr>
              <w:t>8河湖整治（不含农村塘堰、水渠）</w:t>
            </w:r>
            <w:r>
              <w:rPr>
                <w:sz w:val="24"/>
                <w:szCs w:val="24"/>
              </w:rPr>
              <w:t>——</w:t>
            </w:r>
            <w:r>
              <w:rPr>
                <w:rFonts w:hint="eastAsia"/>
                <w:sz w:val="24"/>
                <w:szCs w:val="24"/>
                <w:lang w:val="en-US" w:eastAsia="zh-CN"/>
              </w:rPr>
              <w:t>其他</w:t>
            </w:r>
            <w:r>
              <w:rPr>
                <w:rFonts w:hint="default" w:ascii="Times New Roman" w:hAnsi="Times New Roman" w:cs="Times New Roman"/>
                <w:sz w:val="24"/>
                <w:szCs w:val="24"/>
              </w:rPr>
              <w:t>”的划分，项目环境影响评价形式为报告表。为此，</w:t>
            </w:r>
            <w:r>
              <w:rPr>
                <w:rFonts w:hint="eastAsia"/>
                <w:color w:val="000000"/>
                <w:sz w:val="24"/>
                <w:szCs w:val="24"/>
                <w:shd w:val="clear" w:color="auto" w:fill="FFFFFF"/>
              </w:rPr>
              <w:t>达州国资</w:t>
            </w:r>
            <w:r>
              <w:rPr>
                <w:rFonts w:hint="eastAsia"/>
                <w:color w:val="000000"/>
                <w:sz w:val="24"/>
                <w:szCs w:val="24"/>
                <w:shd w:val="clear" w:color="auto" w:fill="FFFFFF"/>
                <w:lang w:eastAsia="zh-CN"/>
              </w:rPr>
              <w:t>工程建设有限</w:t>
            </w:r>
            <w:r>
              <w:rPr>
                <w:rFonts w:hint="eastAsia"/>
                <w:color w:val="000000"/>
                <w:sz w:val="24"/>
                <w:szCs w:val="24"/>
                <w:shd w:val="clear" w:color="auto" w:fill="FFFFFF"/>
              </w:rPr>
              <w:t>公司</w:t>
            </w:r>
            <w:r>
              <w:rPr>
                <w:rFonts w:hint="default" w:ascii="Times New Roman" w:hAnsi="Times New Roman" w:cs="Times New Roman"/>
                <w:sz w:val="24"/>
                <w:szCs w:val="24"/>
              </w:rPr>
              <w:t>特委托</w:t>
            </w:r>
            <w:r>
              <w:rPr>
                <w:rFonts w:hint="default" w:ascii="Times New Roman" w:hAnsi="Times New Roman" w:eastAsia="宋体" w:cs="Times New Roman"/>
                <w:color w:val="auto"/>
                <w:sz w:val="24"/>
                <w:szCs w:val="24"/>
                <w:highlight w:val="none"/>
                <w:lang w:val="en-US" w:eastAsia="zh-CN"/>
              </w:rPr>
              <w:t>我</w:t>
            </w:r>
            <w:r>
              <w:rPr>
                <w:rFonts w:hint="default" w:ascii="Times New Roman" w:hAnsi="Times New Roman"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lang w:val="en-US" w:eastAsia="zh-CN"/>
              </w:rPr>
              <w:t>四川恒延科技咨询有限公司</w:t>
            </w:r>
            <w:r>
              <w:rPr>
                <w:rFonts w:hint="default" w:ascii="Times New Roman" w:hAnsi="Times New Roman" w:cs="Times New Roman"/>
                <w:sz w:val="24"/>
                <w:szCs w:val="24"/>
              </w:rPr>
              <w:t>进行环境影响评价工作。我公司接受委托后，即派相关技术人员到项目现场进行实地踏勘和资料收集，并按照有关技术规范和四川省生态环境厅的有关规定，编制该项目环境影响报告表，供生态环境主管部门审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b/>
                <w:bCs/>
                <w:lang w:val="en-US" w:eastAsia="zh-CN"/>
              </w:rPr>
            </w:pPr>
            <w:r>
              <w:rPr>
                <w:rFonts w:hint="eastAsia"/>
                <w:b/>
                <w:bCs/>
                <w:sz w:val="24"/>
                <w:szCs w:val="24"/>
                <w:lang w:val="en-US" w:eastAsia="zh-CN"/>
              </w:rPr>
              <w:t>2、项目基本情况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r>
              <w:rPr>
                <w:rFonts w:hint="eastAsia"/>
                <w:sz w:val="24"/>
                <w:szCs w:val="24"/>
                <w:lang w:val="en-GB" w:eastAsia="zh-CN"/>
              </w:rPr>
              <w:t>达州中医药职业学院产教融合实训与研究基地项目（一期）</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lang w:val="en-US" w:eastAsia="zh-CN"/>
              </w:rPr>
            </w:pPr>
            <w:r>
              <w:rPr>
                <w:rFonts w:hint="eastAsia" w:ascii="宋体" w:hAnsi="宋体" w:eastAsia="宋体" w:cs="宋体"/>
                <w:sz w:val="24"/>
                <w:szCs w:val="24"/>
                <w:lang w:val="en-US" w:eastAsia="zh-CN"/>
              </w:rPr>
              <w:t>建设单位：</w:t>
            </w:r>
            <w:r>
              <w:rPr>
                <w:rFonts w:hint="eastAsia" w:ascii="宋体" w:hAnsi="宋体" w:eastAsia="宋体" w:cs="宋体"/>
                <w:sz w:val="24"/>
                <w:szCs w:val="24"/>
                <w:u w:val="none"/>
                <w:lang w:val="en-US" w:eastAsia="zh-CN"/>
              </w:rPr>
              <w:t>达州国资工程建设有限公司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建设性质：新建</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lang w:val="en-US" w:eastAsia="zh-CN"/>
              </w:rPr>
              <w:t>建设地点：</w:t>
            </w:r>
            <w:r>
              <w:rPr>
                <w:rFonts w:hint="eastAsia" w:ascii="宋体" w:hAnsi="宋体" w:eastAsia="宋体" w:cs="宋体"/>
                <w:sz w:val="24"/>
                <w:szCs w:val="24"/>
                <w:u w:val="none"/>
                <w:lang w:val="en-US" w:eastAsia="zh-CN"/>
              </w:rPr>
              <w:t>达州市通川区西南职教园区</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项目总投资：</w:t>
            </w:r>
            <w:r>
              <w:rPr>
                <w:rFonts w:hint="default" w:ascii="Times New Roman" w:hAnsi="Times New Roman" w:cs="Times New Roman"/>
                <w:sz w:val="24"/>
                <w:szCs w:val="24"/>
                <w:lang w:val="en-US" w:eastAsia="zh-CN"/>
              </w:rPr>
              <w:t>251604.9</w:t>
            </w:r>
            <w:r>
              <w:rPr>
                <w:rFonts w:hint="default" w:ascii="Times New Roman" w:hAnsi="Times New Roman" w:eastAsia="宋体" w:cs="Times New Roman"/>
                <w:sz w:val="24"/>
                <w:szCs w:val="24"/>
                <w:lang w:val="en-US" w:eastAsia="zh-CN"/>
              </w:rPr>
              <w:t>万元</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学校人员规模</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规划在校学生10000人、教师630人、后勤人员40人</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工作制度：年教学期为280天（含周末）</w:t>
            </w:r>
          </w:p>
          <w:p>
            <w:pPr>
              <w:keepNext w:val="0"/>
              <w:keepLines w:val="0"/>
              <w:pageBreakBefore w:val="0"/>
              <w:widowControl w:val="0"/>
              <w:kinsoku/>
              <w:wordWrap/>
              <w:overflowPunct/>
              <w:topLinePunct w:val="0"/>
              <w:autoSpaceDE/>
              <w:autoSpaceDN/>
              <w:bidi w:val="0"/>
              <w:adjustRightInd/>
              <w:snapToGrid/>
              <w:spacing w:line="360" w:lineRule="auto"/>
              <w:ind w:firstLine="518" w:firstLineChars="215"/>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bCs w:val="0"/>
                <w:sz w:val="24"/>
                <w:szCs w:val="24"/>
                <w:lang w:val="en-US" w:eastAsia="zh-CN"/>
              </w:rPr>
              <w:t>3、</w:t>
            </w:r>
            <w:r>
              <w:rPr>
                <w:rFonts w:hint="default" w:ascii="Times New Roman" w:hAnsi="Times New Roman" w:eastAsia="宋体" w:cs="Times New Roman"/>
                <w:b/>
                <w:bCs w:val="0"/>
                <w:sz w:val="24"/>
                <w:szCs w:val="24"/>
                <w:lang w:val="en-US" w:eastAsia="zh-CN"/>
              </w:rPr>
              <w:t>建设内容</w:t>
            </w:r>
            <w:r>
              <w:rPr>
                <w:rFonts w:hint="eastAsia" w:ascii="Times New Roman" w:hAnsi="Times New Roman" w:eastAsia="宋体" w:cs="Times New Roman"/>
                <w:b/>
                <w:bCs w:val="0"/>
                <w:sz w:val="24"/>
                <w:szCs w:val="24"/>
                <w:lang w:val="en-US" w:eastAsia="zh-CN"/>
              </w:rPr>
              <w:t>及规模</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15"/>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Cs/>
                <w:kern w:val="2"/>
                <w:sz w:val="24"/>
                <w:szCs w:val="24"/>
                <w:lang w:val="en-GB" w:eastAsia="zh-CN" w:bidi="ar-SA"/>
              </w:rPr>
              <w:t>规划</w:t>
            </w:r>
            <w:r>
              <w:rPr>
                <w:rFonts w:hint="default" w:ascii="Times New Roman" w:hAnsi="Times New Roman" w:eastAsia="宋体" w:cs="Times New Roman"/>
                <w:bCs/>
                <w:kern w:val="2"/>
                <w:sz w:val="24"/>
                <w:szCs w:val="24"/>
                <w:lang w:val="en-US" w:eastAsia="zh-CN" w:bidi="ar-SA"/>
              </w:rPr>
              <w:t>占地</w:t>
            </w:r>
            <w:r>
              <w:rPr>
                <w:rFonts w:hint="default" w:ascii="Times New Roman" w:hAnsi="Times New Roman" w:eastAsia="宋体" w:cs="Times New Roman"/>
                <w:bCs/>
                <w:kern w:val="2"/>
                <w:sz w:val="24"/>
                <w:szCs w:val="24"/>
                <w:lang w:val="en-GB" w:eastAsia="zh-CN" w:bidi="ar-SA"/>
              </w:rPr>
              <w:t>面积</w:t>
            </w:r>
            <w:r>
              <w:rPr>
                <w:rFonts w:hint="default" w:ascii="Times New Roman" w:hAnsi="Times New Roman" w:eastAsia="宋体" w:cs="Times New Roman"/>
                <w:bCs/>
                <w:kern w:val="2"/>
                <w:sz w:val="24"/>
                <w:szCs w:val="24"/>
                <w:lang w:val="en-US" w:eastAsia="zh-CN" w:bidi="ar-SA"/>
              </w:rPr>
              <w:t>243634.63</w:t>
            </w:r>
            <w:r>
              <w:rPr>
                <w:rFonts w:hint="eastAsia" w:ascii="Times New Roman" w:hAnsi="Times New Roman" w:eastAsia="宋体" w:cs="Times New Roman"/>
                <w:bCs/>
                <w:kern w:val="2"/>
                <w:sz w:val="24"/>
                <w:szCs w:val="24"/>
                <w:lang w:val="en-US" w:eastAsia="zh-CN" w:bidi="ar-SA"/>
              </w:rPr>
              <w:t>m</w:t>
            </w:r>
            <w:r>
              <w:rPr>
                <w:rFonts w:hint="eastAsia" w:ascii="Times New Roman" w:hAnsi="Times New Roman" w:eastAsia="宋体" w:cs="Times New Roman"/>
                <w:bCs/>
                <w:kern w:val="2"/>
                <w:sz w:val="24"/>
                <w:szCs w:val="24"/>
                <w:vertAlign w:val="superscript"/>
                <w:lang w:val="en-US" w:eastAsia="zh-CN" w:bidi="ar-SA"/>
              </w:rPr>
              <w:t>2</w:t>
            </w:r>
            <w:r>
              <w:rPr>
                <w:rFonts w:hint="default" w:ascii="Times New Roman" w:hAnsi="Times New Roman" w:eastAsia="宋体" w:cs="Times New Roman"/>
                <w:bCs/>
                <w:kern w:val="2"/>
                <w:sz w:val="24"/>
                <w:szCs w:val="24"/>
                <w:lang w:val="en-US" w:eastAsia="zh-CN" w:bidi="ar-SA"/>
              </w:rPr>
              <w:t>；建筑面积约234</w:t>
            </w:r>
            <w:r>
              <w:rPr>
                <w:rFonts w:hint="eastAsia" w:ascii="Times New Roman" w:hAnsi="Times New Roman" w:eastAsia="宋体" w:cs="Times New Roman"/>
                <w:bCs/>
                <w:kern w:val="2"/>
                <w:sz w:val="24"/>
                <w:szCs w:val="24"/>
                <w:lang w:val="en-US" w:eastAsia="zh-CN" w:bidi="ar-SA"/>
              </w:rPr>
              <w:t>251.56m</w:t>
            </w:r>
            <w:r>
              <w:rPr>
                <w:rFonts w:hint="eastAsia" w:ascii="Times New Roman" w:hAnsi="Times New Roman" w:eastAsia="宋体" w:cs="Times New Roman"/>
                <w:bCs/>
                <w:kern w:val="2"/>
                <w:sz w:val="24"/>
                <w:szCs w:val="24"/>
                <w:vertAlign w:val="superscript"/>
                <w:lang w:val="en-US" w:eastAsia="zh-CN" w:bidi="ar-SA"/>
              </w:rPr>
              <w:t>2</w:t>
            </w:r>
            <w:r>
              <w:rPr>
                <w:rFonts w:hint="default" w:ascii="Times New Roman" w:hAnsi="Times New Roman" w:eastAsia="宋体" w:cs="Times New Roman"/>
                <w:bCs/>
                <w:kern w:val="2"/>
                <w:sz w:val="24"/>
                <w:szCs w:val="24"/>
                <w:lang w:val="en-US" w:eastAsia="zh-CN" w:bidi="ar-SA"/>
              </w:rPr>
              <w:t>，其中</w:t>
            </w:r>
            <w:r>
              <w:rPr>
                <w:rFonts w:hint="eastAsia" w:ascii="Times New Roman" w:hAnsi="Times New Roman" w:eastAsia="宋体" w:cs="Times New Roman"/>
                <w:bCs/>
                <w:kern w:val="2"/>
                <w:sz w:val="24"/>
                <w:szCs w:val="24"/>
                <w:lang w:val="en-US" w:eastAsia="zh-CN" w:bidi="ar-SA"/>
              </w:rPr>
              <w:t>计容</w:t>
            </w:r>
            <w:r>
              <w:rPr>
                <w:rFonts w:hint="default" w:ascii="Times New Roman" w:hAnsi="Times New Roman" w:eastAsia="宋体" w:cs="Times New Roman"/>
                <w:bCs/>
                <w:kern w:val="2"/>
                <w:sz w:val="24"/>
                <w:szCs w:val="24"/>
                <w:lang w:val="en-US" w:eastAsia="zh-CN" w:bidi="ar-SA"/>
              </w:rPr>
              <w:t>总建筑面积20</w:t>
            </w:r>
            <w:r>
              <w:rPr>
                <w:rFonts w:hint="eastAsia" w:ascii="Times New Roman" w:hAnsi="Times New Roman" w:eastAsia="宋体" w:cs="Times New Roman"/>
                <w:bCs/>
                <w:kern w:val="2"/>
                <w:sz w:val="24"/>
                <w:szCs w:val="24"/>
                <w:lang w:val="en-US" w:eastAsia="zh-CN" w:bidi="ar-SA"/>
              </w:rPr>
              <w:t>5157.31m</w:t>
            </w:r>
            <w:r>
              <w:rPr>
                <w:rFonts w:hint="eastAsia" w:ascii="Times New Roman" w:hAnsi="Times New Roman" w:eastAsia="宋体" w:cs="Times New Roman"/>
                <w:bCs/>
                <w:kern w:val="2"/>
                <w:sz w:val="24"/>
                <w:szCs w:val="24"/>
                <w:vertAlign w:val="superscript"/>
                <w:lang w:val="en-US" w:eastAsia="zh-CN" w:bidi="ar-SA"/>
              </w:rPr>
              <w:t>2</w:t>
            </w:r>
            <w:r>
              <w:rPr>
                <w:rFonts w:hint="default" w:ascii="Times New Roman" w:hAnsi="Times New Roman" w:eastAsia="宋体" w:cs="Times New Roman"/>
                <w:bCs/>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不计容总</w:t>
            </w:r>
            <w:r>
              <w:rPr>
                <w:rFonts w:hint="default" w:ascii="Times New Roman" w:hAnsi="Times New Roman" w:eastAsia="宋体" w:cs="Times New Roman"/>
                <w:bCs/>
                <w:kern w:val="2"/>
                <w:sz w:val="24"/>
                <w:szCs w:val="24"/>
                <w:lang w:val="en-US" w:eastAsia="zh-CN" w:bidi="ar-SA"/>
              </w:rPr>
              <w:t>建筑面积</w:t>
            </w:r>
            <w:r>
              <w:rPr>
                <w:rFonts w:hint="eastAsia" w:ascii="Times New Roman" w:hAnsi="Times New Roman" w:eastAsia="宋体" w:cs="Times New Roman"/>
                <w:bCs/>
                <w:kern w:val="2"/>
                <w:sz w:val="24"/>
                <w:szCs w:val="24"/>
                <w:lang w:val="en-US" w:eastAsia="zh-CN" w:bidi="ar-SA"/>
              </w:rPr>
              <w:t>29094.25m</w:t>
            </w:r>
            <w:r>
              <w:rPr>
                <w:rFonts w:hint="eastAsia" w:ascii="Times New Roman" w:hAnsi="Times New Roman" w:eastAsia="宋体" w:cs="Times New Roman"/>
                <w:bCs/>
                <w:kern w:val="2"/>
                <w:sz w:val="24"/>
                <w:szCs w:val="24"/>
                <w:vertAlign w:val="superscript"/>
                <w:lang w:val="en-US" w:eastAsia="zh-CN" w:bidi="ar-SA"/>
              </w:rPr>
              <w:t>2</w:t>
            </w:r>
            <w:r>
              <w:rPr>
                <w:rFonts w:hint="default" w:ascii="Times New Roman" w:hAnsi="Times New Roman" w:eastAsia="宋体" w:cs="Times New Roman"/>
                <w:bCs/>
                <w:kern w:val="2"/>
                <w:sz w:val="24"/>
                <w:szCs w:val="24"/>
                <w:lang w:val="en-US" w:eastAsia="zh-CN" w:bidi="ar-SA"/>
              </w:rPr>
              <w:t>。</w:t>
            </w:r>
            <w:r>
              <w:rPr>
                <w:rFonts w:hint="default" w:ascii="Times New Roman" w:hAnsi="Times New Roman" w:eastAsia="宋体" w:cs="Times New Roman"/>
                <w:sz w:val="24"/>
                <w:szCs w:val="24"/>
                <w:lang w:eastAsia="zh-CN"/>
              </w:rPr>
              <w:t>设置机动车位</w:t>
            </w:r>
            <w:r>
              <w:rPr>
                <w:rFonts w:hint="default" w:ascii="Times New Roman" w:hAnsi="Times New Roman" w:eastAsia="宋体" w:cs="Times New Roman"/>
                <w:sz w:val="24"/>
                <w:szCs w:val="24"/>
                <w:lang w:val="en-US" w:eastAsia="zh-CN"/>
              </w:rPr>
              <w:t>1027个，其中地上机动车位245个（大巴车位21个），地下机动车位782个（充电车位63个）。</w:t>
            </w:r>
            <w:r>
              <w:rPr>
                <w:rFonts w:hint="eastAsia" w:ascii="Times New Roman" w:hAnsi="Times New Roman" w:eastAsia="宋体" w:cs="Times New Roman"/>
                <w:bCs/>
                <w:kern w:val="2"/>
                <w:sz w:val="24"/>
                <w:szCs w:val="24"/>
                <w:lang w:val="en-US" w:eastAsia="zh-CN" w:bidi="ar-SA"/>
              </w:rPr>
              <w:t>设置</w:t>
            </w:r>
            <w:r>
              <w:rPr>
                <w:rFonts w:hint="default" w:ascii="Times New Roman" w:hAnsi="Times New Roman" w:eastAsia="宋体" w:cs="Times New Roman"/>
                <w:bCs/>
                <w:kern w:val="2"/>
                <w:sz w:val="24"/>
                <w:szCs w:val="24"/>
                <w:lang w:val="en-US" w:eastAsia="zh-CN" w:bidi="ar-SA"/>
              </w:rPr>
              <w:t>非机动车位6160</w:t>
            </w:r>
            <w:r>
              <w:rPr>
                <w:rFonts w:hint="eastAsia" w:ascii="Times New Roman" w:hAnsi="Times New Roman" w:eastAsia="宋体" w:cs="Times New Roman"/>
                <w:bCs/>
                <w:kern w:val="2"/>
                <w:sz w:val="24"/>
                <w:szCs w:val="24"/>
                <w:lang w:val="en-US" w:eastAsia="zh-CN" w:bidi="ar-SA"/>
              </w:rPr>
              <w:t>个。</w:t>
            </w:r>
            <w:r>
              <w:rPr>
                <w:rFonts w:hint="default" w:ascii="Times New Roman" w:hAnsi="Times New Roman" w:eastAsia="宋体" w:cs="Times New Roman"/>
                <w:sz w:val="24"/>
                <w:szCs w:val="24"/>
                <w:lang w:val="en-US" w:eastAsia="zh-CN"/>
              </w:rPr>
              <w:t>主要建设实训教学楼、综合教学楼、实训中心、博物馆、运动场地、食堂及学生活动中心、学生宿舍</w:t>
            </w:r>
            <w:r>
              <w:rPr>
                <w:rFonts w:hint="eastAsia" w:ascii="Times New Roman" w:hAnsi="Times New Roman" w:eastAsia="宋体" w:cs="Times New Roman"/>
                <w:sz w:val="24"/>
                <w:szCs w:val="24"/>
                <w:lang w:val="en-US" w:eastAsia="zh-CN"/>
              </w:rPr>
              <w:t>、校内桥梁</w:t>
            </w:r>
            <w:r>
              <w:rPr>
                <w:rFonts w:hint="default" w:ascii="Times New Roman" w:hAnsi="Times New Roman" w:eastAsia="宋体" w:cs="Times New Roman"/>
                <w:sz w:val="24"/>
                <w:szCs w:val="24"/>
                <w:lang w:val="en-US" w:eastAsia="zh-CN"/>
              </w:rPr>
              <w:t>和河</w:t>
            </w:r>
            <w:r>
              <w:rPr>
                <w:rFonts w:hint="eastAsia" w:ascii="Times New Roman" w:hAnsi="Times New Roman" w:eastAsia="宋体" w:cs="Times New Roman"/>
                <w:sz w:val="24"/>
                <w:szCs w:val="24"/>
                <w:lang w:val="en-US" w:eastAsia="zh-CN"/>
              </w:rPr>
              <w:t>流</w:t>
            </w:r>
            <w:r>
              <w:rPr>
                <w:rFonts w:hint="default" w:ascii="Times New Roman" w:hAnsi="Times New Roman" w:eastAsia="宋体" w:cs="Times New Roman"/>
                <w:sz w:val="24"/>
                <w:szCs w:val="24"/>
                <w:lang w:val="en-US" w:eastAsia="zh-CN"/>
              </w:rPr>
              <w:t>改道、景观打造等。</w:t>
            </w:r>
            <w:r>
              <w:rPr>
                <w:rFonts w:hint="eastAsia" w:ascii="Times New Roman" w:hAnsi="Times New Roman" w:eastAsia="宋体" w:cs="Times New Roman"/>
                <w:sz w:val="24"/>
                <w:szCs w:val="24"/>
                <w:lang w:val="en-US" w:eastAsia="zh-CN"/>
              </w:rPr>
              <w:t>拟设置护理专业、中药学专业、中医康复技术专业、中药生产与加工专业、康复治疗技术专业、医学检验技术专业、医学影像技术专业、药学专业、助产专业、针灸推拿专业、医学美容专业、中医学专业等专业，计划招生1万学生，主要培养大专。本项目综合技术指标见下表。</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113" w:firstLine="482" w:firstLineChars="200"/>
              <w:textAlignment w:val="auto"/>
              <w:rPr>
                <w:b/>
                <w:bCs/>
                <w:color w:val="auto"/>
                <w:sz w:val="24"/>
              </w:rPr>
            </w:pPr>
            <w:r>
              <w:rPr>
                <w:rFonts w:hint="eastAsia"/>
                <w:b/>
                <w:bCs/>
                <w:color w:val="auto"/>
                <w:sz w:val="24"/>
              </w:rPr>
              <w:t>特别说明：</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15"/>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根据建设单位提供资料，</w:t>
            </w:r>
            <w:r>
              <w:rPr>
                <w:rFonts w:hint="eastAsia" w:ascii="Times New Roman" w:hAnsi="Times New Roman" w:eastAsia="宋体" w:cs="Times New Roman"/>
                <w:color w:val="auto"/>
                <w:sz w:val="24"/>
                <w:szCs w:val="24"/>
                <w:lang w:val="en-US" w:eastAsia="zh-CN"/>
              </w:rPr>
              <w:t>本项目5号楼实训中心设置实验室，主要进行中药研究实验，包括药学实验、分子生物学实验、细胞学实验、动物解剖实验（注：动物解剖实验仅进行简单解剖观察，不涉及化学试剂使用）、有机及无机化学实验等，主要面</w:t>
            </w:r>
            <w:r>
              <w:rPr>
                <w:rFonts w:hint="eastAsia" w:ascii="Times New Roman" w:hAnsi="Times New Roman" w:eastAsia="宋体" w:cs="Times New Roman"/>
                <w:sz w:val="24"/>
                <w:szCs w:val="24"/>
                <w:lang w:val="en-US" w:eastAsia="zh-CN"/>
              </w:rPr>
              <w:t>向部分老师和学生用于科研、创新等基础研究。</w:t>
            </w:r>
            <w:r>
              <w:rPr>
                <w:rFonts w:hint="eastAsia" w:ascii="Times New Roman" w:hAnsi="Times New Roman" w:eastAsia="宋体" w:cs="Times New Roman"/>
                <w:b/>
                <w:bCs/>
                <w:sz w:val="24"/>
                <w:szCs w:val="24"/>
                <w:lang w:val="en-US" w:eastAsia="zh-CN"/>
              </w:rPr>
              <w:t>不进行中试或生产，且不涉及合成药实验、重金属类实验、P3/P4生物安全实验、转基因实验等。注：本项目</w:t>
            </w:r>
            <w:r>
              <w:rPr>
                <w:rFonts w:hint="eastAsia" w:ascii="Times New Roman" w:hAnsi="Times New Roman" w:eastAsia="宋体" w:cs="Times New Roman"/>
                <w:b/>
                <w:bCs/>
                <w:color w:val="auto"/>
                <w:spacing w:val="-3"/>
                <w:sz w:val="24"/>
                <w:szCs w:val="24"/>
                <w:vertAlign w:val="baseline"/>
                <w:lang w:val="en-US" w:eastAsia="zh-CN"/>
              </w:rPr>
              <w:t>医学影像实训室</w:t>
            </w:r>
            <w:r>
              <w:rPr>
                <w:rFonts w:hint="eastAsia"/>
                <w:b/>
                <w:bCs/>
                <w:sz w:val="24"/>
                <w:szCs w:val="24"/>
              </w:rPr>
              <w:t>若涉及辐射需另行环评</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000000"/>
                <w:sz w:val="21"/>
                <w:szCs w:val="21"/>
                <w:lang w:val="en-US" w:eastAsia="zh-CN"/>
              </w:rPr>
            </w:pPr>
            <w:bookmarkStart w:id="2" w:name="_Toc19297"/>
            <w:r>
              <w:rPr>
                <w:rFonts w:hint="default" w:ascii="Times New Roman" w:hAnsi="Times New Roman" w:eastAsia="黑体" w:cs="Times New Roman"/>
                <w:b w:val="0"/>
                <w:bCs/>
                <w:color w:val="000000"/>
                <w:sz w:val="21"/>
                <w:szCs w:val="21"/>
                <w:lang w:val="en-US" w:eastAsia="zh-CN"/>
              </w:rPr>
              <w:t>2-1 本项目综合经济技术指标</w:t>
            </w:r>
            <w:bookmarkEnd w:id="2"/>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5"/>
              <w:gridCol w:w="2961"/>
              <w:gridCol w:w="1205"/>
              <w:gridCol w:w="695"/>
              <w:gridCol w:w="2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经济技术指标表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序号</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项目名称</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校园规划净用地面积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243634.63</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365.45亩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容积率</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0.8</w:t>
                  </w:r>
                  <w:r>
                    <w:rPr>
                      <w:rFonts w:hint="eastAsia" w:ascii="Times New Roman" w:hAnsi="Times New Roman" w:eastAsia="宋体" w:cs="Times New Roman"/>
                      <w:i w:val="0"/>
                      <w:iCs w:val="0"/>
                      <w:color w:val="000000"/>
                      <w:kern w:val="0"/>
                      <w:sz w:val="21"/>
                      <w:szCs w:val="21"/>
                      <w:u w:val="none"/>
                      <w:lang w:val="en-US" w:eastAsia="zh-CN" w:bidi="ar"/>
                    </w:rPr>
                    <w:t>42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绿地率</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30</w:t>
                  </w:r>
                  <w:r>
                    <w:rPr>
                      <w:rFonts w:hint="eastAsia" w:ascii="Times New Roman" w:hAnsi="Times New Roman" w:eastAsia="宋体" w:cs="Times New Roman"/>
                      <w:i w:val="0"/>
                      <w:iCs w:val="0"/>
                      <w:color w:val="000000"/>
                      <w:kern w:val="0"/>
                      <w:sz w:val="21"/>
                      <w:szCs w:val="21"/>
                      <w:u w:val="none"/>
                      <w:lang w:val="en-US" w:eastAsia="zh-CN" w:bidi="ar"/>
                    </w:rPr>
                    <w:t>.18</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建筑基底面积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48223.64</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建筑密度</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19.</w:t>
                  </w:r>
                  <w:r>
                    <w:rPr>
                      <w:rFonts w:hint="eastAsia" w:ascii="Times New Roman" w:hAnsi="Times New Roman" w:eastAsia="宋体" w:cs="Times New Roman"/>
                      <w:i w:val="0"/>
                      <w:iCs w:val="0"/>
                      <w:color w:val="000000"/>
                      <w:kern w:val="0"/>
                      <w:sz w:val="21"/>
                      <w:szCs w:val="21"/>
                      <w:u w:val="none"/>
                      <w:lang w:val="en-US" w:eastAsia="zh-CN" w:bidi="ar"/>
                    </w:rPr>
                    <w:t>79</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总建筑面积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234251.56</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七</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地上总建筑面积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207644.78</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1、地上计容建筑面积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r>
                    <w:rPr>
                      <w:rFonts w:hint="eastAsia" w:ascii="Times New Roman" w:hAnsi="Times New Roman" w:eastAsia="宋体" w:cs="Times New Roman"/>
                      <w:i w:val="0"/>
                      <w:iCs w:val="0"/>
                      <w:color w:val="000000"/>
                      <w:kern w:val="0"/>
                      <w:sz w:val="21"/>
                      <w:szCs w:val="21"/>
                      <w:u w:val="none"/>
                      <w:lang w:val="en-US" w:eastAsia="zh-CN" w:bidi="ar"/>
                    </w:rPr>
                    <w:t>5157.31</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其中</w:t>
                  </w:r>
                </w:p>
              </w:tc>
              <w:tc>
                <w:tcPr>
                  <w:tcW w:w="1767" w:type="pct"/>
                  <w:tcBorders>
                    <w:top w:val="nil"/>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1#实训教学楼</w:t>
                  </w:r>
                </w:p>
              </w:tc>
              <w:tc>
                <w:tcPr>
                  <w:tcW w:w="719"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17349.06</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2#实训教学楼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7139.93</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3#实训教学楼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8502.32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4#实训教学楼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17349.06</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5#实训中心</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21</w:t>
                  </w:r>
                  <w:r>
                    <w:rPr>
                      <w:rFonts w:hint="eastAsia" w:ascii="Times New Roman" w:hAnsi="Times New Roman" w:eastAsia="宋体" w:cs="Times New Roman"/>
                      <w:i w:val="0"/>
                      <w:iCs w:val="0"/>
                      <w:color w:val="000000"/>
                      <w:kern w:val="0"/>
                      <w:sz w:val="21"/>
                      <w:szCs w:val="21"/>
                      <w:u w:val="none"/>
                      <w:lang w:val="en-US" w:eastAsia="zh-CN" w:bidi="ar"/>
                    </w:rPr>
                    <w:t>904.22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6#博物馆</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4592.14</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7#综合教学楼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17693.92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8#宿舍楼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17426.83</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9#宿舍楼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17426.83</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10#宿舍楼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21239.31</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11#宿舍楼</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21239.31</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12#食堂及学生活动中心</w:t>
                  </w:r>
                </w:p>
              </w:tc>
              <w:tc>
                <w:tcPr>
                  <w:tcW w:w="71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25613.85</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13#南大门</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14#东大门</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2、地上不计容建筑面积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24</w:t>
                  </w:r>
                  <w:r>
                    <w:rPr>
                      <w:rFonts w:hint="eastAsia" w:ascii="Times New Roman" w:hAnsi="Times New Roman" w:eastAsia="宋体" w:cs="Times New Roman"/>
                      <w:i w:val="0"/>
                      <w:iCs w:val="0"/>
                      <w:color w:val="000000"/>
                      <w:kern w:val="0"/>
                      <w:sz w:val="21"/>
                      <w:szCs w:val="21"/>
                      <w:u w:val="none"/>
                      <w:lang w:val="en-US" w:eastAsia="zh-CN" w:bidi="ar"/>
                    </w:rPr>
                    <w:t>87.47</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八</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地下总建筑面积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26606.78</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其中</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1#机动车库面积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24255.67</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2#设备用房面积</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2351.11</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九</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机动车位</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1027</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个</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r>
                    <w:rPr>
                      <w:rFonts w:hint="eastAsia" w:ascii="Times New Roman" w:hAnsi="Times New Roman" w:eastAsia="宋体" w:cs="Times New Roman"/>
                      <w:i w:val="0"/>
                      <w:iCs w:val="0"/>
                      <w:color w:val="000000"/>
                      <w:kern w:val="0"/>
                      <w:sz w:val="21"/>
                      <w:szCs w:val="21"/>
                      <w:u w:val="none"/>
                      <w:lang w:val="en-US" w:eastAsia="zh-CN" w:bidi="ar"/>
                    </w:rPr>
                    <w:t>个</w:t>
                  </w:r>
                  <w:r>
                    <w:rPr>
                      <w:rFonts w:hint="default" w:ascii="Times New Roman" w:hAnsi="Times New Roman" w:eastAsia="宋体" w:cs="Times New Roman"/>
                      <w:i w:val="0"/>
                      <w:iCs w:val="0"/>
                      <w:color w:val="000000"/>
                      <w:kern w:val="0"/>
                      <w:sz w:val="21"/>
                      <w:szCs w:val="21"/>
                      <w:u w:val="none"/>
                      <w:lang w:val="en-US" w:eastAsia="zh-CN" w:bidi="ar"/>
                    </w:rPr>
                    <w:t>/100</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其中</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地上机动车位</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个</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大巴车位21</w:t>
                  </w:r>
                  <w:r>
                    <w:rPr>
                      <w:rFonts w:hint="eastAsia" w:ascii="Times New Roman" w:hAnsi="Times New Roman" w:eastAsia="宋体" w:cs="Times New Roman"/>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1"/>
                      <w:szCs w:val="21"/>
                      <w:u w:val="none"/>
                    </w:rPr>
                  </w:pP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地下机动车位</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782</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个</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其中充电车位63</w:t>
                  </w:r>
                  <w:r>
                    <w:rPr>
                      <w:rFonts w:hint="eastAsia" w:ascii="Times New Roman" w:hAnsi="Times New Roman" w:eastAsia="宋体" w:cs="Times New Roman"/>
                      <w:i w:val="0"/>
                      <w:iCs w:val="0"/>
                      <w:color w:val="000000"/>
                      <w:kern w:val="0"/>
                      <w:sz w:val="21"/>
                      <w:szCs w:val="21"/>
                      <w:u w:val="none"/>
                      <w:lang w:val="en-US" w:eastAsia="zh-CN" w:bidi="ar"/>
                    </w:rPr>
                    <w:t>个</w:t>
                  </w:r>
                  <w:r>
                    <w:rPr>
                      <w:rFonts w:hint="default" w:ascii="Times New Roman" w:hAnsi="Times New Roman" w:eastAsia="宋体" w:cs="Times New Roman"/>
                      <w:i w:val="0"/>
                      <w:iCs w:val="0"/>
                      <w:color w:val="000000"/>
                      <w:kern w:val="0"/>
                      <w:sz w:val="21"/>
                      <w:szCs w:val="21"/>
                      <w:u w:val="none"/>
                      <w:lang w:val="en-US" w:eastAsia="zh-CN" w:bidi="ar"/>
                    </w:rPr>
                    <w:t>，占比8%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十</w:t>
                  </w:r>
                </w:p>
              </w:tc>
              <w:tc>
                <w:tcPr>
                  <w:tcW w:w="17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非机动车位</w:t>
                  </w:r>
                </w:p>
              </w:tc>
              <w:tc>
                <w:tcPr>
                  <w:tcW w:w="71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6160</w:t>
                  </w:r>
                </w:p>
              </w:tc>
              <w:tc>
                <w:tcPr>
                  <w:tcW w:w="4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个</w:t>
                  </w:r>
                </w:p>
              </w:tc>
              <w:tc>
                <w:tcPr>
                  <w:tcW w:w="17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个</w:t>
                  </w:r>
                  <w:r>
                    <w:rPr>
                      <w:rFonts w:hint="default" w:ascii="Times New Roman" w:hAnsi="Times New Roman" w:eastAsia="宋体" w:cs="Times New Roman"/>
                      <w:i w:val="0"/>
                      <w:iCs w:val="0"/>
                      <w:color w:val="000000"/>
                      <w:kern w:val="0"/>
                      <w:sz w:val="21"/>
                      <w:szCs w:val="21"/>
                      <w:u w:val="none"/>
                      <w:lang w:val="en-US" w:eastAsia="zh-CN" w:bidi="ar"/>
                    </w:rPr>
                    <w:t>，占地面积7412.4</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r>
          </w:tbl>
          <w:p>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、项目组成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eastAsia="宋体"/>
                <w:sz w:val="24"/>
                <w:szCs w:val="24"/>
                <w:lang w:eastAsia="zh-CN"/>
              </w:rPr>
            </w:pPr>
            <w:r>
              <w:rPr>
                <w:rFonts w:hint="eastAsia"/>
                <w:sz w:val="24"/>
                <w:szCs w:val="24"/>
              </w:rPr>
              <w:t>项目组成及主要环境问题见下表所示</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000000"/>
                <w:sz w:val="21"/>
                <w:szCs w:val="21"/>
                <w:lang w:val="en-US" w:eastAsia="zh-CN"/>
              </w:rPr>
            </w:pPr>
            <w:r>
              <w:rPr>
                <w:rFonts w:hint="eastAsia" w:ascii="Times New Roman" w:hAnsi="Times New Roman" w:eastAsia="黑体" w:cs="Times New Roman"/>
                <w:b w:val="0"/>
                <w:bCs/>
                <w:color w:val="000000"/>
                <w:sz w:val="21"/>
                <w:szCs w:val="21"/>
                <w:lang w:val="en-US" w:eastAsia="zh-CN"/>
              </w:rPr>
              <w:t>表2-2 项目组成及主要环境问题一览表</w:t>
            </w:r>
          </w:p>
          <w:tbl>
            <w:tblPr>
              <w:tblStyle w:val="25"/>
              <w:tblW w:w="841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01"/>
              <w:gridCol w:w="352"/>
              <w:gridCol w:w="533"/>
              <w:gridCol w:w="4335"/>
              <w:gridCol w:w="975"/>
              <w:gridCol w:w="975"/>
              <w:gridCol w:w="6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tblHeader/>
                <w:jc w:val="center"/>
              </w:trPr>
              <w:tc>
                <w:tcPr>
                  <w:tcW w:w="60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类别</w:t>
                  </w:r>
                </w:p>
              </w:tc>
              <w:tc>
                <w:tcPr>
                  <w:tcW w:w="88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项目名称</w:t>
                  </w:r>
                </w:p>
              </w:tc>
              <w:tc>
                <w:tcPr>
                  <w:tcW w:w="433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建设内容及规模</w:t>
                  </w:r>
                </w:p>
              </w:tc>
              <w:tc>
                <w:tcPr>
                  <w:tcW w:w="195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可能产生的环境问题</w:t>
                  </w:r>
                </w:p>
              </w:tc>
              <w:tc>
                <w:tcPr>
                  <w:tcW w:w="6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433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施工期</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营运期</w:t>
                  </w:r>
                </w:p>
              </w:tc>
              <w:tc>
                <w:tcPr>
                  <w:tcW w:w="64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主体工程</w:t>
                  </w: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实训教学楼</w:t>
                  </w: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共7栋，3F/4F，砖混结构，总</w:t>
                  </w:r>
                  <w:r>
                    <w:rPr>
                      <w:rFonts w:ascii="宋体" w:hAnsi="宋体" w:eastAsia="宋体" w:cs="宋体"/>
                      <w:color w:val="auto"/>
                      <w:spacing w:val="-3"/>
                      <w:sz w:val="21"/>
                      <w:szCs w:val="21"/>
                    </w:rPr>
                    <w:t>建筑面积约</w:t>
                  </w:r>
                  <w:r>
                    <w:rPr>
                      <w:rFonts w:hint="eastAsia" w:ascii="Times New Roman" w:hAnsi="Times New Roman" w:eastAsia="宋体" w:cs="Times New Roman"/>
                      <w:color w:val="auto"/>
                      <w:spacing w:val="-3"/>
                      <w:sz w:val="21"/>
                      <w:szCs w:val="21"/>
                      <w:lang w:val="en-US" w:eastAsia="zh-CN"/>
                    </w:rPr>
                    <w:t>60340.37</w:t>
                  </w:r>
                  <w:r>
                    <w:rPr>
                      <w:rFonts w:ascii="Times New Roman" w:hAnsi="Times New Roman" w:eastAsia="Times New Roman" w:cs="Times New Roman"/>
                      <w:color w:val="auto"/>
                      <w:spacing w:val="-3"/>
                      <w:sz w:val="21"/>
                      <w:szCs w:val="21"/>
                    </w:rPr>
                    <w:t>m</w:t>
                  </w:r>
                  <w:r>
                    <w:rPr>
                      <w:rFonts w:hint="eastAsia" w:ascii="Times New Roman" w:hAnsi="Times New Roman" w:eastAsia="宋体" w:cs="Times New Roman"/>
                      <w:color w:val="auto"/>
                      <w:spacing w:val="-3"/>
                      <w:sz w:val="21"/>
                      <w:szCs w:val="21"/>
                      <w:vertAlign w:val="superscript"/>
                      <w:lang w:val="en-US" w:eastAsia="zh-CN"/>
                    </w:rPr>
                    <w:t>2</w:t>
                  </w:r>
                  <w:r>
                    <w:rPr>
                      <w:rFonts w:hint="eastAsia" w:ascii="Times New Roman" w:hAnsi="Times New Roman" w:eastAsia="宋体" w:cs="Times New Roman"/>
                      <w:color w:val="auto"/>
                      <w:spacing w:val="-3"/>
                      <w:sz w:val="21"/>
                      <w:szCs w:val="21"/>
                      <w:vertAlign w:val="baseline"/>
                      <w:lang w:val="en-US" w:eastAsia="zh-CN"/>
                    </w:rPr>
                    <w:t>，内设教室、办公室等。</w:t>
                  </w:r>
                </w:p>
              </w:tc>
              <w:tc>
                <w:tcPr>
                  <w:tcW w:w="975" w:type="dxa"/>
                  <w:vMerge w:val="restart"/>
                  <w:tcBorders>
                    <w:tl2br w:val="nil"/>
                    <w:tr2bl w:val="nil"/>
                  </w:tcBorders>
                  <w:noWrap w:val="0"/>
                  <w:vAlign w:val="center"/>
                </w:tcPr>
                <w:p>
                  <w:pPr>
                    <w:pStyle w:val="24"/>
                    <w:pageBreakBefore w:val="0"/>
                    <w:kinsoku/>
                    <w:wordWrap/>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施工扬尘</w:t>
                  </w:r>
                </w:p>
                <w:p>
                  <w:pPr>
                    <w:pStyle w:val="24"/>
                    <w:pageBreakBefore w:val="0"/>
                    <w:kinsoku/>
                    <w:wordWrap/>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施工噪声</w:t>
                  </w:r>
                </w:p>
                <w:p>
                  <w:pPr>
                    <w:pStyle w:val="24"/>
                    <w:pageBreakBefore w:val="0"/>
                    <w:kinsoku/>
                    <w:wordWrap/>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施工弃渣</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施工废水</w:t>
                  </w:r>
                  <w:r>
                    <w:rPr>
                      <w:rFonts w:hint="eastAsia" w:cs="Times New Roman"/>
                      <w:color w:val="auto"/>
                      <w:szCs w:val="21"/>
                      <w:highlight w:val="none"/>
                      <w:lang w:val="en-US" w:eastAsia="zh-CN"/>
                    </w:rPr>
                    <w:t>水土流失植被破坏</w:t>
                  </w:r>
                </w:p>
              </w:tc>
              <w:tc>
                <w:tcPr>
                  <w:tcW w:w="975" w:type="dxa"/>
                  <w:vMerge w:val="restart"/>
                  <w:tcBorders>
                    <w:tl2br w:val="nil"/>
                    <w:tr2bl w:val="nil"/>
                  </w:tcBorders>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废气、废</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水、噪声、固废</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综合教学楼</w:t>
                  </w:r>
                </w:p>
              </w:tc>
              <w:tc>
                <w:tcPr>
                  <w:tcW w:w="43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共1栋，8F，砖混结构，总</w:t>
                  </w:r>
                  <w:r>
                    <w:rPr>
                      <w:rFonts w:ascii="宋体" w:hAnsi="宋体" w:eastAsia="宋体" w:cs="宋体"/>
                      <w:color w:val="auto"/>
                      <w:spacing w:val="-3"/>
                      <w:sz w:val="21"/>
                      <w:szCs w:val="21"/>
                    </w:rPr>
                    <w:t>建筑面积约</w:t>
                  </w:r>
                  <w:r>
                    <w:rPr>
                      <w:rFonts w:hint="eastAsia" w:ascii="Times New Roman" w:hAnsi="Times New Roman" w:eastAsia="宋体" w:cs="Times New Roman"/>
                      <w:i w:val="0"/>
                      <w:iCs w:val="0"/>
                      <w:color w:val="auto"/>
                      <w:kern w:val="0"/>
                      <w:sz w:val="21"/>
                      <w:szCs w:val="21"/>
                      <w:u w:val="none"/>
                      <w:lang w:val="en-US" w:eastAsia="zh-CN" w:bidi="ar"/>
                    </w:rPr>
                    <w:t>17693.92</w:t>
                  </w:r>
                  <w:r>
                    <w:rPr>
                      <w:rFonts w:ascii="Times New Roman" w:hAnsi="Times New Roman" w:eastAsia="Times New Roman" w:cs="Times New Roman"/>
                      <w:color w:val="auto"/>
                      <w:spacing w:val="-3"/>
                      <w:sz w:val="21"/>
                      <w:szCs w:val="21"/>
                    </w:rPr>
                    <w:t>m</w:t>
                  </w:r>
                  <w:r>
                    <w:rPr>
                      <w:rFonts w:hint="eastAsia" w:ascii="Times New Roman" w:hAnsi="Times New Roman" w:eastAsia="宋体" w:cs="Times New Roman"/>
                      <w:color w:val="auto"/>
                      <w:spacing w:val="-3"/>
                      <w:sz w:val="21"/>
                      <w:szCs w:val="21"/>
                      <w:vertAlign w:val="superscript"/>
                      <w:lang w:val="en-US" w:eastAsia="zh-CN"/>
                    </w:rPr>
                    <w:t>2</w:t>
                  </w:r>
                  <w:r>
                    <w:rPr>
                      <w:rFonts w:hint="eastAsia" w:ascii="Times New Roman" w:hAnsi="Times New Roman" w:eastAsia="宋体" w:cs="Times New Roman"/>
                      <w:color w:val="auto"/>
                      <w:spacing w:val="-3"/>
                      <w:sz w:val="21"/>
                      <w:szCs w:val="21"/>
                      <w:vertAlign w:val="baseline"/>
                      <w:lang w:val="en-US" w:eastAsia="zh-CN"/>
                    </w:rPr>
                    <w:t>，内设教室、办公室、会议室等。</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实训中心</w:t>
                  </w:r>
                </w:p>
              </w:tc>
              <w:tc>
                <w:tcPr>
                  <w:tcW w:w="43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共2栋，2F/14F，砖混结构，总</w:t>
                  </w:r>
                  <w:r>
                    <w:rPr>
                      <w:rFonts w:ascii="宋体" w:hAnsi="宋体" w:eastAsia="宋体" w:cs="宋体"/>
                      <w:color w:val="auto"/>
                      <w:spacing w:val="-3"/>
                      <w:sz w:val="21"/>
                      <w:szCs w:val="21"/>
                    </w:rPr>
                    <w:t>建筑面积约</w:t>
                  </w:r>
                  <w:r>
                    <w:rPr>
                      <w:rFonts w:hint="default" w:ascii="Times New Roman" w:hAnsi="Times New Roman" w:eastAsia="宋体" w:cs="Times New Roman"/>
                      <w:i w:val="0"/>
                      <w:iCs w:val="0"/>
                      <w:color w:val="auto"/>
                      <w:kern w:val="0"/>
                      <w:sz w:val="21"/>
                      <w:szCs w:val="21"/>
                      <w:u w:val="none"/>
                      <w:lang w:val="en-US" w:eastAsia="zh-CN" w:bidi="ar"/>
                    </w:rPr>
                    <w:t>21</w:t>
                  </w:r>
                  <w:r>
                    <w:rPr>
                      <w:rFonts w:hint="eastAsia" w:ascii="Times New Roman" w:hAnsi="Times New Roman" w:eastAsia="宋体" w:cs="Times New Roman"/>
                      <w:i w:val="0"/>
                      <w:iCs w:val="0"/>
                      <w:color w:val="auto"/>
                      <w:kern w:val="0"/>
                      <w:sz w:val="21"/>
                      <w:szCs w:val="21"/>
                      <w:u w:val="none"/>
                      <w:lang w:val="en-US" w:eastAsia="zh-CN" w:bidi="ar"/>
                    </w:rPr>
                    <w:t>904.22</w:t>
                  </w:r>
                  <w:r>
                    <w:rPr>
                      <w:rFonts w:ascii="Times New Roman" w:hAnsi="Times New Roman" w:eastAsia="Times New Roman" w:cs="Times New Roman"/>
                      <w:color w:val="auto"/>
                      <w:spacing w:val="-3"/>
                      <w:sz w:val="21"/>
                      <w:szCs w:val="21"/>
                    </w:rPr>
                    <w:t>m</w:t>
                  </w:r>
                  <w:r>
                    <w:rPr>
                      <w:rFonts w:hint="eastAsia" w:ascii="Times New Roman" w:hAnsi="Times New Roman" w:eastAsia="宋体" w:cs="Times New Roman"/>
                      <w:color w:val="auto"/>
                      <w:spacing w:val="-3"/>
                      <w:sz w:val="21"/>
                      <w:szCs w:val="21"/>
                      <w:vertAlign w:val="superscript"/>
                      <w:lang w:val="en-US" w:eastAsia="zh-CN"/>
                    </w:rPr>
                    <w:t>2</w:t>
                  </w:r>
                  <w:r>
                    <w:rPr>
                      <w:rFonts w:hint="eastAsia" w:ascii="Times New Roman" w:hAnsi="Times New Roman" w:eastAsia="宋体" w:cs="Times New Roman"/>
                      <w:color w:val="auto"/>
                      <w:spacing w:val="-3"/>
                      <w:sz w:val="21"/>
                      <w:szCs w:val="21"/>
                      <w:vertAlign w:val="baseline"/>
                      <w:lang w:val="en-US" w:eastAsia="zh-CN"/>
                    </w:rPr>
                    <w:t>，内设微机室、生命科技馆、指挥中心、智慧中心、办公室、实验室（其中：4层解剖实训室2间，化学实验室2间；5层医学影像实训室3间，药学制剂室3间；6层医学影像实训室3间，药学制剂室3间；7层医学检验实训室3间，医学实训室3间；8层医学检验实训室3间，医学实训室3间；9层医学基础实训室6间；10层医学基础实训室6间）等。</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博物馆</w:t>
                  </w:r>
                </w:p>
              </w:tc>
              <w:tc>
                <w:tcPr>
                  <w:tcW w:w="43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共1栋，2F，砖混结构，总</w:t>
                  </w:r>
                  <w:r>
                    <w:rPr>
                      <w:rFonts w:ascii="宋体" w:hAnsi="宋体" w:eastAsia="宋体" w:cs="宋体"/>
                      <w:color w:val="auto"/>
                      <w:spacing w:val="-3"/>
                      <w:sz w:val="21"/>
                      <w:szCs w:val="21"/>
                    </w:rPr>
                    <w:t>建筑面积约</w:t>
                  </w:r>
                  <w:r>
                    <w:rPr>
                      <w:rFonts w:hint="default" w:ascii="Times New Roman" w:hAnsi="Times New Roman" w:eastAsia="宋体" w:cs="Times New Roman"/>
                      <w:i w:val="0"/>
                      <w:iCs w:val="0"/>
                      <w:color w:val="auto"/>
                      <w:kern w:val="0"/>
                      <w:sz w:val="21"/>
                      <w:szCs w:val="21"/>
                      <w:u w:val="none"/>
                      <w:lang w:val="en-US" w:eastAsia="zh-CN" w:bidi="ar"/>
                    </w:rPr>
                    <w:t>4592.14</w:t>
                  </w:r>
                  <w:r>
                    <w:rPr>
                      <w:rFonts w:ascii="Times New Roman" w:hAnsi="Times New Roman" w:eastAsia="Times New Roman" w:cs="Times New Roman"/>
                      <w:color w:val="auto"/>
                      <w:spacing w:val="-3"/>
                      <w:sz w:val="21"/>
                      <w:szCs w:val="21"/>
                    </w:rPr>
                    <w:t>m</w:t>
                  </w:r>
                  <w:r>
                    <w:rPr>
                      <w:rFonts w:hint="eastAsia" w:ascii="Times New Roman" w:hAnsi="Times New Roman" w:eastAsia="宋体" w:cs="Times New Roman"/>
                      <w:color w:val="auto"/>
                      <w:spacing w:val="-3"/>
                      <w:sz w:val="21"/>
                      <w:szCs w:val="21"/>
                      <w:vertAlign w:val="superscript"/>
                      <w:lang w:val="en-US" w:eastAsia="zh-CN"/>
                    </w:rPr>
                    <w:t>2</w:t>
                  </w:r>
                  <w:r>
                    <w:rPr>
                      <w:rFonts w:hint="eastAsia" w:ascii="Times New Roman" w:hAnsi="Times New Roman" w:eastAsia="宋体" w:cs="Times New Roman"/>
                      <w:color w:val="auto"/>
                      <w:spacing w:val="-3"/>
                      <w:sz w:val="21"/>
                      <w:szCs w:val="21"/>
                      <w:vertAlign w:val="baseline"/>
                      <w:lang w:val="en-US" w:eastAsia="zh-CN"/>
                    </w:rPr>
                    <w:t>，内设陈列展示区、藏品室、阅览厅等。</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河</w:t>
                  </w:r>
                  <w:r>
                    <w:rPr>
                      <w:rFonts w:hint="eastAsia" w:ascii="Times New Roman" w:hAnsi="Times New Roman" w:eastAsia="宋体" w:cs="Times New Roman"/>
                      <w:color w:val="auto"/>
                      <w:sz w:val="21"/>
                      <w:szCs w:val="21"/>
                      <w:lang w:val="en-US" w:eastAsia="zh-CN"/>
                    </w:rPr>
                    <w:t>流</w:t>
                  </w:r>
                  <w:r>
                    <w:rPr>
                      <w:rFonts w:hint="default" w:ascii="Times New Roman" w:hAnsi="Times New Roman" w:eastAsia="宋体" w:cs="Times New Roman"/>
                      <w:color w:val="auto"/>
                      <w:sz w:val="21"/>
                      <w:szCs w:val="21"/>
                      <w:lang w:val="en-US" w:eastAsia="zh-CN"/>
                    </w:rPr>
                    <w:t>改道</w:t>
                  </w:r>
                </w:p>
              </w:tc>
              <w:tc>
                <w:tcPr>
                  <w:tcW w:w="43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共计1处河流改道，</w:t>
                  </w:r>
                  <w:r>
                    <w:rPr>
                      <w:color w:val="auto"/>
                    </w:rPr>
                    <w:t>自210国道子槽沟大桥与本项目用地界起点，</w:t>
                  </w:r>
                  <w:r>
                    <w:rPr>
                      <w:rFonts w:hint="eastAsia"/>
                      <w:color w:val="auto"/>
                      <w:lang w:val="en-US" w:eastAsia="zh-CN"/>
                    </w:rPr>
                    <w:t>至</w:t>
                  </w:r>
                  <w:r>
                    <w:rPr>
                      <w:color w:val="auto"/>
                    </w:rPr>
                    <w:t>原始河道下游636米。</w:t>
                  </w:r>
                  <w:r>
                    <w:rPr>
                      <w:rFonts w:hint="eastAsia"/>
                      <w:color w:val="auto"/>
                      <w:lang w:val="en-US" w:eastAsia="zh-CN"/>
                    </w:rPr>
                    <w:t>改道河流</w:t>
                  </w:r>
                  <w:r>
                    <w:rPr>
                      <w:color w:val="auto"/>
                    </w:rPr>
                    <w:t>长度4</w:t>
                  </w:r>
                  <w:r>
                    <w:rPr>
                      <w:rFonts w:hint="eastAsia"/>
                      <w:color w:val="auto"/>
                      <w:lang w:val="en-US" w:eastAsia="zh-CN"/>
                    </w:rPr>
                    <w:t>84.48</w:t>
                  </w:r>
                  <w:r>
                    <w:rPr>
                      <w:color w:val="auto"/>
                    </w:rPr>
                    <w:t>m</w:t>
                  </w:r>
                  <w:r>
                    <w:rPr>
                      <w:rFonts w:hint="eastAsia"/>
                      <w:color w:val="auto"/>
                      <w:lang w:val="en-US" w:eastAsia="zh-CN"/>
                    </w:rPr>
                    <w:t>。桩号：K0+000~K0+484.48。坐标：起点 X=456471.6 、Y=3462667.6；终点 X=456191.5 、Y=3462193.9。</w:t>
                  </w:r>
                  <w:r>
                    <w:rPr>
                      <w:color w:val="auto"/>
                      <w:szCs w:val="28"/>
                    </w:rPr>
                    <w:t>改河通道位于校区滨河路和6号路之间穿越，河道弯曲半径按不小于100m设计，</w:t>
                  </w:r>
                  <w:r>
                    <w:rPr>
                      <w:rFonts w:hint="eastAsia"/>
                      <w:color w:val="auto"/>
                      <w:szCs w:val="28"/>
                    </w:rPr>
                    <w:t>河道</w:t>
                  </w:r>
                  <w:r>
                    <w:rPr>
                      <w:color w:val="auto"/>
                      <w:szCs w:val="28"/>
                    </w:rPr>
                    <w:t>比降按6‰，入口泄水面高程305.62m，出口泄水面高程302.71m，</w:t>
                  </w:r>
                  <w:r>
                    <w:rPr>
                      <w:rFonts w:hint="eastAsia"/>
                      <w:color w:val="auto"/>
                      <w:szCs w:val="28"/>
                    </w:rPr>
                    <w:t>河道</w:t>
                  </w:r>
                  <w:r>
                    <w:rPr>
                      <w:color w:val="auto"/>
                      <w:szCs w:val="28"/>
                    </w:rPr>
                    <w:t>出入口均设2米深垂裙。</w:t>
                  </w:r>
                  <w:r>
                    <w:rPr>
                      <w:rFonts w:hint="default" w:ascii="Times New Roman" w:hAnsi="Times New Roman" w:eastAsia="宋体" w:cs="Times New Roman"/>
                      <w:b w:val="0"/>
                      <w:color w:val="auto"/>
                      <w:sz w:val="21"/>
                      <w:szCs w:val="21"/>
                    </w:rPr>
                    <w:t>过水断面按照底宽7m，边坡1：0.5，深5m</w:t>
                  </w:r>
                  <w:r>
                    <w:rPr>
                      <w:rFonts w:hint="eastAsia" w:ascii="Times New Roman" w:hAnsi="Times New Roman" w:eastAsia="宋体" w:cs="Times New Roman"/>
                      <w:b w:val="0"/>
                      <w:color w:val="auto"/>
                      <w:sz w:val="21"/>
                      <w:szCs w:val="21"/>
                      <w:lang w:val="en-US" w:eastAsia="zh-CN"/>
                    </w:rPr>
                    <w:t>设计</w:t>
                  </w:r>
                  <w:r>
                    <w:rPr>
                      <w:rFonts w:hint="eastAsia" w:ascii="Times New Roman" w:hAnsi="Times New Roman" w:eastAsia="宋体" w:cs="Times New Roman"/>
                      <w:b w:val="0"/>
                      <w:color w:val="auto"/>
                      <w:sz w:val="21"/>
                      <w:szCs w:val="21"/>
                      <w:lang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b w:val="0"/>
                      <w:bCs w:val="0"/>
                      <w:color w:val="auto"/>
                      <w:sz w:val="21"/>
                      <w:szCs w:val="21"/>
                      <w:lang w:eastAsia="zh-CN"/>
                    </w:rPr>
                    <w:t>防洪蓄水正效益</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景观打造</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 w:val="21"/>
                      <w:szCs w:val="21"/>
                      <w:lang w:val="en-US" w:eastAsia="zh-CN"/>
                    </w:rPr>
                    <w:t>场地以“两轴·五区”的景观结构组织功能分区规划设计。两轴：中医之道－－中医文化展示轴、中药之道－－秦巴药库产教融合轴。五区：学生宿舍区、食堂生活区、活力运动区、教学景观区、博物馆展示区。</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color w:val="auto"/>
                    </w:rPr>
                    <w:t>辅助工程</w:t>
                  </w: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停车位</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设置机动车位</w:t>
                  </w:r>
                  <w:r>
                    <w:rPr>
                      <w:rFonts w:hint="default" w:ascii="Times New Roman" w:hAnsi="Times New Roman" w:eastAsia="宋体" w:cs="Times New Roman"/>
                      <w:sz w:val="21"/>
                      <w:szCs w:val="21"/>
                      <w:lang w:val="en-US" w:eastAsia="zh-CN"/>
                    </w:rPr>
                    <w:t>1027个，其中地上机动车位245个（大巴车位21个），地下机动车位782个（充电车位63个）。</w:t>
                  </w:r>
                  <w:r>
                    <w:rPr>
                      <w:rFonts w:hint="eastAsia" w:ascii="Times New Roman" w:hAnsi="Times New Roman" w:eastAsia="宋体" w:cs="Times New Roman"/>
                      <w:bCs/>
                      <w:kern w:val="2"/>
                      <w:sz w:val="21"/>
                      <w:szCs w:val="21"/>
                      <w:lang w:val="en-US" w:eastAsia="zh-CN" w:bidi="ar-SA"/>
                    </w:rPr>
                    <w:t>设置</w:t>
                  </w:r>
                  <w:r>
                    <w:rPr>
                      <w:rFonts w:hint="default" w:ascii="Times New Roman" w:hAnsi="Times New Roman" w:eastAsia="宋体" w:cs="Times New Roman"/>
                      <w:bCs/>
                      <w:kern w:val="2"/>
                      <w:sz w:val="21"/>
                      <w:szCs w:val="21"/>
                      <w:lang w:val="en-US" w:eastAsia="zh-CN" w:bidi="ar-SA"/>
                    </w:rPr>
                    <w:t>非机动车位6160</w:t>
                  </w:r>
                  <w:r>
                    <w:rPr>
                      <w:rFonts w:hint="eastAsia" w:ascii="Times New Roman" w:hAnsi="Times New Roman" w:eastAsia="宋体" w:cs="Times New Roman"/>
                      <w:bCs/>
                      <w:kern w:val="2"/>
                      <w:sz w:val="21"/>
                      <w:szCs w:val="21"/>
                      <w:lang w:val="en-US" w:eastAsia="zh-CN" w:bidi="ar-SA"/>
                    </w:rPr>
                    <w:t>个。</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交通噪声、汽车尾气</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运动场地</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设有篮球场、羽毛球场、乒乓球场、健身场。</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废气、废</w:t>
                  </w: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水、噪声、固废</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352"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校内桥梁</w:t>
                  </w:r>
                </w:p>
              </w:tc>
              <w:tc>
                <w:tcPr>
                  <w:tcW w:w="533"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空中连廊</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连接东西两侧校区，跨越犀牛大道。桥梁上部采用钢结构箱梁。主桥桥墩为钢结构V型薄壁墩，桥台采用座板式桥台形式落地。桩基础为钻孔灌注桩。净高5.7m，桥梁分孔设计：A线桥（71+54）m连续V型墩刚构，全长133.0m；B线桥（70+52）m连续V型墩刚构桥，全长130.0m；C线桥（42+72+54）m连续V型墩刚构桥，全长174.0m；副桥为2×20m等高等宽连续钢箱梁，桥梁宽度3.5m。主要为校内人行出入口。</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噪声</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352"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p>
              </w:tc>
              <w:tc>
                <w:tcPr>
                  <w:tcW w:w="533"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子槽沟1号大桥</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采用</w:t>
                  </w:r>
                  <w:r>
                    <w:rPr>
                      <w:rFonts w:hint="default" w:ascii="Times New Roman" w:hAnsi="Times New Roman" w:eastAsia="宋体" w:cs="Times New Roman"/>
                      <w:sz w:val="21"/>
                      <w:szCs w:val="21"/>
                      <w:lang w:val="en-US" w:eastAsia="zh-CN"/>
                    </w:rPr>
                    <w:t>1-45m</w:t>
                  </w:r>
                  <w:r>
                    <w:rPr>
                      <w:rFonts w:hint="eastAsia" w:ascii="Times New Roman" w:hAnsi="Times New Roman" w:eastAsia="宋体" w:cs="Times New Roman"/>
                      <w:sz w:val="21"/>
                      <w:szCs w:val="21"/>
                      <w:lang w:val="en-US" w:eastAsia="zh-CN"/>
                    </w:rPr>
                    <w:t>拱桥，矢高</w:t>
                  </w:r>
                  <w:r>
                    <w:rPr>
                      <w:rFonts w:hint="default" w:ascii="Times New Roman" w:hAnsi="Times New Roman" w:eastAsia="宋体" w:cs="Times New Roman"/>
                      <w:sz w:val="21"/>
                      <w:szCs w:val="21"/>
                      <w:lang w:val="en-US" w:eastAsia="zh-CN"/>
                    </w:rPr>
                    <w:t>6m</w:t>
                  </w:r>
                  <w:r>
                    <w:rPr>
                      <w:rFonts w:hint="eastAsia" w:ascii="Times New Roman" w:hAnsi="Times New Roman" w:eastAsia="宋体" w:cs="Times New Roman"/>
                      <w:sz w:val="21"/>
                      <w:szCs w:val="21"/>
                      <w:lang w:val="en-US" w:eastAsia="zh-CN"/>
                    </w:rPr>
                    <w:t>，矢跨比为</w:t>
                  </w:r>
                  <w:r>
                    <w:rPr>
                      <w:rFonts w:hint="default" w:ascii="Times New Roman" w:hAnsi="Times New Roman" w:eastAsia="宋体" w:cs="Times New Roman"/>
                      <w:sz w:val="21"/>
                      <w:szCs w:val="21"/>
                      <w:lang w:val="en-US" w:eastAsia="zh-CN"/>
                    </w:rPr>
                    <w:t>1/7.5</w:t>
                  </w:r>
                  <w:r>
                    <w:rPr>
                      <w:rFonts w:hint="eastAsia" w:ascii="Times New Roman" w:hAnsi="Times New Roman" w:eastAsia="宋体" w:cs="Times New Roman"/>
                      <w:sz w:val="21"/>
                      <w:szCs w:val="21"/>
                      <w:lang w:val="en-US" w:eastAsia="zh-CN"/>
                    </w:rPr>
                    <w:t>。桥梁起讫里程：</w:t>
                  </w:r>
                  <w:r>
                    <w:rPr>
                      <w:rFonts w:hint="default" w:ascii="Times New Roman" w:hAnsi="Times New Roman" w:eastAsia="宋体" w:cs="Times New Roman"/>
                      <w:sz w:val="21"/>
                      <w:szCs w:val="21"/>
                      <w:lang w:val="en-US" w:eastAsia="zh-CN"/>
                    </w:rPr>
                    <w:t>AK0+032~AK0+085.5</w:t>
                  </w:r>
                  <w:r>
                    <w:rPr>
                      <w:rFonts w:hint="eastAsia" w:ascii="Times New Roman" w:hAnsi="Times New Roman" w:eastAsia="宋体" w:cs="Times New Roman"/>
                      <w:sz w:val="21"/>
                      <w:szCs w:val="21"/>
                      <w:lang w:val="en-US" w:eastAsia="zh-CN"/>
                    </w:rPr>
                    <w:t>，桥梁总长度</w:t>
                  </w:r>
                  <w:r>
                    <w:rPr>
                      <w:rFonts w:hint="default" w:ascii="Times New Roman" w:hAnsi="Times New Roman" w:eastAsia="宋体" w:cs="Times New Roman"/>
                      <w:sz w:val="21"/>
                      <w:szCs w:val="21"/>
                      <w:lang w:val="en-US" w:eastAsia="zh-CN"/>
                    </w:rPr>
                    <w:t>53.5m</w:t>
                  </w:r>
                  <w:r>
                    <w:rPr>
                      <w:rFonts w:hint="eastAsia" w:ascii="Times New Roman" w:hAnsi="Times New Roman" w:eastAsia="宋体" w:cs="Times New Roman"/>
                      <w:sz w:val="21"/>
                      <w:szCs w:val="21"/>
                      <w:lang w:val="en-US" w:eastAsia="zh-CN"/>
                    </w:rPr>
                    <w:t>，宽度</w:t>
                  </w:r>
                  <w:r>
                    <w:rPr>
                      <w:rFonts w:hint="default" w:ascii="Times New Roman" w:hAnsi="Times New Roman" w:eastAsia="宋体" w:cs="Times New Roman"/>
                      <w:sz w:val="21"/>
                      <w:szCs w:val="21"/>
                      <w:lang w:val="en-US" w:eastAsia="zh-CN"/>
                    </w:rPr>
                    <w:t>32m</w:t>
                  </w:r>
                  <w:r>
                    <w:rPr>
                      <w:rFonts w:hint="eastAsia" w:ascii="Times New Roman" w:hAnsi="Times New Roman" w:eastAsia="宋体" w:cs="Times New Roman"/>
                      <w:sz w:val="21"/>
                      <w:szCs w:val="21"/>
                      <w:lang w:val="en-US" w:eastAsia="zh-CN"/>
                    </w:rPr>
                    <w:t>。未在河中设墩，未侵占百年一遇设计洪水行洪断面。主要为校内人行出入口。</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噪声</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352"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p>
              </w:tc>
              <w:tc>
                <w:tcPr>
                  <w:tcW w:w="533"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子槽沟2号大桥</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采用</w:t>
                  </w:r>
                  <w:r>
                    <w:rPr>
                      <w:rFonts w:hint="default" w:ascii="Times New Roman" w:hAnsi="Times New Roman" w:eastAsia="宋体" w:cs="Times New Roman"/>
                      <w:sz w:val="21"/>
                      <w:szCs w:val="21"/>
                      <w:lang w:val="en-US" w:eastAsia="zh-CN"/>
                    </w:rPr>
                    <w:t>1-55m</w:t>
                  </w:r>
                  <w:r>
                    <w:rPr>
                      <w:rFonts w:hint="eastAsia" w:ascii="Times New Roman" w:hAnsi="Times New Roman" w:eastAsia="宋体" w:cs="Times New Roman"/>
                      <w:sz w:val="21"/>
                      <w:szCs w:val="21"/>
                      <w:lang w:val="en-US" w:eastAsia="zh-CN"/>
                    </w:rPr>
                    <w:t>拱桥跨越改移河道，矢高</w:t>
                  </w:r>
                  <w:r>
                    <w:rPr>
                      <w:rFonts w:hint="default" w:ascii="Times New Roman" w:hAnsi="Times New Roman" w:eastAsia="宋体" w:cs="Times New Roman"/>
                      <w:sz w:val="21"/>
                      <w:szCs w:val="21"/>
                      <w:lang w:val="en-US" w:eastAsia="zh-CN"/>
                    </w:rPr>
                    <w:t>7.5m</w:t>
                  </w:r>
                  <w:r>
                    <w:rPr>
                      <w:rFonts w:hint="eastAsia" w:ascii="Times New Roman" w:hAnsi="Times New Roman" w:eastAsia="宋体" w:cs="Times New Roman"/>
                      <w:sz w:val="21"/>
                      <w:szCs w:val="21"/>
                      <w:lang w:val="en-US" w:eastAsia="zh-CN"/>
                    </w:rPr>
                    <w:t>，矢跨比</w:t>
                  </w:r>
                  <w:r>
                    <w:rPr>
                      <w:rFonts w:hint="default" w:ascii="Times New Roman" w:hAnsi="Times New Roman" w:eastAsia="宋体" w:cs="Times New Roman"/>
                      <w:sz w:val="21"/>
                      <w:szCs w:val="21"/>
                      <w:lang w:val="en-US" w:eastAsia="zh-CN"/>
                    </w:rPr>
                    <w:t>1/7.3</w:t>
                  </w:r>
                  <w:r>
                    <w:rPr>
                      <w:rFonts w:hint="eastAsia" w:ascii="Times New Roman" w:hAnsi="Times New Roman" w:eastAsia="宋体" w:cs="Times New Roman"/>
                      <w:sz w:val="21"/>
                      <w:szCs w:val="21"/>
                      <w:lang w:val="en-US" w:eastAsia="zh-CN"/>
                    </w:rPr>
                    <w:t>桥梁起讫里程：</w:t>
                  </w:r>
                  <w:r>
                    <w:rPr>
                      <w:rFonts w:hint="default" w:ascii="Times New Roman" w:hAnsi="Times New Roman" w:eastAsia="宋体" w:cs="Times New Roman"/>
                      <w:sz w:val="21"/>
                      <w:szCs w:val="21"/>
                      <w:lang w:val="en-US" w:eastAsia="zh-CN"/>
                    </w:rPr>
                    <w:t>AK0+020~AK0+083</w:t>
                  </w:r>
                  <w:r>
                    <w:rPr>
                      <w:rFonts w:hint="eastAsia" w:ascii="Times New Roman" w:hAnsi="Times New Roman" w:eastAsia="宋体" w:cs="Times New Roman"/>
                      <w:sz w:val="21"/>
                      <w:szCs w:val="21"/>
                      <w:lang w:val="en-US" w:eastAsia="zh-CN"/>
                    </w:rPr>
                    <w:t>，桥梁长度</w:t>
                  </w:r>
                  <w:r>
                    <w:rPr>
                      <w:rFonts w:hint="default" w:ascii="Times New Roman" w:hAnsi="Times New Roman" w:eastAsia="宋体" w:cs="Times New Roman"/>
                      <w:sz w:val="21"/>
                      <w:szCs w:val="21"/>
                      <w:lang w:val="en-US" w:eastAsia="zh-CN"/>
                    </w:rPr>
                    <w:t>63m</w:t>
                  </w:r>
                  <w:r>
                    <w:rPr>
                      <w:rFonts w:hint="eastAsia" w:ascii="Times New Roman" w:hAnsi="Times New Roman" w:eastAsia="宋体" w:cs="Times New Roman"/>
                      <w:sz w:val="21"/>
                      <w:szCs w:val="21"/>
                      <w:lang w:val="en-US" w:eastAsia="zh-CN"/>
                    </w:rPr>
                    <w:t>，桥梁宽度</w:t>
                  </w:r>
                  <w:r>
                    <w:rPr>
                      <w:rFonts w:hint="default" w:ascii="Times New Roman" w:hAnsi="Times New Roman" w:eastAsia="宋体" w:cs="Times New Roman"/>
                      <w:sz w:val="21"/>
                      <w:szCs w:val="21"/>
                      <w:lang w:val="en-US" w:eastAsia="zh-CN"/>
                    </w:rPr>
                    <w:t>48m</w:t>
                  </w:r>
                  <w:r>
                    <w:rPr>
                      <w:rFonts w:hint="eastAsia" w:ascii="Times New Roman" w:hAnsi="Times New Roman" w:eastAsia="宋体" w:cs="Times New Roman"/>
                      <w:sz w:val="21"/>
                      <w:szCs w:val="21"/>
                      <w:lang w:val="en-US" w:eastAsia="zh-CN"/>
                    </w:rPr>
                    <w:t>。未在河中设墩，未侵占百年一遇设计洪水行洪断面。主要为校内车行出入口。</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auto"/>
                      <w:kern w:val="0"/>
                      <w:sz w:val="21"/>
                      <w:szCs w:val="21"/>
                    </w:rPr>
                    <w:t>交通噪声、汽车尾气</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消防系统</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项目地块内设有3座消防水池，一座有效体积为720立方米的室内外消防水池，另外2座为有效体积为288立方米的室外消防水池；室内外消防水池旁设置一座消防水泵房，室内消火栓泵、自动喷淋泵、自动消防炮加压泵。水量及扬程能够满足本地块消防用水要求。在最高一栋建筑屋顶设一座消防水箱，消防水箱有效容积</w:t>
                  </w:r>
                  <w:r>
                    <w:rPr>
                      <w:rFonts w:hint="eastAsia" w:ascii="Times New Roman" w:hAnsi="Times New Roman" w:eastAsia="宋体" w:cs="Times New Roman"/>
                      <w:sz w:val="21"/>
                      <w:szCs w:val="21"/>
                      <w:lang w:val="en-US" w:eastAsia="zh-CN"/>
                    </w:rPr>
                    <w:t>为</w:t>
                  </w:r>
                  <w:r>
                    <w:rPr>
                      <w:rFonts w:hint="default" w:ascii="Times New Roman" w:hAnsi="Times New Roman" w:eastAsia="宋体" w:cs="Times New Roman"/>
                      <w:sz w:val="21"/>
                      <w:szCs w:val="21"/>
                      <w:lang w:val="en-US" w:eastAsia="zh-CN"/>
                    </w:rPr>
                    <w:t>18m³屋顶水箱，供整个地块消防使用。</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配电房</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位于本地块地下室，设置6台1600kVA 和6 台1250kVA 变压器</w:t>
                  </w:r>
                  <w:r>
                    <w:rPr>
                      <w:rFonts w:hint="eastAsia" w:ascii="Times New Roman" w:hAnsi="Times New Roman" w:eastAsia="宋体" w:cs="Times New Roman"/>
                      <w:sz w:val="26"/>
                      <w:szCs w:val="28"/>
                      <w:lang w:val="en-US"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噪声</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备用发电机房</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位于本地块地下室，设置</w:t>
                  </w:r>
                  <w:r>
                    <w:rPr>
                      <w:rFonts w:hint="eastAsia" w:ascii="Times New Roman" w:hAnsi="Times New Roman" w:eastAsia="宋体" w:cs="Times New Roman"/>
                      <w:color w:val="auto"/>
                      <w:sz w:val="21"/>
                      <w:szCs w:val="21"/>
                      <w:lang w:val="en-US" w:eastAsia="zh-CN"/>
                    </w:rPr>
                    <w:t>2台1200kW应急柴油发电机组、柴油储存间、发电机操作间等。</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color w:val="auto"/>
                    </w:rPr>
                    <w:t>废气</w:t>
                  </w:r>
                  <w:r>
                    <w:rPr>
                      <w:rFonts w:hint="eastAsia"/>
                      <w:color w:val="auto"/>
                    </w:rPr>
                    <w:t>、</w:t>
                  </w:r>
                  <w:r>
                    <w:rPr>
                      <w:color w:val="auto"/>
                    </w:rPr>
                    <w:t>噪声</w:t>
                  </w:r>
                  <w:r>
                    <w:rPr>
                      <w:rFonts w:hint="eastAsia"/>
                      <w:color w:val="auto"/>
                    </w:rPr>
                    <w:t>、</w:t>
                  </w:r>
                  <w:r>
                    <w:rPr>
                      <w:color w:val="auto"/>
                    </w:rPr>
                    <w:t>风险</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空调系统</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color w:val="auto"/>
                    </w:rPr>
                    <w:t>采用分体式空调</w:t>
                  </w:r>
                  <w:r>
                    <w:rPr>
                      <w:rFonts w:hint="eastAsia"/>
                      <w:color w:val="auto"/>
                      <w:lang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eastAsia="宋体"/>
                      <w:color w:val="auto"/>
                      <w:lang w:val="en-US" w:eastAsia="zh-CN"/>
                    </w:rPr>
                  </w:pPr>
                  <w:r>
                    <w:rPr>
                      <w:rFonts w:hint="eastAsia"/>
                      <w:color w:val="auto"/>
                      <w:lang w:val="en-US" w:eastAsia="zh-CN"/>
                    </w:rPr>
                    <w:t>空调冷凝水</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color w:val="auto"/>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风机房</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分布在地下室设备间。</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噪声</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公辅工程</w:t>
                  </w: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供水系统</w:t>
                  </w:r>
                </w:p>
              </w:tc>
              <w:tc>
                <w:tcPr>
                  <w:tcW w:w="4335"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市政给水管网。</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9"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排水系统</w:t>
                  </w:r>
                </w:p>
              </w:tc>
              <w:tc>
                <w:tcPr>
                  <w:tcW w:w="4335" w:type="dxa"/>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雨污分流制，</w:t>
                  </w:r>
                  <w:r>
                    <w:rPr>
                      <w:rFonts w:hint="default" w:ascii="Times New Roman" w:hAnsi="Times New Roman" w:eastAsia="宋体" w:cs="Times New Roman"/>
                      <w:spacing w:val="9"/>
                      <w:sz w:val="21"/>
                      <w:szCs w:val="21"/>
                    </w:rPr>
                    <w:t>雨水由雨水管网系统收集后进入市</w:t>
                  </w:r>
                  <w:r>
                    <w:rPr>
                      <w:rFonts w:hint="default" w:ascii="Times New Roman" w:hAnsi="Times New Roman" w:eastAsia="宋体" w:cs="Times New Roman"/>
                      <w:spacing w:val="18"/>
                      <w:sz w:val="21"/>
                      <w:szCs w:val="21"/>
                    </w:rPr>
                    <w:t>政</w:t>
                  </w:r>
                  <w:r>
                    <w:rPr>
                      <w:rFonts w:hint="default" w:ascii="Times New Roman" w:hAnsi="Times New Roman" w:eastAsia="宋体" w:cs="Times New Roman"/>
                      <w:spacing w:val="10"/>
                      <w:sz w:val="21"/>
                      <w:szCs w:val="21"/>
                    </w:rPr>
                    <w:t>雨</w:t>
                  </w:r>
                  <w:r>
                    <w:rPr>
                      <w:rFonts w:hint="default" w:ascii="Times New Roman" w:hAnsi="Times New Roman" w:eastAsia="宋体" w:cs="Times New Roman"/>
                      <w:spacing w:val="9"/>
                      <w:sz w:val="21"/>
                      <w:szCs w:val="21"/>
                    </w:rPr>
                    <w:t>水管网，其他废水</w:t>
                  </w:r>
                  <w:r>
                    <w:rPr>
                      <w:rFonts w:hint="default" w:ascii="Times New Roman" w:hAnsi="Times New Roman" w:eastAsia="宋体" w:cs="Times New Roman"/>
                      <w:spacing w:val="9"/>
                      <w:sz w:val="21"/>
                      <w:szCs w:val="21"/>
                      <w:lang w:val="en-US" w:eastAsia="zh-CN"/>
                    </w:rPr>
                    <w:t>预处理</w:t>
                  </w:r>
                  <w:r>
                    <w:rPr>
                      <w:rFonts w:hint="default" w:ascii="Times New Roman" w:hAnsi="Times New Roman" w:eastAsia="宋体" w:cs="Times New Roman"/>
                      <w:spacing w:val="9"/>
                      <w:sz w:val="21"/>
                      <w:szCs w:val="21"/>
                    </w:rPr>
                    <w:t>后排入市政</w:t>
                  </w:r>
                  <w:r>
                    <w:rPr>
                      <w:rFonts w:hint="default" w:ascii="Times New Roman" w:hAnsi="Times New Roman" w:eastAsia="宋体" w:cs="Times New Roman"/>
                      <w:spacing w:val="9"/>
                      <w:sz w:val="21"/>
                      <w:szCs w:val="21"/>
                      <w:lang w:val="en-US" w:eastAsia="zh-CN"/>
                    </w:rPr>
                    <w:t>污水</w:t>
                  </w:r>
                  <w:r>
                    <w:rPr>
                      <w:rFonts w:hint="default" w:ascii="Times New Roman" w:hAnsi="Times New Roman" w:eastAsia="宋体" w:cs="Times New Roman"/>
                      <w:spacing w:val="9"/>
                      <w:sz w:val="21"/>
                      <w:szCs w:val="21"/>
                    </w:rPr>
                    <w:t>管网</w:t>
                  </w:r>
                  <w:r>
                    <w:rPr>
                      <w:rFonts w:hint="default" w:ascii="Times New Roman" w:hAnsi="Times New Roman" w:eastAsia="宋体" w:cs="Times New Roman"/>
                      <w:spacing w:val="9"/>
                      <w:sz w:val="21"/>
                      <w:szCs w:val="21"/>
                      <w:lang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供电系统</w:t>
                  </w:r>
                </w:p>
              </w:tc>
              <w:tc>
                <w:tcPr>
                  <w:tcW w:w="4335"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市政电网。</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供气系统</w:t>
                  </w: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spacing w:val="10"/>
                      <w:sz w:val="21"/>
                      <w:szCs w:val="21"/>
                      <w:lang w:val="en-US" w:eastAsia="zh-CN"/>
                    </w:rPr>
                    <w:t>市政</w:t>
                  </w:r>
                  <w:r>
                    <w:rPr>
                      <w:rFonts w:ascii="宋体" w:hAnsi="宋体" w:eastAsia="宋体" w:cs="宋体"/>
                      <w:spacing w:val="6"/>
                      <w:sz w:val="21"/>
                      <w:szCs w:val="21"/>
                    </w:rPr>
                    <w:t>天然气管网</w:t>
                  </w:r>
                  <w:r>
                    <w:rPr>
                      <w:rFonts w:hint="eastAsia" w:ascii="宋体" w:hAnsi="宋体" w:eastAsia="宋体" w:cs="宋体"/>
                      <w:spacing w:val="6"/>
                      <w:sz w:val="21"/>
                      <w:szCs w:val="21"/>
                      <w:lang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办公生活设施</w:t>
                  </w: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食堂及学生活动中心</w:t>
                  </w: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共2栋，4F/5F，砖混结构，总</w:t>
                  </w:r>
                  <w:r>
                    <w:rPr>
                      <w:rFonts w:ascii="宋体" w:hAnsi="宋体" w:eastAsia="宋体" w:cs="宋体"/>
                      <w:spacing w:val="-3"/>
                      <w:sz w:val="21"/>
                      <w:szCs w:val="21"/>
                    </w:rPr>
                    <w:t>建筑面积约</w:t>
                  </w:r>
                  <w:r>
                    <w:rPr>
                      <w:rFonts w:hint="eastAsia" w:ascii="Times New Roman" w:hAnsi="Times New Roman" w:eastAsia="宋体" w:cs="Times New Roman"/>
                      <w:i w:val="0"/>
                      <w:iCs w:val="0"/>
                      <w:color w:val="000000"/>
                      <w:kern w:val="0"/>
                      <w:sz w:val="21"/>
                      <w:szCs w:val="21"/>
                      <w:u w:val="none"/>
                      <w:lang w:val="en-US" w:eastAsia="zh-CN" w:bidi="ar"/>
                    </w:rPr>
                    <w:t>25613.85m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r>
                    <w:rPr>
                      <w:rFonts w:ascii="宋体" w:hAnsi="宋体" w:eastAsia="宋体" w:cs="宋体"/>
                      <w:spacing w:val="-2"/>
                      <w:sz w:val="21"/>
                      <w:szCs w:val="21"/>
                    </w:rPr>
                    <w:t>提供</w:t>
                  </w:r>
                  <w:r>
                    <w:rPr>
                      <w:rFonts w:hint="eastAsia" w:ascii="Times New Roman" w:hAnsi="Times New Roman" w:eastAsia="宋体" w:cs="Times New Roman"/>
                      <w:spacing w:val="-2"/>
                      <w:sz w:val="21"/>
                      <w:szCs w:val="21"/>
                      <w:lang w:val="en-US" w:eastAsia="zh-CN"/>
                    </w:rPr>
                    <w:t>10670人</w:t>
                  </w:r>
                  <w:r>
                    <w:rPr>
                      <w:rFonts w:ascii="宋体" w:hAnsi="宋体" w:eastAsia="宋体" w:cs="宋体"/>
                      <w:spacing w:val="-2"/>
                      <w:sz w:val="21"/>
                      <w:szCs w:val="21"/>
                    </w:rPr>
                    <w:t>师生</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后勤</w:t>
                  </w:r>
                  <w:r>
                    <w:rPr>
                      <w:rFonts w:ascii="宋体" w:hAnsi="宋体" w:eastAsia="宋体" w:cs="宋体"/>
                      <w:spacing w:val="-2"/>
                      <w:sz w:val="21"/>
                      <w:szCs w:val="21"/>
                    </w:rPr>
                    <w:t>同</w:t>
                  </w:r>
                  <w:r>
                    <w:rPr>
                      <w:rFonts w:ascii="宋体" w:hAnsi="宋体" w:eastAsia="宋体" w:cs="宋体"/>
                      <w:spacing w:val="-1"/>
                      <w:sz w:val="21"/>
                      <w:szCs w:val="21"/>
                    </w:rPr>
                    <w:t>时</w:t>
                  </w:r>
                  <w:r>
                    <w:rPr>
                      <w:rFonts w:ascii="宋体" w:hAnsi="宋体" w:eastAsia="宋体" w:cs="宋体"/>
                      <w:spacing w:val="4"/>
                      <w:sz w:val="21"/>
                      <w:szCs w:val="21"/>
                    </w:rPr>
                    <w:t>就</w:t>
                  </w:r>
                  <w:r>
                    <w:rPr>
                      <w:rFonts w:ascii="宋体" w:hAnsi="宋体" w:eastAsia="宋体" w:cs="宋体"/>
                      <w:spacing w:val="3"/>
                      <w:sz w:val="21"/>
                      <w:szCs w:val="21"/>
                    </w:rPr>
                    <w:t>餐</w:t>
                  </w:r>
                  <w:r>
                    <w:rPr>
                      <w:rFonts w:hint="eastAsia" w:ascii="宋体" w:hAnsi="宋体" w:eastAsia="宋体" w:cs="宋体"/>
                      <w:spacing w:val="3"/>
                      <w:sz w:val="21"/>
                      <w:szCs w:val="21"/>
                      <w:lang w:val="en-US" w:eastAsia="zh-CN"/>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油烟、餐厨垃圾</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学生宿舍</w:t>
                  </w: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共8栋，6F，砖混结构，总</w:t>
                  </w:r>
                  <w:r>
                    <w:rPr>
                      <w:rFonts w:ascii="宋体" w:hAnsi="宋体" w:eastAsia="宋体" w:cs="宋体"/>
                      <w:spacing w:val="-3"/>
                      <w:sz w:val="21"/>
                      <w:szCs w:val="21"/>
                    </w:rPr>
                    <w:t>建筑面积约</w:t>
                  </w:r>
                  <w:r>
                    <w:rPr>
                      <w:rFonts w:hint="eastAsia" w:ascii="Times New Roman" w:hAnsi="Times New Roman" w:eastAsia="宋体" w:cs="Times New Roman"/>
                      <w:i w:val="0"/>
                      <w:iCs w:val="0"/>
                      <w:color w:val="000000"/>
                      <w:kern w:val="0"/>
                      <w:sz w:val="21"/>
                      <w:szCs w:val="21"/>
                      <w:u w:val="none"/>
                      <w:lang w:val="en-US" w:eastAsia="zh-CN" w:bidi="ar"/>
                    </w:rPr>
                    <w:t>77332.28m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p>
              </w:tc>
              <w:tc>
                <w:tcPr>
                  <w:tcW w:w="9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97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生活垃圾、生活污水</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环保工程</w:t>
                  </w:r>
                </w:p>
              </w:tc>
              <w:tc>
                <w:tcPr>
                  <w:tcW w:w="885" w:type="dxa"/>
                  <w:gridSpan w:val="2"/>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C0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cs="Times New Roman"/>
                      <w:b/>
                      <w:bCs/>
                      <w:iCs/>
                      <w:snapToGrid w:val="0"/>
                      <w:color w:val="auto"/>
                      <w:kern w:val="0"/>
                      <w:sz w:val="21"/>
                      <w:szCs w:val="21"/>
                      <w:highlight w:val="none"/>
                      <w:lang w:val="en-US" w:eastAsia="zh-CN"/>
                    </w:rPr>
                    <w:t>生活污水：</w:t>
                  </w:r>
                  <w:r>
                    <w:rPr>
                      <w:rFonts w:hint="eastAsia" w:ascii="Times New Roman" w:hAnsi="Times New Roman" w:eastAsia="宋体" w:cs="Times New Roman"/>
                      <w:b w:val="0"/>
                      <w:bCs w:val="0"/>
                      <w:color w:val="000000"/>
                      <w:kern w:val="0"/>
                      <w:sz w:val="21"/>
                      <w:szCs w:val="21"/>
                      <w:lang w:val="en-US" w:eastAsia="zh-CN" w:bidi="ar"/>
                    </w:rPr>
                    <w:t>在学生宿舍楼、博物馆、实训教学楼东南侧人员活动频繁的建筑物附近建设化粪池共4个，总有效容积不小于1400m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，生活污水经化粪池预处理达《污水综合排放标准》（GB8978-1996）中三级排放标准后排入西南侧道路下已建的市政污水管网，最终进入</w:t>
                  </w:r>
                  <w:r>
                    <w:rPr>
                      <w:rFonts w:hint="default" w:ascii="Times New Roman" w:hAnsi="Times New Roman" w:eastAsia="宋体" w:cs="Times New Roman"/>
                      <w:color w:val="000000"/>
                      <w:kern w:val="0"/>
                      <w:sz w:val="21"/>
                      <w:szCs w:val="21"/>
                      <w:lang w:val="en-US" w:eastAsia="zh-CN" w:bidi="ar"/>
                    </w:rPr>
                    <w:t>达州市第二</w:t>
                  </w:r>
                  <w:r>
                    <w:rPr>
                      <w:rFonts w:hint="eastAsia" w:ascii="Times New Roman" w:hAnsi="Times New Roman" w:eastAsia="宋体" w:cs="Times New Roman"/>
                      <w:color w:val="000000"/>
                      <w:kern w:val="0"/>
                      <w:sz w:val="21"/>
                      <w:szCs w:val="21"/>
                      <w:lang w:val="en-US" w:eastAsia="zh-CN" w:bidi="ar"/>
                    </w:rPr>
                    <w:t>城市生活</w:t>
                  </w:r>
                  <w:r>
                    <w:rPr>
                      <w:rFonts w:hint="default" w:ascii="Times New Roman" w:hAnsi="Times New Roman" w:eastAsia="宋体" w:cs="Times New Roman"/>
                      <w:color w:val="000000"/>
                      <w:kern w:val="0"/>
                      <w:sz w:val="21"/>
                      <w:szCs w:val="21"/>
                      <w:lang w:val="en-US" w:eastAsia="zh-CN" w:bidi="ar"/>
                    </w:rPr>
                    <w:t>污水处理厂</w:t>
                  </w:r>
                  <w:r>
                    <w:rPr>
                      <w:rFonts w:hint="eastAsia" w:ascii="Times New Roman" w:hAnsi="Times New Roman" w:eastAsia="宋体" w:cs="Times New Roman"/>
                      <w:color w:val="000000"/>
                      <w:kern w:val="0"/>
                      <w:sz w:val="21"/>
                      <w:szCs w:val="21"/>
                      <w:lang w:val="en-US" w:eastAsia="zh-CN" w:bidi="ar"/>
                    </w:rPr>
                    <w:t>处理。</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废水、污泥</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C00000"/>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食堂废水：</w:t>
                  </w:r>
                  <w:r>
                    <w:rPr>
                      <w:rFonts w:hint="eastAsia" w:ascii="Times New Roman" w:hAnsi="Times New Roman" w:eastAsia="宋体" w:cs="Times New Roman"/>
                      <w:b w:val="0"/>
                      <w:bCs w:val="0"/>
                      <w:color w:val="000000"/>
                      <w:kern w:val="0"/>
                      <w:sz w:val="21"/>
                      <w:szCs w:val="21"/>
                      <w:lang w:val="en-US" w:eastAsia="zh-CN" w:bidi="ar"/>
                    </w:rPr>
                    <w:t>在食堂北侧建设1个有效容积不小于10m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隔油池，食堂废水经隔油处理后排入化粪池与生活污水一同处理。</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C00000"/>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实验废水：</w:t>
                  </w:r>
                  <w:r>
                    <w:rPr>
                      <w:rFonts w:hint="eastAsia" w:ascii="Times New Roman" w:hAnsi="Times New Roman" w:eastAsia="宋体" w:cs="Times New Roman"/>
                      <w:b w:val="0"/>
                      <w:bCs w:val="0"/>
                      <w:color w:val="000000"/>
                      <w:kern w:val="0"/>
                      <w:sz w:val="21"/>
                      <w:szCs w:val="21"/>
                      <w:lang w:val="en-US" w:eastAsia="zh-CN" w:bidi="ar"/>
                    </w:rPr>
                    <w:t>在实训中心西侧建设1个4m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酸碱中和池，实验废水经中和处置至pH值中性后，经专用管道排入化粪池与生活污水一同处理。</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C0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实验室废气：</w:t>
                  </w:r>
                  <w:r>
                    <w:rPr>
                      <w:rFonts w:hint="eastAsia" w:ascii="Times New Roman" w:hAnsi="Times New Roman" w:eastAsia="宋体" w:cs="Times New Roman"/>
                      <w:b w:val="0"/>
                      <w:bCs w:val="0"/>
                      <w:color w:val="auto"/>
                      <w:kern w:val="0"/>
                      <w:sz w:val="21"/>
                      <w:szCs w:val="21"/>
                      <w:lang w:val="en-US" w:eastAsia="zh-CN" w:bidi="ar"/>
                    </w:rPr>
                    <w:t>实验室采用机械抽风，实验废气经通风橱收集，</w:t>
                  </w: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通风橱上方安装活性炭吸附罐，废气通过活性炭吸附后引至楼顶排放</w:t>
                  </w:r>
                  <w:r>
                    <w:rPr>
                      <w:rFonts w:hint="eastAsia" w:ascii="Times New Roman" w:hAnsi="Times New Roman" w:eastAsia="宋体" w:cs="Times New Roman"/>
                      <w:b w:val="0"/>
                      <w:bCs w:val="0"/>
                      <w:color w:val="auto"/>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食堂油烟：</w:t>
                  </w:r>
                  <w:r>
                    <w:rPr>
                      <w:rFonts w:hint="default" w:ascii="Times New Roman" w:hAnsi="Times New Roman" w:eastAsia="宋体" w:cs="Times New Roman"/>
                      <w:b w:val="0"/>
                      <w:bCs w:val="0"/>
                      <w:color w:val="auto"/>
                      <w:kern w:val="0"/>
                      <w:sz w:val="21"/>
                      <w:szCs w:val="21"/>
                      <w:lang w:val="en-US" w:eastAsia="zh-CN" w:bidi="ar"/>
                    </w:rPr>
                    <w:t>安装油烟净化器处理后，经专用管道引至屋顶排放</w:t>
                  </w:r>
                  <w:r>
                    <w:rPr>
                      <w:rFonts w:hint="eastAsia" w:ascii="Times New Roman" w:hAnsi="Times New Roman" w:eastAsia="宋体" w:cs="Times New Roman"/>
                      <w:b w:val="0"/>
                      <w:bCs w:val="0"/>
                      <w:color w:val="auto"/>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汽车尾气：</w:t>
                  </w:r>
                  <w:r>
                    <w:rPr>
                      <w:rFonts w:hint="default" w:ascii="Times New Roman" w:hAnsi="Times New Roman" w:cs="Times New Roman"/>
                      <w:color w:val="auto"/>
                      <w:sz w:val="21"/>
                      <w:szCs w:val="21"/>
                    </w:rPr>
                    <w:t>汽车尾气产生量较小，通过自然扩散，对环境影响较小</w:t>
                  </w:r>
                  <w:r>
                    <w:rPr>
                      <w:rFonts w:hint="eastAsia" w:ascii="Times New Roman" w:hAnsi="Times New Roman" w:cs="Times New Roman"/>
                      <w:color w:val="auto"/>
                      <w:sz w:val="21"/>
                      <w:szCs w:val="21"/>
                      <w:lang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尾气</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柴油发电机废气：</w:t>
                  </w:r>
                  <w:r>
                    <w:rPr>
                      <w:rFonts w:hint="default" w:ascii="Times New Roman" w:hAnsi="Times New Roman" w:eastAsia="宋体" w:cs="Times New Roman"/>
                      <w:b w:val="0"/>
                      <w:bCs w:val="0"/>
                      <w:color w:val="auto"/>
                      <w:kern w:val="0"/>
                      <w:sz w:val="21"/>
                      <w:szCs w:val="21"/>
                      <w:lang w:val="en-US" w:eastAsia="zh-CN" w:bidi="ar"/>
                    </w:rPr>
                    <w:t>采用机械送、排风的形式保持良好的通风性，柴油发电机排放的废气</w:t>
                  </w: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r>
                    <w:rPr>
                      <w:rFonts w:hint="eastAsia" w:ascii="Times New Roman" w:hAnsi="Times New Roman" w:eastAsia="宋体" w:cs="Times New Roman"/>
                      <w:b w:val="0"/>
                      <w:bCs w:val="0"/>
                      <w:color w:val="auto"/>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bidi="ar"/>
                    </w:rPr>
                    <w:t>垃圾收集点恶臭：</w:t>
                  </w:r>
                  <w:r>
                    <w:rPr>
                      <w:rFonts w:hint="default" w:ascii="Times New Roman" w:hAnsi="Times New Roman" w:eastAsia="宋体" w:cs="Times New Roman"/>
                      <w:b w:val="0"/>
                      <w:bCs w:val="0"/>
                      <w:color w:val="auto"/>
                      <w:kern w:val="0"/>
                      <w:sz w:val="21"/>
                      <w:szCs w:val="21"/>
                      <w:lang w:val="en-US" w:eastAsia="zh-CN" w:bidi="ar"/>
                    </w:rPr>
                    <w:t>密闭设置，垃圾应分类投放、日产日清，专人负责清理和喷洒消毒药水</w:t>
                  </w:r>
                  <w:r>
                    <w:rPr>
                      <w:rFonts w:hint="eastAsia" w:ascii="Times New Roman" w:hAnsi="Times New Roman" w:eastAsia="宋体" w:cs="Times New Roman"/>
                      <w:b w:val="0"/>
                      <w:bCs w:val="0"/>
                      <w:color w:val="auto"/>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恶臭</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000000"/>
                      <w:kern w:val="0"/>
                      <w:sz w:val="21"/>
                      <w:szCs w:val="21"/>
                      <w:lang w:val="en-US" w:eastAsia="zh-CN"/>
                    </w:rPr>
                    <w:t>公共活动场所噪声：</w:t>
                  </w:r>
                  <w:r>
                    <w:rPr>
                      <w:rFonts w:hint="eastAsia" w:ascii="Times New Roman" w:hAnsi="Times New Roman" w:cs="Times New Roman"/>
                      <w:color w:val="auto"/>
                      <w:spacing w:val="4"/>
                      <w:lang w:val="en-US" w:eastAsia="zh-CN"/>
                    </w:rPr>
                    <w:t>建筑隔声、</w:t>
                  </w:r>
                  <w:r>
                    <w:rPr>
                      <w:rFonts w:hint="default" w:ascii="Times New Roman" w:hAnsi="Times New Roman" w:cs="Times New Roman"/>
                      <w:color w:val="auto"/>
                      <w:spacing w:val="4"/>
                    </w:rPr>
                    <w:t>加强管理</w:t>
                  </w:r>
                  <w:r>
                    <w:rPr>
                      <w:rFonts w:hint="eastAsia" w:ascii="Times New Roman" w:hAnsi="Times New Roman" w:cs="Times New Roman"/>
                      <w:color w:val="auto"/>
                      <w:spacing w:val="4"/>
                      <w:lang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000000"/>
                      <w:kern w:val="0"/>
                      <w:sz w:val="21"/>
                      <w:szCs w:val="21"/>
                      <w:lang w:val="en-US" w:eastAsia="zh-CN"/>
                    </w:rPr>
                    <w:t>服务设施噪声：</w:t>
                  </w:r>
                  <w:r>
                    <w:rPr>
                      <w:rFonts w:hint="default" w:ascii="Times New Roman" w:hAnsi="Times New Roman" w:cs="Times New Roman"/>
                      <w:color w:val="auto"/>
                      <w:spacing w:val="4"/>
                    </w:rPr>
                    <w:t>设置独立</w:t>
                  </w:r>
                  <w:r>
                    <w:rPr>
                      <w:rFonts w:hint="default" w:ascii="Times New Roman" w:hAnsi="Times New Roman" w:cs="Times New Roman"/>
                      <w:color w:val="auto"/>
                      <w:sz w:val="21"/>
                      <w:szCs w:val="21"/>
                      <w:highlight w:val="none"/>
                    </w:rPr>
                    <w:t>的设备室</w:t>
                  </w:r>
                  <w:r>
                    <w:rPr>
                      <w:rFonts w:hint="default" w:ascii="Times New Roman" w:hAnsi="Times New Roman" w:cs="Times New Roman"/>
                      <w:color w:val="auto"/>
                      <w:spacing w:val="4"/>
                    </w:rPr>
                    <w:t>、安装减震垫、</w:t>
                  </w:r>
                  <w:r>
                    <w:rPr>
                      <w:rFonts w:hint="eastAsia" w:ascii="Times New Roman" w:hAnsi="Times New Roman" w:cs="Times New Roman"/>
                      <w:color w:val="auto"/>
                      <w:spacing w:val="4"/>
                      <w:lang w:val="en-US" w:eastAsia="zh-CN"/>
                    </w:rPr>
                    <w:t>消声器、</w:t>
                  </w:r>
                  <w:r>
                    <w:rPr>
                      <w:rFonts w:hint="default" w:ascii="Times New Roman" w:hAnsi="Times New Roman" w:cs="Times New Roman"/>
                      <w:color w:val="auto"/>
                      <w:spacing w:val="4"/>
                    </w:rPr>
                    <w:t>加强维护保养</w:t>
                  </w:r>
                  <w:r>
                    <w:rPr>
                      <w:rFonts w:hint="eastAsia" w:ascii="Times New Roman" w:hAnsi="Times New Roman" w:cs="Times New Roman"/>
                      <w:color w:val="auto"/>
                      <w:spacing w:val="4"/>
                      <w:lang w:eastAsia="zh-CN"/>
                    </w:rPr>
                    <w:t>、</w:t>
                  </w:r>
                  <w:r>
                    <w:rPr>
                      <w:rFonts w:hint="default" w:ascii="Times New Roman" w:hAnsi="Times New Roman" w:cs="Times New Roman"/>
                      <w:color w:val="auto"/>
                      <w:highlight w:val="none"/>
                    </w:rPr>
                    <w:t>管道采用柔性连接</w:t>
                  </w:r>
                  <w:r>
                    <w:rPr>
                      <w:rFonts w:hint="eastAsia" w:ascii="Times New Roman" w:hAnsi="Times New Roman" w:cs="Times New Roman"/>
                      <w:color w:val="auto"/>
                      <w:highlight w:val="none"/>
                      <w:lang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000000"/>
                      <w:kern w:val="0"/>
                      <w:sz w:val="21"/>
                      <w:szCs w:val="21"/>
                      <w:lang w:val="en-US" w:eastAsia="zh-CN"/>
                    </w:rPr>
                    <w:t>交通噪声：</w:t>
                  </w:r>
                  <w:r>
                    <w:rPr>
                      <w:rFonts w:hint="default" w:ascii="Times New Roman" w:hAnsi="Times New Roman" w:cs="Times New Roman"/>
                      <w:color w:val="auto"/>
                    </w:rPr>
                    <w:t>减速慢行，加强管理、设置禁止鸣笛等标识标牌</w:t>
                  </w:r>
                  <w:r>
                    <w:rPr>
                      <w:rFonts w:hint="eastAsia" w:ascii="Times New Roman" w:hAnsi="Times New Roman" w:cs="Times New Roman"/>
                      <w:color w:val="auto"/>
                      <w:lang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eastAsia" w:eastAsia="宋体"/>
                      <w:kern w:val="0"/>
                      <w:sz w:val="21"/>
                      <w:szCs w:val="21"/>
                      <w:lang w:val="en-US" w:eastAsia="zh-CN" w:bidi="ar-SA"/>
                    </w:rPr>
                  </w:pPr>
                  <w:r>
                    <w:rPr>
                      <w:rFonts w:hint="eastAsia"/>
                      <w:b/>
                      <w:bCs/>
                      <w:kern w:val="0"/>
                      <w:sz w:val="21"/>
                      <w:szCs w:val="21"/>
                    </w:rPr>
                    <w:t>生活垃圾</w:t>
                  </w:r>
                  <w:r>
                    <w:rPr>
                      <w:rFonts w:hint="eastAsia"/>
                      <w:b/>
                      <w:bCs/>
                      <w:kern w:val="0"/>
                      <w:sz w:val="21"/>
                      <w:szCs w:val="21"/>
                      <w:lang w:eastAsia="zh-CN"/>
                    </w:rPr>
                    <w:t>：</w:t>
                  </w:r>
                  <w:r>
                    <w:rPr>
                      <w:rFonts w:hint="eastAsia" w:ascii="宋体" w:hAnsi="宋体" w:eastAsia="宋体" w:cs="宋体"/>
                      <w:color w:val="000000"/>
                      <w:kern w:val="0"/>
                      <w:sz w:val="21"/>
                      <w:szCs w:val="21"/>
                      <w:lang w:val="en-US" w:eastAsia="zh-CN" w:bidi="ar"/>
                    </w:rPr>
                    <w:t>生活垃圾由校后勤处请专人每天将全校垃圾清运至垃圾临时堆放间，再统一运至市政垃圾站进行无害化处理，做到日产日清。</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eastAsia="宋体"/>
                      <w:kern w:val="0"/>
                      <w:sz w:val="21"/>
                      <w:szCs w:val="21"/>
                      <w:lang w:val="en-US" w:eastAsia="zh-CN" w:bidi="ar-SA"/>
                    </w:rPr>
                  </w:pPr>
                  <w:r>
                    <w:rPr>
                      <w:rFonts w:hint="eastAsia" w:eastAsia="宋体"/>
                      <w:b/>
                      <w:bCs/>
                      <w:kern w:val="0"/>
                      <w:sz w:val="21"/>
                      <w:szCs w:val="21"/>
                      <w:lang w:val="en-US" w:eastAsia="zh-CN"/>
                    </w:rPr>
                    <w:t>餐厨垃圾：</w:t>
                  </w:r>
                  <w:r>
                    <w:rPr>
                      <w:rFonts w:hint="default" w:ascii="Times New Roman" w:hAnsi="Times New Roman" w:eastAsia="宋体" w:cs="Times New Roman"/>
                      <w:b w:val="0"/>
                      <w:bCs w:val="0"/>
                      <w:color w:val="000000"/>
                      <w:kern w:val="0"/>
                      <w:sz w:val="21"/>
                      <w:szCs w:val="21"/>
                      <w:lang w:val="en-US" w:eastAsia="zh-CN" w:bidi="ar"/>
                    </w:rPr>
                    <w:t>签订餐厨垃圾（含隔油池清掏油污</w:t>
                  </w:r>
                  <w:r>
                    <w:rPr>
                      <w:rFonts w:hint="eastAsia" w:ascii="Times New Roman" w:hAnsi="Times New Roman" w:eastAsia="宋体"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回收协议，桶装收集后送相关单位，每日运送，不得排入市政下水道</w:t>
                  </w:r>
                  <w:r>
                    <w:rPr>
                      <w:rFonts w:hint="eastAsia" w:ascii="Times New Roman" w:hAnsi="Times New Roman" w:eastAsia="宋体" w:cs="Times New Roman"/>
                      <w:b w:val="0"/>
                      <w:bCs w:val="0"/>
                      <w:color w:val="000000"/>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eastAsia="宋体"/>
                      <w:kern w:val="0"/>
                      <w:sz w:val="21"/>
                      <w:szCs w:val="21"/>
                      <w:lang w:val="en-US" w:eastAsia="zh-CN" w:bidi="ar-SA"/>
                    </w:rPr>
                  </w:pPr>
                  <w:r>
                    <w:rPr>
                      <w:rFonts w:hint="eastAsia" w:eastAsia="宋体"/>
                      <w:b/>
                      <w:bCs/>
                      <w:kern w:val="0"/>
                      <w:sz w:val="21"/>
                      <w:szCs w:val="21"/>
                      <w:lang w:val="en-US" w:eastAsia="zh-CN"/>
                    </w:rPr>
                    <w:t>化粪池污泥：</w:t>
                  </w:r>
                  <w:r>
                    <w:rPr>
                      <w:rFonts w:hint="default" w:ascii="Times New Roman" w:hAnsi="Times New Roman" w:eastAsia="宋体" w:cs="Times New Roman"/>
                      <w:color w:val="000000"/>
                      <w:kern w:val="0"/>
                      <w:sz w:val="21"/>
                      <w:szCs w:val="21"/>
                      <w:lang w:val="en-US" w:eastAsia="zh-CN" w:bidi="ar"/>
                    </w:rPr>
                    <w:t>由环卫部门定期清掏处理</w:t>
                  </w:r>
                  <w:r>
                    <w:rPr>
                      <w:rFonts w:hint="eastAsia" w:ascii="Times New Roman" w:hAnsi="Times New Roman" w:eastAsia="宋体" w:cs="Times New Roman"/>
                      <w:color w:val="000000"/>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eastAsia="宋体"/>
                      <w:kern w:val="0"/>
                      <w:sz w:val="21"/>
                      <w:szCs w:val="21"/>
                      <w:lang w:val="en-US" w:eastAsia="zh-CN" w:bidi="ar-SA"/>
                    </w:rPr>
                  </w:pPr>
                  <w:r>
                    <w:rPr>
                      <w:rFonts w:hint="eastAsia" w:eastAsia="宋体"/>
                      <w:b/>
                      <w:bCs/>
                      <w:kern w:val="0"/>
                      <w:sz w:val="21"/>
                      <w:szCs w:val="21"/>
                      <w:lang w:val="en-US" w:eastAsia="zh-CN"/>
                    </w:rPr>
                    <w:t>动物尸体：</w:t>
                  </w:r>
                  <w:r>
                    <w:rPr>
                      <w:rFonts w:hint="default" w:ascii="Times New Roman" w:hAnsi="Times New Roman" w:eastAsia="宋体" w:cs="Times New Roman"/>
                      <w:color w:val="000000"/>
                      <w:kern w:val="0"/>
                      <w:sz w:val="21"/>
                      <w:szCs w:val="21"/>
                      <w:lang w:val="en-US" w:eastAsia="zh-CN" w:bidi="ar"/>
                    </w:rPr>
                    <w:t>装入专用尸体袋中存放于尸体冰柜内，动物垫料、动物粪便等废物经紫外线消毒处理后，与动物尸体一起委托具备《动物防疫条件合格证》等相关资质的单位运走，按规定进行集中无害化处理</w:t>
                  </w:r>
                  <w:r>
                    <w:rPr>
                      <w:rFonts w:hint="eastAsia" w:ascii="Times New Roman" w:hAnsi="Times New Roman" w:eastAsia="宋体" w:cs="Times New Roman"/>
                      <w:color w:val="000000"/>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eastAsia="宋体"/>
                      <w:kern w:val="0"/>
                      <w:sz w:val="21"/>
                      <w:szCs w:val="21"/>
                      <w:lang w:val="en-US" w:eastAsia="zh-CN" w:bidi="ar-SA"/>
                    </w:rPr>
                  </w:pPr>
                  <w:r>
                    <w:rPr>
                      <w:rFonts w:hint="eastAsia"/>
                      <w:b/>
                      <w:bCs/>
                      <w:kern w:val="0"/>
                      <w:sz w:val="21"/>
                      <w:szCs w:val="21"/>
                      <w:lang w:val="en-US" w:eastAsia="zh-CN"/>
                    </w:rPr>
                    <w:t>实验废弃物：</w:t>
                  </w:r>
                  <w:r>
                    <w:rPr>
                      <w:rFonts w:hint="eastAsia" w:ascii="Times New Roman" w:hAnsi="Times New Roman" w:eastAsia="宋体" w:cs="Times New Roman"/>
                      <w:color w:val="000000"/>
                      <w:kern w:val="0"/>
                      <w:sz w:val="21"/>
                      <w:szCs w:val="21"/>
                      <w:lang w:val="en-US" w:eastAsia="zh-CN" w:bidi="ar"/>
                    </w:rPr>
                    <w:t>使用</w:t>
                  </w:r>
                  <w:r>
                    <w:rPr>
                      <w:rFonts w:hint="default" w:ascii="宋体" w:hAnsi="宋体" w:eastAsia="宋体" w:cs="宋体"/>
                      <w:b w:val="0"/>
                      <w:bCs w:val="0"/>
                      <w:color w:val="000000"/>
                      <w:kern w:val="0"/>
                      <w:sz w:val="21"/>
                      <w:szCs w:val="21"/>
                      <w:lang w:val="en-US" w:eastAsia="zh-CN" w:bidi="ar"/>
                    </w:rPr>
                    <w:t>密封瓶</w:t>
                  </w:r>
                  <w:r>
                    <w:rPr>
                      <w:rFonts w:hint="eastAsia" w:ascii="宋体" w:hAnsi="宋体" w:eastAsia="宋体" w:cs="宋体"/>
                      <w:b w:val="0"/>
                      <w:bCs w:val="0"/>
                      <w:color w:val="000000"/>
                      <w:kern w:val="0"/>
                      <w:sz w:val="21"/>
                      <w:szCs w:val="21"/>
                      <w:lang w:val="en-US" w:eastAsia="zh-CN" w:bidi="ar"/>
                    </w:rPr>
                    <w:t>/密封袋分类收集后暂存于实验室危废暂存间，</w:t>
                  </w:r>
                  <w:r>
                    <w:rPr>
                      <w:rFonts w:hint="default" w:ascii="Times New Roman" w:hAnsi="Times New Roman" w:eastAsia="宋体" w:cs="Times New Roman"/>
                      <w:color w:val="000000"/>
                      <w:kern w:val="0"/>
                      <w:sz w:val="21"/>
                      <w:szCs w:val="21"/>
                      <w:lang w:val="en-US" w:eastAsia="zh-CN" w:bidi="ar"/>
                    </w:rPr>
                    <w:t>签订危废处置协议并定期交由危废资质单位处理</w:t>
                  </w:r>
                  <w:r>
                    <w:rPr>
                      <w:rFonts w:hint="eastAsia" w:ascii="Times New Roman" w:hAnsi="Times New Roman" w:eastAsia="宋体" w:cs="Times New Roman"/>
                      <w:color w:val="000000"/>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w:t>
                  </w:r>
                </w:p>
              </w:tc>
              <w:tc>
                <w:tcPr>
                  <w:tcW w:w="6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废活性炭：</w:t>
                  </w:r>
                  <w:r>
                    <w:rPr>
                      <w:rFonts w:hint="default" w:ascii="Times New Roman" w:hAnsi="Times New Roman" w:eastAsia="宋体" w:cs="Times New Roman"/>
                      <w:color w:val="000000"/>
                      <w:kern w:val="0"/>
                      <w:sz w:val="21"/>
                      <w:szCs w:val="21"/>
                      <w:lang w:val="en-US" w:eastAsia="zh-CN" w:bidi="ar"/>
                    </w:rPr>
                    <w:t>使用密封袋收集后暂存于</w:t>
                  </w:r>
                  <w:r>
                    <w:rPr>
                      <w:rFonts w:hint="eastAsia" w:ascii="Times New Roman" w:hAnsi="Times New Roman" w:eastAsia="宋体" w:cs="Times New Roman"/>
                      <w:color w:val="000000"/>
                      <w:kern w:val="0"/>
                      <w:sz w:val="21"/>
                      <w:szCs w:val="21"/>
                      <w:lang w:val="en-US" w:eastAsia="zh-CN" w:bidi="ar"/>
                    </w:rPr>
                    <w:t>实验室危废</w:t>
                  </w:r>
                  <w:r>
                    <w:rPr>
                      <w:rFonts w:hint="default" w:ascii="Times New Roman" w:hAnsi="Times New Roman" w:eastAsia="宋体" w:cs="Times New Roman"/>
                      <w:color w:val="000000"/>
                      <w:kern w:val="0"/>
                      <w:sz w:val="21"/>
                      <w:szCs w:val="21"/>
                      <w:lang w:val="en-US" w:eastAsia="zh-CN" w:bidi="ar"/>
                    </w:rPr>
                    <w:t>暂存间，签订危废处置协议并定期交由危废资质单位处理</w:t>
                  </w:r>
                  <w:r>
                    <w:rPr>
                      <w:rFonts w:hint="eastAsia" w:ascii="Times New Roman" w:hAnsi="Times New Roman" w:eastAsia="宋体" w:cs="Times New Roman"/>
                      <w:color w:val="000000"/>
                      <w:kern w:val="0"/>
                      <w:sz w:val="21"/>
                      <w:szCs w:val="21"/>
                      <w:lang w:val="en-US" w:eastAsia="zh-CN" w:bidi="ar"/>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地下水防范</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sz w:val="21"/>
                      <w:szCs w:val="21"/>
                    </w:rPr>
                  </w:pPr>
                  <w:r>
                    <w:rPr>
                      <w:rFonts w:hint="eastAsia"/>
                      <w:color w:val="000000"/>
                      <w:sz w:val="21"/>
                      <w:szCs w:val="21"/>
                    </w:rPr>
                    <w:t>按各功能单元所处的位置划分为重点防渗区</w:t>
                  </w:r>
                  <w:r>
                    <w:rPr>
                      <w:rFonts w:hint="eastAsia"/>
                      <w:color w:val="000000"/>
                      <w:sz w:val="21"/>
                      <w:szCs w:val="21"/>
                      <w:lang w:eastAsia="zh-CN"/>
                    </w:rPr>
                    <w:t>、</w:t>
                  </w:r>
                  <w:r>
                    <w:rPr>
                      <w:rFonts w:hint="eastAsia"/>
                      <w:color w:val="000000"/>
                      <w:sz w:val="21"/>
                      <w:szCs w:val="21"/>
                    </w:rPr>
                    <w:t>一般防渗区</w:t>
                  </w:r>
                  <w:r>
                    <w:rPr>
                      <w:rFonts w:hint="eastAsia"/>
                      <w:color w:val="000000"/>
                      <w:sz w:val="21"/>
                      <w:szCs w:val="21"/>
                      <w:lang w:eastAsia="zh-CN"/>
                    </w:rPr>
                    <w:t>、</w:t>
                  </w:r>
                  <w:r>
                    <w:rPr>
                      <w:rFonts w:hint="eastAsia"/>
                      <w:color w:val="000000"/>
                      <w:sz w:val="21"/>
                      <w:szCs w:val="21"/>
                      <w:lang w:val="en-US" w:eastAsia="zh-CN"/>
                    </w:rPr>
                    <w:t>简单防渗区</w:t>
                  </w:r>
                  <w:r>
                    <w:rPr>
                      <w:rFonts w:hint="eastAsia"/>
                      <w:color w:val="00000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kern w:val="0"/>
                      <w:sz w:val="21"/>
                      <w:szCs w:val="21"/>
                      <w:lang w:val="en-US" w:eastAsia="zh-CN"/>
                    </w:rPr>
                  </w:pPr>
                  <w:r>
                    <w:rPr>
                      <w:rFonts w:hint="eastAsia"/>
                      <w:b/>
                      <w:bCs/>
                      <w:kern w:val="0"/>
                      <w:sz w:val="21"/>
                      <w:szCs w:val="21"/>
                    </w:rPr>
                    <w:t>重点防渗区</w:t>
                  </w:r>
                  <w:r>
                    <w:rPr>
                      <w:rFonts w:hint="eastAsia"/>
                      <w:b/>
                      <w:bCs/>
                      <w:kern w:val="0"/>
                      <w:sz w:val="21"/>
                      <w:szCs w:val="21"/>
                      <w:lang w:eastAsia="zh-CN"/>
                    </w:rPr>
                    <w:t>：</w:t>
                  </w:r>
                  <w:r>
                    <w:rPr>
                      <w:rFonts w:hint="eastAsia"/>
                      <w:kern w:val="0"/>
                      <w:sz w:val="21"/>
                      <w:szCs w:val="21"/>
                    </w:rPr>
                    <w:t>危废暂存间</w:t>
                  </w:r>
                  <w:r>
                    <w:rPr>
                      <w:rFonts w:hint="eastAsia"/>
                      <w:kern w:val="0"/>
                      <w:sz w:val="21"/>
                      <w:szCs w:val="21"/>
                      <w:lang w:eastAsia="zh-CN"/>
                    </w:rPr>
                    <w:t>、</w:t>
                  </w:r>
                  <w:r>
                    <w:rPr>
                      <w:rFonts w:hint="eastAsia"/>
                      <w:kern w:val="0"/>
                      <w:sz w:val="21"/>
                      <w:szCs w:val="21"/>
                      <w:lang w:val="en-US" w:eastAsia="zh-CN"/>
                    </w:rPr>
                    <w:t>发电机房。采取</w:t>
                  </w:r>
                  <w:r>
                    <w:rPr>
                      <w:rFonts w:hint="eastAsia"/>
                      <w:kern w:val="0"/>
                      <w:sz w:val="21"/>
                      <w:szCs w:val="21"/>
                    </w:rPr>
                    <w:t>水泥硬化+瓷砖+2mm厚环氧树脂，液态物料桶置于托盘内</w:t>
                  </w:r>
                  <w:r>
                    <w:rPr>
                      <w:rFonts w:hint="eastAsia"/>
                      <w:kern w:val="0"/>
                      <w:sz w:val="21"/>
                      <w:szCs w:val="21"/>
                      <w:lang w:eastAsia="zh-CN"/>
                    </w:rPr>
                    <w:t>。</w:t>
                  </w:r>
                  <w:r>
                    <w:rPr>
                      <w:rFonts w:hint="eastAsia"/>
                      <w:kern w:val="0"/>
                      <w:sz w:val="21"/>
                      <w:szCs w:val="21"/>
                      <w:lang w:val="en-US" w:eastAsia="zh-CN"/>
                    </w:rPr>
                    <w:t>达到</w:t>
                  </w:r>
                  <w:r>
                    <w:rPr>
                      <w:rFonts w:hint="eastAsia"/>
                      <w:kern w:val="0"/>
                      <w:sz w:val="21"/>
                      <w:szCs w:val="21"/>
                    </w:rPr>
                    <w:t>等效黏土防渗层Mb≥6.0m，</w:t>
                  </w:r>
                  <w:r>
                    <w:rPr>
                      <w:kern w:val="0"/>
                      <w:sz w:val="21"/>
                      <w:szCs w:val="21"/>
                    </w:rPr>
                    <w:t>防渗层渗透系数</w:t>
                  </w:r>
                  <w:r>
                    <w:rPr>
                      <w:rFonts w:eastAsia="TimesNewRomanPSMT"/>
                      <w:kern w:val="0"/>
                      <w:sz w:val="21"/>
                      <w:szCs w:val="21"/>
                    </w:rPr>
                    <w:t>≤10</w:t>
                  </w:r>
                  <w:r>
                    <w:rPr>
                      <w:rFonts w:eastAsia="TimesNewRomanPSMT"/>
                      <w:kern w:val="0"/>
                      <w:sz w:val="21"/>
                      <w:szCs w:val="21"/>
                      <w:vertAlign w:val="superscript"/>
                    </w:rPr>
                    <w:t>-10</w:t>
                  </w:r>
                  <w:r>
                    <w:rPr>
                      <w:rFonts w:eastAsia="TimesNewRomanPSMT"/>
                      <w:kern w:val="0"/>
                      <w:sz w:val="21"/>
                      <w:szCs w:val="21"/>
                    </w:rPr>
                    <w:t>cm/s</w:t>
                  </w:r>
                  <w:r>
                    <w:rPr>
                      <w:rFonts w:hint="eastAsia" w:eastAsia="宋体"/>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kern w:val="0"/>
                      <w:sz w:val="21"/>
                      <w:szCs w:val="21"/>
                      <w:lang w:val="en-US" w:eastAsia="zh-CN"/>
                    </w:rPr>
                  </w:pPr>
                  <w:r>
                    <w:rPr>
                      <w:rFonts w:hint="eastAsia"/>
                      <w:b/>
                      <w:bCs/>
                      <w:kern w:val="0"/>
                      <w:sz w:val="21"/>
                      <w:szCs w:val="21"/>
                    </w:rPr>
                    <w:t>一般防渗区</w:t>
                  </w:r>
                  <w:r>
                    <w:rPr>
                      <w:rFonts w:hint="eastAsia"/>
                      <w:b/>
                      <w:bCs/>
                      <w:kern w:val="0"/>
                      <w:sz w:val="21"/>
                      <w:szCs w:val="21"/>
                      <w:lang w:eastAsia="zh-CN"/>
                    </w:rPr>
                    <w:t>：</w:t>
                  </w:r>
                  <w:r>
                    <w:rPr>
                      <w:rFonts w:hint="eastAsia"/>
                      <w:kern w:val="0"/>
                      <w:sz w:val="21"/>
                      <w:szCs w:val="21"/>
                      <w:lang w:val="en-US" w:eastAsia="zh-CN"/>
                    </w:rPr>
                    <w:t>实验室区域、隔油池、化粪池、中和池、垃圾临时堆放间、食堂加工区，各区域卫生间。采取</w:t>
                  </w:r>
                  <w:r>
                    <w:rPr>
                      <w:rFonts w:hint="eastAsia"/>
                      <w:kern w:val="0"/>
                      <w:sz w:val="21"/>
                      <w:szCs w:val="21"/>
                    </w:rPr>
                    <w:t>水泥硬化+瓷砖，实验试剂存储在专门的贮存柜内</w:t>
                  </w:r>
                  <w:r>
                    <w:rPr>
                      <w:rFonts w:hint="eastAsia"/>
                      <w:kern w:val="0"/>
                      <w:sz w:val="21"/>
                      <w:szCs w:val="21"/>
                      <w:lang w:eastAsia="zh-CN"/>
                    </w:rPr>
                    <w:t>。</w:t>
                  </w:r>
                  <w:r>
                    <w:rPr>
                      <w:rFonts w:hint="eastAsia"/>
                      <w:kern w:val="0"/>
                      <w:sz w:val="21"/>
                      <w:szCs w:val="21"/>
                    </w:rPr>
                    <w:t>抗渗混凝土硬化</w:t>
                  </w:r>
                  <w:r>
                    <w:rPr>
                      <w:rFonts w:hint="eastAsia"/>
                      <w:kern w:val="0"/>
                      <w:sz w:val="21"/>
                      <w:szCs w:val="21"/>
                      <w:lang w:eastAsia="zh-CN"/>
                    </w:rPr>
                    <w:t>。</w:t>
                  </w:r>
                  <w:r>
                    <w:rPr>
                      <w:rFonts w:hint="eastAsia"/>
                      <w:kern w:val="0"/>
                      <w:sz w:val="21"/>
                      <w:szCs w:val="21"/>
                      <w:lang w:val="en-US" w:eastAsia="zh-CN"/>
                    </w:rPr>
                    <w:t>达到</w:t>
                  </w:r>
                  <w:r>
                    <w:rPr>
                      <w:rFonts w:hint="eastAsia"/>
                      <w:kern w:val="0"/>
                      <w:sz w:val="21"/>
                      <w:szCs w:val="21"/>
                    </w:rPr>
                    <w:t>等效黏土防渗层Mb≥1.5m，K≤1</w:t>
                  </w:r>
                  <w:r>
                    <w:rPr>
                      <w:kern w:val="0"/>
                      <w:sz w:val="21"/>
                      <w:szCs w:val="21"/>
                    </w:rPr>
                    <w:t>×</w:t>
                  </w:r>
                  <w:r>
                    <w:rPr>
                      <w:rFonts w:hint="eastAsia"/>
                      <w:kern w:val="0"/>
                      <w:sz w:val="21"/>
                      <w:szCs w:val="21"/>
                    </w:rPr>
                    <w:t>10</w:t>
                  </w:r>
                  <w:r>
                    <w:rPr>
                      <w:rFonts w:hint="eastAsia"/>
                      <w:kern w:val="0"/>
                      <w:sz w:val="21"/>
                      <w:szCs w:val="21"/>
                      <w:vertAlign w:val="superscript"/>
                    </w:rPr>
                    <w:t>-7</w:t>
                  </w:r>
                  <w:r>
                    <w:rPr>
                      <w:rFonts w:hint="eastAsia"/>
                      <w:kern w:val="0"/>
                      <w:sz w:val="21"/>
                      <w:szCs w:val="21"/>
                    </w:rPr>
                    <w:t>cm/s</w:t>
                  </w:r>
                  <w:r>
                    <w:rPr>
                      <w:rFonts w:hint="eastAsia"/>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eastAsia" w:ascii="Times New Roman" w:hAnsi="Times New Roman" w:eastAsia="宋体" w:cs="Times New Roman"/>
                      <w:b/>
                      <w:bCs/>
                      <w:color w:val="000000"/>
                      <w:kern w:val="0"/>
                      <w:sz w:val="21"/>
                      <w:szCs w:val="21"/>
                      <w:lang w:val="en-US" w:eastAsia="zh-CN" w:bidi="ar"/>
                    </w:rPr>
                  </w:pPr>
                  <w:r>
                    <w:rPr>
                      <w:rFonts w:hint="eastAsia"/>
                      <w:b/>
                      <w:bCs/>
                      <w:kern w:val="0"/>
                      <w:sz w:val="21"/>
                      <w:szCs w:val="21"/>
                      <w:lang w:val="en-US" w:eastAsia="zh-CN"/>
                    </w:rPr>
                    <w:t>简单防渗区：</w:t>
                  </w:r>
                  <w:r>
                    <w:rPr>
                      <w:rFonts w:hint="eastAsia"/>
                      <w:kern w:val="0"/>
                      <w:sz w:val="21"/>
                      <w:szCs w:val="21"/>
                    </w:rPr>
                    <w:t>除重点防渗区、一般防渗区、绿化区域以外的其他区域</w:t>
                  </w:r>
                  <w:r>
                    <w:rPr>
                      <w:rFonts w:hint="eastAsia"/>
                      <w:kern w:val="0"/>
                      <w:sz w:val="21"/>
                      <w:szCs w:val="21"/>
                      <w:lang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88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绿化</w:t>
                  </w:r>
                </w:p>
              </w:tc>
              <w:tc>
                <w:tcPr>
                  <w:tcW w:w="4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left"/>
                    <w:textAlignment w:val="auto"/>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总绿地面积73547m</w:t>
                  </w:r>
                  <w:r>
                    <w:rPr>
                      <w:rFonts w:hint="eastAsia" w:ascii="Times New Roman" w:hAnsi="Times New Roman" w:eastAsia="宋体" w:cs="Times New Roman"/>
                      <w:b w:val="0"/>
                      <w:bCs w:val="0"/>
                      <w:color w:val="000000"/>
                      <w:kern w:val="0"/>
                      <w:sz w:val="21"/>
                      <w:szCs w:val="21"/>
                      <w:vertAlign w:val="superscript"/>
                      <w:lang w:val="en-US" w:eastAsia="zh-CN" w:bidi="ar"/>
                    </w:rPr>
                    <w:t>2</w:t>
                  </w:r>
                  <w:r>
                    <w:rPr>
                      <w:rFonts w:hint="eastAsia" w:ascii="Times New Roman" w:hAnsi="Times New Roman" w:eastAsia="宋体" w:cs="Times New Roman"/>
                      <w:b w:val="0"/>
                      <w:bCs w:val="0"/>
                      <w:color w:val="000000"/>
                      <w:kern w:val="0"/>
                      <w:sz w:val="21"/>
                      <w:szCs w:val="21"/>
                      <w:lang w:val="en-US" w:eastAsia="zh-CN" w:bidi="ar"/>
                    </w:rPr>
                    <w:t>，绿地率30.18%。</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bl>
          <w:p>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5、工程主要建设方案</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（1）河流改道</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textAlignment w:val="auto"/>
              <w:rPr>
                <w:rFonts w:hint="default" w:ascii="Times New Roman" w:hAnsi="Times New Roman" w:eastAsia="宋体" w:cs="Times New Roman"/>
                <w:snapToGrid w:val="0"/>
                <w:color w:val="auto"/>
                <w:kern w:val="2"/>
                <w:sz w:val="24"/>
                <w:szCs w:val="24"/>
                <w:lang w:val="en-US" w:eastAsia="zh-CN" w:bidi="ar-SA"/>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建设单位</w:t>
            </w:r>
            <w:r>
              <w:rPr>
                <w:rFonts w:hint="default" w:ascii="Times New Roman" w:hAnsi="Times New Roman" w:eastAsia="宋体" w:cs="Times New Roman"/>
                <w:snapToGrid w:val="0"/>
                <w:color w:val="auto"/>
                <w:sz w:val="24"/>
                <w:szCs w:val="24"/>
              </w:rPr>
              <w:t>提供</w:t>
            </w:r>
            <w:r>
              <w:rPr>
                <w:rFonts w:hint="default" w:ascii="Times New Roman" w:hAnsi="Times New Roman" w:eastAsia="宋体" w:cs="Times New Roman"/>
                <w:snapToGrid w:val="0"/>
                <w:color w:val="auto"/>
                <w:kern w:val="2"/>
                <w:sz w:val="24"/>
                <w:szCs w:val="24"/>
                <w:lang w:val="en-US" w:eastAsia="zh-CN" w:bidi="ar-SA"/>
              </w:rPr>
              <w:t>的《</w:t>
            </w:r>
            <w:r>
              <w:rPr>
                <w:rFonts w:hint="eastAsia"/>
                <w:sz w:val="24"/>
                <w:szCs w:val="24"/>
                <w:lang w:val="en-GB" w:eastAsia="zh-CN"/>
              </w:rPr>
              <w:t>达州中医药职业学院产教融合实训与研究基地项目（一期）</w:t>
            </w:r>
            <w:r>
              <w:rPr>
                <w:rFonts w:hint="eastAsia"/>
                <w:sz w:val="24"/>
                <w:szCs w:val="24"/>
                <w:lang w:val="en-US" w:eastAsia="zh-CN"/>
              </w:rPr>
              <w:t>涉河方案报告</w:t>
            </w:r>
            <w:r>
              <w:rPr>
                <w:rFonts w:hint="default" w:ascii="Times New Roman" w:hAnsi="Times New Roman" w:eastAsia="宋体" w:cs="Times New Roman"/>
                <w:snapToGrid w:val="0"/>
                <w:color w:val="auto"/>
                <w:kern w:val="2"/>
                <w:sz w:val="24"/>
                <w:szCs w:val="24"/>
                <w:lang w:val="en-US" w:eastAsia="zh-CN" w:bidi="ar-SA"/>
              </w:rPr>
              <w:t>》中的工程设计，流河改道建设方案如下：</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2" w:firstLineChars="200"/>
              <w:textAlignment w:val="auto"/>
              <w:rPr>
                <w:rFonts w:hint="default" w:ascii="Times New Roman" w:hAnsi="Times New Roman" w:eastAsia="宋体" w:cs="Times New Roman"/>
                <w:b/>
                <w:bCs/>
                <w:snapToGrid w:val="0"/>
                <w:color w:val="auto"/>
                <w:sz w:val="24"/>
                <w:szCs w:val="24"/>
                <w:lang w:val="en-US" w:eastAsia="zh-CN"/>
              </w:rPr>
            </w:pPr>
            <w:r>
              <w:rPr>
                <w:rFonts w:hint="eastAsia" w:ascii="Times New Roman" w:hAnsi="Times New Roman" w:cs="Times New Roman"/>
                <w:b/>
                <w:bCs/>
                <w:snapToGrid w:val="0"/>
                <w:color w:val="auto"/>
                <w:sz w:val="24"/>
                <w:szCs w:val="24"/>
                <w:lang w:val="en-US" w:eastAsia="zh-CN"/>
              </w:rPr>
              <w:t>①</w:t>
            </w:r>
            <w:r>
              <w:rPr>
                <w:rFonts w:hint="default" w:ascii="Times New Roman" w:hAnsi="Times New Roman" w:cs="Times New Roman"/>
                <w:b/>
                <w:bCs/>
                <w:color w:val="auto"/>
                <w:sz w:val="24"/>
                <w:szCs w:val="24"/>
              </w:rPr>
              <w:t>工程总体布置</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snapToGrid w:val="0"/>
                <w:color w:val="auto"/>
                <w:sz w:val="24"/>
                <w:szCs w:val="24"/>
                <w:lang w:eastAsia="zh-CN"/>
              </w:rPr>
              <w:t>包括</w:t>
            </w:r>
            <w:r>
              <w:rPr>
                <w:rFonts w:hint="eastAsia" w:ascii="Times New Roman" w:hAnsi="Times New Roman" w:cs="Times New Roman"/>
                <w:snapToGrid w:val="0"/>
                <w:color w:val="auto"/>
                <w:sz w:val="24"/>
                <w:szCs w:val="24"/>
                <w:lang w:val="en-US" w:eastAsia="zh-CN"/>
              </w:rPr>
              <w:t>1</w:t>
            </w:r>
            <w:r>
              <w:rPr>
                <w:rFonts w:hint="default" w:ascii="Times New Roman" w:hAnsi="Times New Roman" w:cs="Times New Roman"/>
                <w:snapToGrid w:val="0"/>
                <w:color w:val="auto"/>
                <w:sz w:val="24"/>
                <w:szCs w:val="24"/>
                <w:lang w:val="en-US" w:eastAsia="zh-CN"/>
              </w:rPr>
              <w:t>处河流改道，</w:t>
            </w:r>
            <w:r>
              <w:rPr>
                <w:rFonts w:hint="default" w:ascii="Times New Roman" w:hAnsi="Times New Roman" w:cs="Times New Roman"/>
                <w:color w:val="auto"/>
                <w:sz w:val="24"/>
                <w:szCs w:val="24"/>
              </w:rPr>
              <w:t>涉及原河道总长</w:t>
            </w:r>
            <w:r>
              <w:rPr>
                <w:rFonts w:hint="eastAsia" w:ascii="Times New Roman" w:hAnsi="Times New Roman" w:cs="Times New Roman"/>
                <w:color w:val="auto"/>
                <w:sz w:val="24"/>
                <w:szCs w:val="24"/>
                <w:lang w:val="en-US" w:eastAsia="zh-CN"/>
              </w:rPr>
              <w:t>约776</w:t>
            </w:r>
            <w:r>
              <w:rPr>
                <w:rFonts w:hint="default" w:ascii="Times New Roman" w:hAnsi="Times New Roman" w:cs="Times New Roman"/>
                <w:color w:val="auto"/>
                <w:sz w:val="24"/>
                <w:szCs w:val="24"/>
              </w:rPr>
              <w:t>m，河流改道总长</w:t>
            </w:r>
            <w:r>
              <w:rPr>
                <w:color w:val="auto"/>
                <w:sz w:val="24"/>
                <w:szCs w:val="24"/>
              </w:rPr>
              <w:t>4</w:t>
            </w:r>
            <w:r>
              <w:rPr>
                <w:rFonts w:hint="eastAsia"/>
                <w:color w:val="auto"/>
                <w:sz w:val="24"/>
                <w:szCs w:val="24"/>
                <w:lang w:val="en-US" w:eastAsia="zh-CN"/>
              </w:rPr>
              <w:t>84.48</w:t>
            </w:r>
            <w:r>
              <w:rPr>
                <w:rFonts w:hint="default" w:ascii="Times New Roman" w:hAnsi="Times New Roman" w:cs="Times New Roman"/>
                <w:color w:val="auto"/>
                <w:sz w:val="24"/>
                <w:szCs w:val="24"/>
              </w:rPr>
              <w:t>m</w:t>
            </w:r>
            <w:r>
              <w:rPr>
                <w:rFonts w:hint="eastAsia" w:ascii="Times New Roman" w:hAnsi="Times New Roman" w:cs="Times New Roman"/>
                <w:color w:val="auto"/>
                <w:sz w:val="24"/>
                <w:szCs w:val="24"/>
                <w:lang w:eastAsia="zh-CN"/>
              </w:rPr>
              <w:t>，</w:t>
            </w:r>
            <w:r>
              <w:rPr>
                <w:rFonts w:hint="eastAsia"/>
                <w:color w:val="auto"/>
                <w:sz w:val="24"/>
                <w:szCs w:val="24"/>
                <w:lang w:val="en-US" w:eastAsia="zh-CN"/>
              </w:rPr>
              <w:t>相比原河道减少约291.52m</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起始</w:t>
            </w:r>
            <w:r>
              <w:rPr>
                <w:rFonts w:hint="eastAsia"/>
                <w:color w:val="auto"/>
                <w:sz w:val="24"/>
                <w:szCs w:val="24"/>
                <w:lang w:val="en-US" w:eastAsia="zh-CN"/>
              </w:rPr>
              <w:t>桩号：K0+000~K0+484.48。</w:t>
            </w:r>
            <w:r>
              <w:rPr>
                <w:rFonts w:hint="eastAsia" w:ascii="Times New Roman" w:hAnsi="Times New Roman" w:eastAsia="宋体" w:cs="Times New Roman"/>
                <w:color w:val="auto"/>
                <w:sz w:val="24"/>
                <w:szCs w:val="24"/>
                <w:lang w:val="en-US" w:eastAsia="zh-CN"/>
              </w:rPr>
              <w:t>起点坐标： X=456471.6 、Y=3462667.6；终点坐标：X=456191.5 、Y=3462193.9。</w:t>
            </w:r>
            <w:r>
              <w:rPr>
                <w:color w:val="auto"/>
                <w:sz w:val="24"/>
                <w:szCs w:val="24"/>
              </w:rPr>
              <w:t>改河通道位于校区滨河路和6号路之间穿越，河道弯曲半径按不小于100m设计，</w:t>
            </w:r>
            <w:r>
              <w:rPr>
                <w:rFonts w:hint="eastAsia"/>
                <w:color w:val="auto"/>
                <w:sz w:val="24"/>
                <w:szCs w:val="24"/>
              </w:rPr>
              <w:t>河道</w:t>
            </w:r>
            <w:r>
              <w:rPr>
                <w:color w:val="auto"/>
                <w:sz w:val="24"/>
                <w:szCs w:val="24"/>
              </w:rPr>
              <w:t>比降按6‰，入口泄水面高程305.62m，出口泄水面高程302.71m，</w:t>
            </w:r>
            <w:r>
              <w:rPr>
                <w:rFonts w:hint="eastAsia"/>
                <w:color w:val="auto"/>
                <w:sz w:val="24"/>
                <w:szCs w:val="24"/>
              </w:rPr>
              <w:t>河道</w:t>
            </w:r>
            <w:r>
              <w:rPr>
                <w:color w:val="auto"/>
                <w:sz w:val="24"/>
                <w:szCs w:val="24"/>
              </w:rPr>
              <w:t>出入口均设2米深垂裙。</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val="0"/>
                <w:bCs/>
                <w:sz w:val="24"/>
                <w:szCs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1649730</wp:posOffset>
                      </wp:positionH>
                      <wp:positionV relativeFrom="paragraph">
                        <wp:posOffset>137795</wp:posOffset>
                      </wp:positionV>
                      <wp:extent cx="705485" cy="277495"/>
                      <wp:effectExtent l="8255" t="7620" r="10160" b="457835"/>
                      <wp:wrapNone/>
                      <wp:docPr id="2" name="矩形标注 8"/>
                      <wp:cNvGraphicFramePr/>
                      <a:graphic xmlns:a="http://schemas.openxmlformats.org/drawingml/2006/main">
                        <a:graphicData uri="http://schemas.microsoft.com/office/word/2010/wordprocessingShape">
                          <wps:wsp>
                            <wps:cNvSpPr/>
                            <wps:spPr>
                              <a:xfrm>
                                <a:off x="0" y="0"/>
                                <a:ext cx="705485" cy="277495"/>
                              </a:xfrm>
                              <a:prstGeom prst="wedgeRectCallout">
                                <a:avLst>
                                  <a:gd name="adj1" fmla="val 40454"/>
                                  <a:gd name="adj2" fmla="val 197421"/>
                                </a:avLst>
                              </a:prstGeom>
                              <a:noFill/>
                              <a:ln w="15875" cap="flat" cmpd="sng">
                                <a:solidFill>
                                  <a:srgbClr val="00B0F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00B0F0"/>
                                      <w:sz w:val="24"/>
                                      <w:szCs w:val="24"/>
                                      <w:lang w:val="en-US" w:eastAsia="zh-CN"/>
                                    </w:rPr>
                                  </w:pPr>
                                  <w:r>
                                    <w:rPr>
                                      <w:rFonts w:hint="eastAsia"/>
                                      <w:color w:val="00B0F0"/>
                                      <w:sz w:val="24"/>
                                      <w:szCs w:val="24"/>
                                      <w:lang w:val="en-US" w:eastAsia="zh-CN"/>
                                    </w:rPr>
                                    <w:t>原河道</w:t>
                                  </w:r>
                                </w:p>
                              </w:txbxContent>
                            </wps:txbx>
                            <wps:bodyPr vert="horz" wrap="square" anchor="t" anchorCtr="0" upright="1"/>
                          </wps:wsp>
                        </a:graphicData>
                      </a:graphic>
                    </wp:anchor>
                  </w:drawing>
                </mc:Choice>
                <mc:Fallback>
                  <w:pict>
                    <v:shape id="矩形标注 8" o:spid="_x0000_s1026" o:spt="61" type="#_x0000_t61" style="position:absolute;left:0pt;margin-left:129.9pt;margin-top:10.85pt;height:21.85pt;width:55.55pt;z-index:251661312;mso-width-relative:page;mso-height-relative:page;" filled="f" stroked="t" coordsize="21600,21600" o:gfxdata="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QJXI2gAA&#10;AAkBAAAPAAAAAAAAAAEAIAAAACIAAABkcnMvZG93bnJldi54bWxQSwECFAAUAAAACACHTuJAnAGa&#10;XFUCAACXBAAADgAAAAAAAAABACAAAAApAQAAZHJzL2Uyb0RvYy54bWxQSwUGAAAAAAYABgBZAQAA&#10;8AUAAAAA&#10;" adj="19538,53443">
                      <v:fill on="f" focussize="0,0"/>
                      <v:stroke weight="1.25pt" color="#00B0F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00B0F0"/>
                                <w:sz w:val="24"/>
                                <w:szCs w:val="24"/>
                                <w:lang w:val="en-US" w:eastAsia="zh-CN"/>
                              </w:rPr>
                            </w:pPr>
                            <w:r>
                              <w:rPr>
                                <w:rFonts w:hint="eastAsia"/>
                                <w:color w:val="00B0F0"/>
                                <w:sz w:val="24"/>
                                <w:szCs w:val="24"/>
                                <w:lang w:val="en-US" w:eastAsia="zh-CN"/>
                              </w:rPr>
                              <w:t>原河道</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3368675</wp:posOffset>
                      </wp:positionH>
                      <wp:positionV relativeFrom="paragraph">
                        <wp:posOffset>1078865</wp:posOffset>
                      </wp:positionV>
                      <wp:extent cx="745490" cy="268605"/>
                      <wp:effectExtent l="325120" t="8255" r="15240" b="332740"/>
                      <wp:wrapNone/>
                      <wp:docPr id="3" name="矩形标注 8"/>
                      <wp:cNvGraphicFramePr/>
                      <a:graphic xmlns:a="http://schemas.openxmlformats.org/drawingml/2006/main">
                        <a:graphicData uri="http://schemas.microsoft.com/office/word/2010/wordprocessingShape">
                          <wps:wsp>
                            <wps:cNvSpPr/>
                            <wps:spPr>
                              <a:xfrm>
                                <a:off x="0" y="0"/>
                                <a:ext cx="745490" cy="268605"/>
                              </a:xfrm>
                              <a:prstGeom prst="wedgeRectCallout">
                                <a:avLst>
                                  <a:gd name="adj1" fmla="val -86111"/>
                                  <a:gd name="adj2" fmla="val 154963"/>
                                </a:avLst>
                              </a:prstGeom>
                              <a:noFill/>
                              <a:ln w="15875" cap="flat" cmpd="sng">
                                <a:solidFill>
                                  <a:srgbClr val="EF2EE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5EFF"/>
                                      <w:sz w:val="21"/>
                                      <w:szCs w:val="21"/>
                                      <w:lang w:val="en-US" w:eastAsia="zh-CN"/>
                                    </w:rPr>
                                  </w:pPr>
                                  <w:r>
                                    <w:rPr>
                                      <w:rFonts w:hint="eastAsia" w:eastAsia="宋体"/>
                                      <w:color w:val="FF5EFF"/>
                                      <w:sz w:val="21"/>
                                      <w:szCs w:val="21"/>
                                      <w:lang w:val="en-US" w:eastAsia="zh-CN"/>
                                    </w:rPr>
                                    <w:t>设计河道</w:t>
                                  </w:r>
                                </w:p>
                              </w:txbxContent>
                            </wps:txbx>
                            <wps:bodyPr vert="horz" wrap="square" anchor="t" anchorCtr="0" upright="1"/>
                          </wps:wsp>
                        </a:graphicData>
                      </a:graphic>
                    </wp:anchor>
                  </w:drawing>
                </mc:Choice>
                <mc:Fallback>
                  <w:pict>
                    <v:shape id="矩形标注 8" o:spid="_x0000_s1026" o:spt="61" type="#_x0000_t61" style="position:absolute;left:0pt;margin-left:265.25pt;margin-top:84.95pt;height:21.15pt;width:58.7pt;z-index:251662336;mso-width-relative:page;mso-height-relative:page;" filled="f" stroked="t" coordsize="21600,21600" o:gfxdata="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d3YyHaAAAA&#10;CwEAAA8AAAAAAAAAAQAgAAAAIgAAAGRycy9kb3ducmV2LnhtbFBLAQIUABQAAAAIAIdO4kC56V9C&#10;VAIAAJgEAAAOAAAAAAAAAAEAIAAAACkBAABkcnMvZTJvRG9jLnhtbFBLBQYAAAAABgAGAFkBAADv&#10;BQAAAAA=&#10;" adj="-7800,44272">
                      <v:fill on="f" focussize="0,0"/>
                      <v:stroke weight="1.25pt" color="#EF2EE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5EFF"/>
                                <w:sz w:val="21"/>
                                <w:szCs w:val="21"/>
                                <w:lang w:val="en-US" w:eastAsia="zh-CN"/>
                              </w:rPr>
                            </w:pPr>
                            <w:r>
                              <w:rPr>
                                <w:rFonts w:hint="eastAsia" w:eastAsia="宋体"/>
                                <w:color w:val="FF5EFF"/>
                                <w:sz w:val="21"/>
                                <w:szCs w:val="21"/>
                                <w:lang w:val="en-US" w:eastAsia="zh-CN"/>
                              </w:rPr>
                              <w:t>设计河道</w:t>
                            </w:r>
                          </w:p>
                        </w:txbxContent>
                      </v:textbox>
                    </v:shape>
                  </w:pict>
                </mc:Fallback>
              </mc:AlternateContent>
            </w:r>
            <w:r>
              <w:rPr>
                <w:color w:val="auto"/>
              </w:rPr>
              <w:drawing>
                <wp:inline distT="0" distB="0" distL="114300" distR="114300">
                  <wp:extent cx="2933700" cy="3373755"/>
                  <wp:effectExtent l="0" t="0" r="0" b="17145"/>
                  <wp:docPr id="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3"/>
                          <pic:cNvPicPr>
                            <a:picLocks noChangeAspect="1"/>
                          </pic:cNvPicPr>
                        </pic:nvPicPr>
                        <pic:blipFill>
                          <a:blip r:embed="rId12"/>
                          <a:srcRect l="4044" t="1474" r="2371" b="829"/>
                          <a:stretch>
                            <a:fillRect/>
                          </a:stretch>
                        </pic:blipFill>
                        <pic:spPr>
                          <a:xfrm>
                            <a:off x="0" y="0"/>
                            <a:ext cx="2933700" cy="337375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eastAsia="黑体" w:cs="Times New Roman"/>
                <w:color w:val="auto"/>
                <w:sz w:val="21"/>
              </w:rPr>
              <w:t>图</w:t>
            </w:r>
            <w:r>
              <w:rPr>
                <w:rFonts w:hint="default" w:ascii="Times New Roman" w:hAnsi="Times New Roman" w:eastAsia="黑体" w:cs="Times New Roman"/>
                <w:color w:val="auto"/>
                <w:sz w:val="21"/>
                <w:lang w:val="en-US" w:eastAsia="zh-CN"/>
              </w:rPr>
              <w:t>2</w:t>
            </w:r>
            <w:r>
              <w:rPr>
                <w:rFonts w:hint="default" w:ascii="Times New Roman" w:hAnsi="Times New Roman" w:eastAsia="黑体" w:cs="Times New Roman"/>
                <w:color w:val="auto"/>
                <w:sz w:val="21"/>
              </w:rPr>
              <w:t>-</w:t>
            </w:r>
            <w:r>
              <w:rPr>
                <w:rFonts w:hint="default" w:ascii="Times New Roman" w:hAnsi="Times New Roman" w:eastAsia="黑体" w:cs="Times New Roman"/>
                <w:color w:val="auto"/>
                <w:sz w:val="21"/>
                <w:lang w:val="en-US" w:eastAsia="zh-CN"/>
              </w:rPr>
              <w:t>1</w:t>
            </w:r>
            <w:r>
              <w:rPr>
                <w:rFonts w:hint="default" w:ascii="Times New Roman" w:hAnsi="Times New Roman" w:eastAsia="黑体" w:cs="Times New Roman"/>
                <w:color w:val="auto"/>
                <w:sz w:val="21"/>
              </w:rPr>
              <w:t>既有河道及河道</w:t>
            </w:r>
            <w:r>
              <w:rPr>
                <w:rFonts w:hint="default" w:ascii="Times New Roman" w:hAnsi="Times New Roman" w:eastAsia="黑体" w:cs="Times New Roman"/>
                <w:color w:val="auto"/>
                <w:sz w:val="21"/>
                <w:lang w:val="en-US" w:eastAsia="zh-CN"/>
              </w:rPr>
              <w:t>改道</w:t>
            </w:r>
            <w:r>
              <w:rPr>
                <w:rFonts w:hint="default" w:ascii="Times New Roman" w:hAnsi="Times New Roman" w:eastAsia="黑体" w:cs="Times New Roman"/>
                <w:color w:val="auto"/>
                <w:sz w:val="21"/>
              </w:rPr>
              <w:t>范围 （青色线为既有河道水边线、红色线为河道整治后水边线）</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②过水断面设计</w:t>
            </w:r>
            <w:bookmarkStart w:id="3" w:name="_Toc132017611"/>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本段河流整治起点河底泄水面高程305.15m，终点处河底泄水面高程为302.24m。设计河道比降按6‰设计。过水断面按照底宽7m，边坡1：0.5，深5m。</w:t>
            </w:r>
            <w:bookmarkEnd w:id="3"/>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过流断面：过流断面采用浆砌片石挡墙整体防护+铺砌形式。边墙顶宽1m～1.2m，胸坡1:0.5，背坡1:0.3，边墙高6m；底板采用0.5m浆砌片石进行砌筑，底板底下铺设0.3m碎石垫层。</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左岸边坡：左岸受发育岩层产状为300～310°∠30～35°的顺层影响，在改河坡顶按1：1.75稳定边坡进行顺层清方，边坡防护为锚杆框架梁护坡，节点间距4m×3m，框架内采用生态袋进行防护。坡顶与6号路交界处采用重力式挡墙支挡。</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右岸边坡：河道右岸与园区滨河路较近，高差较大，设计采用加筋土挡墙防护，加筋土挡墙坡度为1:0.3～1:0.5，每10m进行分级，每级之间设2m的平台。当局部坡脚应力较大时采用钻孔灌注桩进行预加固，钻孔灌注桩直径2m，长12m。</w:t>
            </w:r>
            <w:bookmarkStart w:id="4" w:name="_Toc132017612"/>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过水断面以上两岸边坡：河道右岸（近学校侧）采用加筋土挡墙防护；左岸受发育岩层产状为300～310°∠30～35°的顺层影响，在改河坡顶按1：1.75稳定边坡进行刷坡，坡顶与6号路交界处采用重力式挡墙支挡。</w:t>
            </w:r>
            <w:bookmarkEnd w:id="4"/>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代表性断面详见下图。</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val="0"/>
                <w:bCs/>
                <w:sz w:val="24"/>
                <w:szCs w:val="24"/>
                <w:lang w:val="en-US" w:eastAsia="zh-CN"/>
              </w:rPr>
            </w:pPr>
            <w:r>
              <w:rPr>
                <w:rFonts w:eastAsia="黑体"/>
                <w:b/>
                <w:color w:val="auto"/>
                <w:sz w:val="21"/>
                <w:highlight w:val="yellow"/>
              </w:rPr>
              <w:drawing>
                <wp:inline distT="0" distB="0" distL="114300" distR="114300">
                  <wp:extent cx="5259070" cy="2178685"/>
                  <wp:effectExtent l="0" t="0" r="17780" b="12065"/>
                  <wp:docPr id="11" name="图片 35" descr="E:\微信文件下载\WeChat Files\wxid_711bs03my6no12\FileStorage\Temp\168372165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E:\微信文件下载\WeChat Files\wxid_711bs03my6no12\FileStorage\Temp\1683721658989.png"/>
                          <pic:cNvPicPr>
                            <a:picLocks noChangeAspect="1"/>
                          </pic:cNvPicPr>
                        </pic:nvPicPr>
                        <pic:blipFill>
                          <a:blip r:embed="rId13"/>
                          <a:stretch>
                            <a:fillRect/>
                          </a:stretch>
                        </pic:blipFill>
                        <pic:spPr>
                          <a:xfrm>
                            <a:off x="0" y="0"/>
                            <a:ext cx="5259070" cy="217868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sz w:val="21"/>
                <w:szCs w:val="21"/>
                <w:highlight w:val="none"/>
                <w:lang w:val="en-US" w:eastAsia="zh-CN"/>
              </w:rPr>
            </w:pP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 xml:space="preserve">  改河标准横断面</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③</w:t>
            </w:r>
            <w:r>
              <w:rPr>
                <w:rFonts w:hint="eastAsia" w:ascii="Times New Roman" w:hAnsi="Times New Roman" w:eastAsia="宋体" w:cs="Times New Roman"/>
                <w:b/>
                <w:bCs w:val="0"/>
                <w:color w:val="auto"/>
                <w:sz w:val="24"/>
                <w:szCs w:val="24"/>
                <w:lang w:val="en-US" w:eastAsia="zh-CN"/>
              </w:rPr>
              <w:t>防洪</w:t>
            </w:r>
            <w:r>
              <w:rPr>
                <w:rFonts w:hint="default" w:ascii="Times New Roman" w:hAnsi="Times New Roman" w:eastAsia="宋体" w:cs="Times New Roman"/>
                <w:b/>
                <w:bCs w:val="0"/>
                <w:color w:val="auto"/>
                <w:sz w:val="24"/>
                <w:szCs w:val="24"/>
                <w:lang w:val="en-US" w:eastAsia="zh-CN"/>
              </w:rPr>
              <w:t>工程</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根据《城市防洪工程设计规范》(GB/T50805-2012)，本工程防洪工程等别为四等，对应的防洪标准为&lt;50，且≥20，为工程安全考虑，本次工程洪水标准为100年一遇。工程河段100年一遇设计流量为156m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/s。</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④设计水位、流速</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sz w:val="24"/>
                <w:szCs w:val="24"/>
                <w:lang w:val="en-US" w:eastAsia="zh-CN"/>
              </w:rPr>
            </w:pPr>
            <w:r>
              <w:rPr>
                <w:rFonts w:ascii="Times New Roman" w:eastAsia="宋体"/>
                <w:b w:val="0"/>
                <w:color w:val="auto"/>
                <w:sz w:val="24"/>
                <w:szCs w:val="24"/>
              </w:rPr>
              <w:t>工程河段河道水面线成果见</w:t>
            </w:r>
            <w:r>
              <w:rPr>
                <w:rFonts w:hint="eastAsia" w:ascii="Times New Roman" w:eastAsia="宋体"/>
                <w:b w:val="0"/>
                <w:color w:val="auto"/>
                <w:sz w:val="24"/>
                <w:szCs w:val="24"/>
                <w:lang w:val="en-US" w:eastAsia="zh-CN"/>
              </w:rPr>
              <w:t>下</w:t>
            </w:r>
            <w:r>
              <w:rPr>
                <w:rFonts w:ascii="Times New Roman" w:eastAsia="宋体"/>
                <w:b w:val="0"/>
                <w:color w:val="auto"/>
                <w:sz w:val="24"/>
                <w:szCs w:val="24"/>
              </w:rPr>
              <w:t>表，工程河段流速见</w:t>
            </w:r>
            <w:r>
              <w:rPr>
                <w:rFonts w:hint="eastAsia" w:ascii="Times New Roman" w:eastAsia="宋体"/>
                <w:b w:val="0"/>
                <w:color w:val="auto"/>
                <w:sz w:val="24"/>
                <w:szCs w:val="24"/>
                <w:lang w:val="en-US" w:eastAsia="zh-CN"/>
              </w:rPr>
              <w:t>下</w:t>
            </w:r>
            <w:r>
              <w:rPr>
                <w:rFonts w:ascii="Times New Roman" w:eastAsia="宋体"/>
                <w:b w:val="0"/>
                <w:color w:val="auto"/>
                <w:sz w:val="24"/>
                <w:szCs w:val="24"/>
              </w:rPr>
              <w:t>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1"/>
                <w:szCs w:val="21"/>
              </w:rPr>
            </w:pPr>
            <w:r>
              <w:rPr>
                <w:rFonts w:eastAsia="黑体"/>
                <w:color w:val="auto"/>
                <w:sz w:val="21"/>
                <w:szCs w:val="21"/>
              </w:rPr>
              <w:t>表</w:t>
            </w:r>
            <w:r>
              <w:rPr>
                <w:rFonts w:hint="eastAsia" w:eastAsia="黑体"/>
                <w:color w:val="auto"/>
                <w:sz w:val="21"/>
                <w:szCs w:val="21"/>
                <w:lang w:val="en-US" w:eastAsia="zh-CN"/>
              </w:rPr>
              <w:t>2-3</w:t>
            </w:r>
            <w:r>
              <w:rPr>
                <w:rFonts w:eastAsia="黑体"/>
                <w:color w:val="auto"/>
                <w:sz w:val="21"/>
                <w:szCs w:val="21"/>
              </w:rPr>
              <w:t xml:space="preserve"> 子槽河道整治段水面线成果表（单位m）</w:t>
            </w:r>
          </w:p>
          <w:tbl>
            <w:tblPr>
              <w:tblStyle w:val="25"/>
              <w:tblW w:w="8378" w:type="dxa"/>
              <w:jc w:val="center"/>
              <w:tblLayout w:type="fixed"/>
              <w:tblCellMar>
                <w:top w:w="0" w:type="dxa"/>
                <w:left w:w="108" w:type="dxa"/>
                <w:bottom w:w="0" w:type="dxa"/>
                <w:right w:w="108" w:type="dxa"/>
              </w:tblCellMar>
            </w:tblPr>
            <w:tblGrid>
              <w:gridCol w:w="1068"/>
              <w:gridCol w:w="1501"/>
              <w:gridCol w:w="1110"/>
              <w:gridCol w:w="1335"/>
              <w:gridCol w:w="1680"/>
              <w:gridCol w:w="1684"/>
            </w:tblGrid>
            <w:tr>
              <w:tblPrEx>
                <w:tblCellMar>
                  <w:top w:w="0" w:type="dxa"/>
                  <w:left w:w="108" w:type="dxa"/>
                  <w:bottom w:w="0" w:type="dxa"/>
                  <w:right w:w="108" w:type="dxa"/>
                </w:tblCellMar>
              </w:tblPrEx>
              <w:trPr>
                <w:trHeight w:val="20"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断面编号</w:t>
                  </w:r>
                </w:p>
              </w:tc>
              <w:tc>
                <w:tcPr>
                  <w:tcW w:w="1501" w:type="dxa"/>
                  <w:tcBorders>
                    <w:top w:val="single" w:color="auto" w:sz="4" w:space="0"/>
                    <w:left w:val="nil"/>
                    <w:bottom w:val="single" w:color="auto" w:sz="4" w:space="0"/>
                    <w:right w:val="single" w:color="auto" w:sz="4" w:space="0"/>
                  </w:tcBorders>
                  <w:noWrap w:val="0"/>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设计河底高程</w:t>
                  </w:r>
                </w:p>
              </w:tc>
              <w:tc>
                <w:tcPr>
                  <w:tcW w:w="1110" w:type="dxa"/>
                  <w:tcBorders>
                    <w:top w:val="single" w:color="auto" w:sz="4" w:space="0"/>
                    <w:left w:val="nil"/>
                    <w:bottom w:val="single" w:color="auto" w:sz="4" w:space="0"/>
                    <w:right w:val="single" w:color="auto" w:sz="4" w:space="0"/>
                  </w:tcBorders>
                  <w:noWrap w:val="0"/>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设计水位</w:t>
                  </w:r>
                </w:p>
              </w:tc>
              <w:tc>
                <w:tcPr>
                  <w:tcW w:w="1335" w:type="dxa"/>
                  <w:tcBorders>
                    <w:top w:val="single" w:color="auto" w:sz="4" w:space="0"/>
                    <w:left w:val="nil"/>
                    <w:bottom w:val="single" w:color="auto" w:sz="4" w:space="0"/>
                    <w:right w:val="single" w:color="auto" w:sz="4" w:space="0"/>
                  </w:tcBorders>
                  <w:noWrap w:val="0"/>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河道铺砌堤顶高程</w:t>
                  </w:r>
                </w:p>
              </w:tc>
              <w:tc>
                <w:tcPr>
                  <w:tcW w:w="1680" w:type="dxa"/>
                  <w:tcBorders>
                    <w:top w:val="single" w:color="auto" w:sz="4" w:space="0"/>
                    <w:left w:val="nil"/>
                    <w:bottom w:val="single" w:color="auto" w:sz="4" w:space="0"/>
                    <w:right w:val="single" w:color="auto" w:sz="4" w:space="0"/>
                  </w:tcBorders>
                  <w:noWrap w:val="0"/>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堤顶较设计水位高差</w:t>
                  </w:r>
                </w:p>
              </w:tc>
              <w:tc>
                <w:tcPr>
                  <w:tcW w:w="1684" w:type="dxa"/>
                  <w:tcBorders>
                    <w:top w:val="single" w:color="auto" w:sz="4" w:space="0"/>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备注</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305.15</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307.8</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310.15</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2.35</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305.03</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307.68</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310.03</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2.35</w:t>
                  </w:r>
                </w:p>
              </w:tc>
              <w:tc>
                <w:tcPr>
                  <w:tcW w:w="1684"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304.91</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307.56</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309.91</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2.35</w:t>
                  </w:r>
                </w:p>
              </w:tc>
              <w:tc>
                <w:tcPr>
                  <w:tcW w:w="1684" w:type="dxa"/>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304.79</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307.8</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309.79</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1.99</w:t>
                  </w:r>
                </w:p>
              </w:tc>
              <w:tc>
                <w:tcPr>
                  <w:tcW w:w="1684" w:type="dxa"/>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304.67</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308.27</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309.67</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restart"/>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弯道超高影响</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304.55</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308.15</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309.55</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continue"/>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304.43</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308.03</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309.43</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continue"/>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304.31</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307.91</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309.31</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304.19</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307.79</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309.19</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304.07</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307.67</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309.07</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303.95</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307.55</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308.95</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303.83</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307.43</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308.83</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303.71</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307.31</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308.71</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303.59</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307.19</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308.59</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303.47</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307.07</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308.47</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303.35</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306.95</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308.35</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303.23</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306.83</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308.23</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restart"/>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弯道超高影响</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303.11</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306.71</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308.11</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continue"/>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302.99</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306.59</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307.99</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vMerge w:val="continue"/>
                  <w:tcBorders>
                    <w:top w:val="nil"/>
                    <w:left w:val="single" w:color="auto" w:sz="4" w:space="0"/>
                    <w:bottom w:val="single" w:color="auto" w:sz="4" w:space="0"/>
                    <w:right w:val="single" w:color="auto" w:sz="4" w:space="0"/>
                  </w:tcBorders>
                  <w:noWrap w:val="0"/>
                  <w:vAlign w:val="center"/>
                </w:tcPr>
                <w:p>
                  <w:pPr>
                    <w:widowControl/>
                    <w:wordWrap/>
                    <w:jc w:val="left"/>
                    <w:rPr>
                      <w:rFonts w:hint="default"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302.87</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306.47</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307.87</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302.75</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306.35</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307.75</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302.63</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306.23</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307.63</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440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302.51</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306.11</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307.51</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460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302.39</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305.99</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307.39</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480</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302.27</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305.87</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307.27</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20" w:hRule="atLeast"/>
                <w:jc w:val="center"/>
              </w:trPr>
              <w:tc>
                <w:tcPr>
                  <w:tcW w:w="1068" w:type="dxa"/>
                  <w:tcBorders>
                    <w:top w:val="nil"/>
                    <w:left w:val="single" w:color="auto" w:sz="4" w:space="0"/>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484.49</w:t>
                  </w:r>
                </w:p>
              </w:tc>
              <w:tc>
                <w:tcPr>
                  <w:tcW w:w="1501"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302.24</w:t>
                  </w:r>
                </w:p>
              </w:tc>
              <w:tc>
                <w:tcPr>
                  <w:tcW w:w="111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305.84</w:t>
                  </w:r>
                </w:p>
              </w:tc>
              <w:tc>
                <w:tcPr>
                  <w:tcW w:w="1335"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307.24</w:t>
                  </w:r>
                </w:p>
              </w:tc>
              <w:tc>
                <w:tcPr>
                  <w:tcW w:w="1680"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684" w:type="dxa"/>
                  <w:tcBorders>
                    <w:top w:val="nil"/>
                    <w:left w:val="nil"/>
                    <w:bottom w:val="single" w:color="auto" w:sz="4" w:space="0"/>
                    <w:right w:val="single" w:color="auto" w:sz="4" w:space="0"/>
                  </w:tcBorders>
                  <w:noWrap/>
                  <w:vAlign w:val="center"/>
                </w:tcPr>
                <w:p>
                  <w:pPr>
                    <w:widowControl/>
                    <w:wordWrap/>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bl>
          <w:p>
            <w:pPr>
              <w:jc w:val="center"/>
              <w:rPr>
                <w:rFonts w:eastAsia="黑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黑体" w:cs="Times New Roman"/>
                <w:color w:val="auto"/>
                <w:sz w:val="21"/>
                <w:szCs w:val="21"/>
              </w:rPr>
            </w:pPr>
            <w:r>
              <w:rPr>
                <w:rFonts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 xml:space="preserve">2-4 </w:t>
            </w:r>
            <w:r>
              <w:rPr>
                <w:rFonts w:ascii="Times New Roman" w:hAnsi="Times New Roman" w:eastAsia="黑体" w:cs="Times New Roman"/>
                <w:color w:val="auto"/>
                <w:sz w:val="21"/>
                <w:szCs w:val="21"/>
              </w:rPr>
              <w:t>子槽沟河道整治流速成果表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0"/>
              <w:gridCol w:w="3145"/>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22" w:type="pct"/>
                  <w:vMerge w:val="restart"/>
                  <w:noWrap w:val="0"/>
                  <w:vAlign w:val="center"/>
                </w:tcPr>
                <w:p>
                  <w:pPr>
                    <w:keepNext/>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断面编号</w:t>
                  </w:r>
                </w:p>
              </w:tc>
              <w:tc>
                <w:tcPr>
                  <w:tcW w:w="1879" w:type="pct"/>
                  <w:vMerge w:val="restart"/>
                  <w:noWrap w:val="0"/>
                  <w:vAlign w:val="center"/>
                </w:tcPr>
                <w:p>
                  <w:pPr>
                    <w:keepNext/>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里 程</w:t>
                  </w:r>
                </w:p>
              </w:tc>
              <w:tc>
                <w:tcPr>
                  <w:tcW w:w="2100" w:type="pct"/>
                  <w:noWrap w:val="0"/>
                  <w:vAlign w:val="center"/>
                </w:tcPr>
                <w:p>
                  <w:pPr>
                    <w:keepNext/>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（156m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22" w:type="pct"/>
                  <w:vMerge w:val="continue"/>
                  <w:noWrap w:val="0"/>
                  <w:vAlign w:val="center"/>
                </w:tcPr>
                <w:p>
                  <w:pPr>
                    <w:keepNext/>
                    <w:wordWrap/>
                    <w:spacing w:line="240" w:lineRule="exact"/>
                    <w:jc w:val="center"/>
                    <w:rPr>
                      <w:rFonts w:hint="default" w:ascii="Times New Roman" w:hAnsi="Times New Roman" w:eastAsia="宋体" w:cs="Times New Roman"/>
                      <w:color w:val="auto"/>
                      <w:sz w:val="21"/>
                      <w:szCs w:val="21"/>
                    </w:rPr>
                  </w:pPr>
                </w:p>
              </w:tc>
              <w:tc>
                <w:tcPr>
                  <w:tcW w:w="1879" w:type="pct"/>
                  <w:vMerge w:val="continue"/>
                  <w:noWrap w:val="0"/>
                  <w:vAlign w:val="center"/>
                </w:tcPr>
                <w:p>
                  <w:pPr>
                    <w:keepNext/>
                    <w:wordWrap/>
                    <w:spacing w:line="240" w:lineRule="exact"/>
                    <w:jc w:val="center"/>
                    <w:rPr>
                      <w:rFonts w:hint="default" w:ascii="Times New Roman" w:hAnsi="Times New Roman" w:eastAsia="宋体" w:cs="Times New Roman"/>
                      <w:color w:val="auto"/>
                      <w:sz w:val="21"/>
                      <w:szCs w:val="21"/>
                    </w:rPr>
                  </w:pPr>
                </w:p>
              </w:tc>
              <w:tc>
                <w:tcPr>
                  <w:tcW w:w="2100" w:type="pct"/>
                  <w:noWrap w:val="0"/>
                  <w:vAlign w:val="center"/>
                </w:tcPr>
                <w:p>
                  <w:pPr>
                    <w:keepNext/>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22"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79"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w:t>
                  </w:r>
                </w:p>
              </w:tc>
              <w:tc>
                <w:tcPr>
                  <w:tcW w:w="2100"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22"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79"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c>
                <w:tcPr>
                  <w:tcW w:w="2100"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022"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879"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0+080</w:t>
                  </w:r>
                </w:p>
              </w:tc>
              <w:tc>
                <w:tcPr>
                  <w:tcW w:w="2100"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22"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879"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0+480</w:t>
                  </w:r>
                </w:p>
              </w:tc>
              <w:tc>
                <w:tcPr>
                  <w:tcW w:w="2100" w:type="pct"/>
                  <w:noWrap w:val="0"/>
                  <w:vAlign w:val="center"/>
                </w:tcPr>
                <w:p>
                  <w:pPr>
                    <w:wordWrap/>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r>
          </w:tbl>
          <w:p>
            <w:pPr>
              <w:pStyle w:val="70"/>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beforeAutospacing="0" w:after="0" w:line="360" w:lineRule="auto"/>
              <w:ind w:firstLine="480" w:firstLineChars="200"/>
              <w:textAlignment w:val="auto"/>
              <w:outlineLvl w:val="9"/>
              <w:rPr>
                <w:rFonts w:ascii="Times New Roman" w:eastAsia="宋体"/>
                <w:b w:val="0"/>
                <w:color w:val="auto"/>
                <w:sz w:val="24"/>
                <w:szCs w:val="24"/>
              </w:rPr>
            </w:pPr>
            <w:r>
              <w:rPr>
                <w:rFonts w:ascii="Times New Roman" w:eastAsia="宋体"/>
                <w:b w:val="0"/>
                <w:color w:val="auto"/>
                <w:sz w:val="24"/>
                <w:szCs w:val="24"/>
              </w:rPr>
              <w:t>根据以上计算</w:t>
            </w:r>
            <w:r>
              <w:rPr>
                <w:rFonts w:hint="eastAsia" w:ascii="Times New Roman" w:eastAsia="宋体"/>
                <w:b w:val="0"/>
                <w:color w:val="auto"/>
                <w:sz w:val="24"/>
                <w:szCs w:val="24"/>
                <w:lang w:val="en-US" w:eastAsia="zh-CN"/>
              </w:rPr>
              <w:t>结果</w:t>
            </w:r>
            <w:r>
              <w:rPr>
                <w:rFonts w:ascii="Times New Roman" w:eastAsia="宋体"/>
                <w:b w:val="0"/>
                <w:color w:val="auto"/>
                <w:sz w:val="24"/>
                <w:szCs w:val="24"/>
              </w:rPr>
              <w:t>，本河道百年一遇设计洪水对应最大流速为5.04 m/s。根据现场调查，河道河床质为基岩强风化（W3）泥岩夹砂岩，根据《桥渡水文手册》其容许（不冲刷）流速为5.5m/s。且河道及百年水位以上1米范围内改河工程采用M10浆砌片石挡墙防护，其容许（不冲刷）流速为6m/s。</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color w:val="auto"/>
                <w:sz w:val="24"/>
                <w:szCs w:val="24"/>
                <w:lang w:eastAsia="zh-CN"/>
              </w:rPr>
            </w:pPr>
            <w:r>
              <w:rPr>
                <w:rFonts w:ascii="Times New Roman" w:eastAsia="宋体"/>
                <w:b w:val="0"/>
                <w:color w:val="auto"/>
                <w:sz w:val="24"/>
                <w:szCs w:val="24"/>
              </w:rPr>
              <w:t>综上计算，河道工程设计水位及流速满足行洪要求</w:t>
            </w:r>
            <w:r>
              <w:rPr>
                <w:rFonts w:hint="eastAsia" w:ascii="Times New Roman" w:eastAsia="宋体"/>
                <w:b w:val="0"/>
                <w:color w:val="auto"/>
                <w:sz w:val="24"/>
                <w:szCs w:val="24"/>
                <w:lang w:eastAsia="zh-CN"/>
              </w:rPr>
              <w:t>。</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eastAsia="宋体"/>
                <w:b/>
                <w:bCs w:val="0"/>
                <w:color w:val="auto"/>
                <w:sz w:val="24"/>
                <w:szCs w:val="24"/>
                <w:lang w:val="en-US" w:eastAsia="zh-CN"/>
              </w:rPr>
            </w:pPr>
            <w:r>
              <w:rPr>
                <w:rFonts w:hint="eastAsia" w:ascii="Times New Roman" w:eastAsia="宋体"/>
                <w:b/>
                <w:bCs w:val="0"/>
                <w:color w:val="auto"/>
                <w:sz w:val="24"/>
                <w:szCs w:val="24"/>
                <w:lang w:val="en-US" w:eastAsia="zh-CN"/>
              </w:rPr>
              <w:t>⑤行洪论证与河势稳定</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eastAsia="宋体"/>
                <w:b w:val="0"/>
                <w:bCs/>
                <w:color w:val="auto"/>
                <w:sz w:val="24"/>
                <w:szCs w:val="24"/>
                <w:lang w:val="en-US" w:eastAsia="zh-CN"/>
              </w:rPr>
            </w:pPr>
            <w:r>
              <w:rPr>
                <w:rFonts w:hint="eastAsia" w:eastAsia="宋体"/>
                <w:b w:val="0"/>
                <w:bCs/>
                <w:color w:val="auto"/>
                <w:kern w:val="2"/>
                <w:sz w:val="24"/>
                <w:szCs w:val="24"/>
                <w:lang w:val="en-US" w:eastAsia="zh-CN"/>
              </w:rPr>
              <w:t>根据</w:t>
            </w:r>
            <w:r>
              <w:rPr>
                <w:rFonts w:hint="eastAsia" w:ascii="Times New Roman" w:eastAsia="宋体"/>
                <w:b w:val="0"/>
                <w:bCs/>
                <w:color w:val="auto"/>
                <w:sz w:val="24"/>
                <w:szCs w:val="24"/>
                <w:lang w:eastAsia="zh-CN"/>
              </w:rPr>
              <w:t xml:space="preserve">《达州中医药职业学院教融合实训与研究基地项目（一期）行洪论证与河势稳定评价报告》（通区水行审〔2023 </w:t>
            </w:r>
            <w:r>
              <w:rPr>
                <w:rFonts w:hint="eastAsia" w:ascii="宋体" w:hAnsi="宋体" w:eastAsia="宋体" w:cs="宋体"/>
                <w:color w:val="auto"/>
                <w:kern w:val="0"/>
                <w:sz w:val="24"/>
                <w:szCs w:val="24"/>
                <w:lang w:val="en-US" w:eastAsia="zh-CN" w:bidi="ar"/>
              </w:rPr>
              <w:t>〕</w:t>
            </w:r>
            <w:r>
              <w:rPr>
                <w:rFonts w:hint="eastAsia" w:ascii="Times New Roman" w:eastAsia="宋体"/>
                <w:b w:val="0"/>
                <w:bCs/>
                <w:color w:val="auto"/>
                <w:sz w:val="24"/>
                <w:szCs w:val="24"/>
                <w:lang w:eastAsia="zh-CN"/>
              </w:rPr>
              <w:t>14号）</w:t>
            </w:r>
            <w:r>
              <w:rPr>
                <w:rFonts w:hint="eastAsia" w:eastAsia="宋体"/>
                <w:b w:val="0"/>
                <w:bCs/>
                <w:color w:val="auto"/>
                <w:kern w:val="2"/>
                <w:sz w:val="24"/>
                <w:szCs w:val="24"/>
                <w:lang w:val="en-US" w:eastAsia="zh-CN"/>
              </w:rPr>
              <w:t>，分析如下：</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val="0"/>
                <w:bCs/>
                <w:color w:val="auto"/>
                <w:sz w:val="24"/>
                <w:szCs w:val="24"/>
                <w:lang w:eastAsia="zh-CN"/>
              </w:rPr>
            </w:pPr>
            <w:r>
              <w:rPr>
                <w:rFonts w:hint="eastAsia" w:ascii="Times New Roman" w:eastAsia="宋体"/>
                <w:b/>
                <w:bCs w:val="0"/>
                <w:color w:val="auto"/>
                <w:sz w:val="24"/>
                <w:szCs w:val="24"/>
                <w:lang w:val="en-US" w:eastAsia="zh-CN"/>
              </w:rPr>
              <w:t>A.</w:t>
            </w:r>
            <w:r>
              <w:rPr>
                <w:rFonts w:hint="eastAsia" w:ascii="Times New Roman" w:eastAsia="宋体"/>
                <w:b/>
                <w:bCs w:val="0"/>
                <w:color w:val="auto"/>
                <w:sz w:val="24"/>
                <w:szCs w:val="24"/>
                <w:lang w:eastAsia="zh-CN"/>
              </w:rPr>
              <w:t>项目建设对河段泄洪影响分析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河道改道后的过流能力满足100年一遇洪水要求，因此项目建设不会对河段行洪带来影响。</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bCs w:val="0"/>
                <w:color w:val="auto"/>
                <w:sz w:val="24"/>
                <w:szCs w:val="24"/>
                <w:lang w:eastAsia="zh-CN"/>
              </w:rPr>
            </w:pPr>
            <w:r>
              <w:rPr>
                <w:rFonts w:hint="eastAsia" w:ascii="Times New Roman" w:eastAsia="宋体"/>
                <w:b/>
                <w:bCs w:val="0"/>
                <w:color w:val="auto"/>
                <w:sz w:val="24"/>
                <w:szCs w:val="24"/>
                <w:lang w:val="en-US" w:eastAsia="zh-CN"/>
              </w:rPr>
              <w:t>B.</w:t>
            </w:r>
            <w:r>
              <w:rPr>
                <w:rFonts w:hint="eastAsia" w:ascii="Times New Roman" w:eastAsia="宋体"/>
                <w:b/>
                <w:bCs w:val="0"/>
                <w:color w:val="auto"/>
                <w:sz w:val="24"/>
                <w:szCs w:val="24"/>
                <w:lang w:eastAsia="zh-CN"/>
              </w:rPr>
              <w:t>项目建设对河势稳定影响分析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评价河段河势变化稳定，历史上没有出现过较大的改道、淤堵等情况，泥沙冲淤及河床冲刷变化小，河相关系稳定。工程基本没有占用河道原有河道行洪面积，但由于底板硬化，已非天然河道，对泥沙特性会有改变。但随着河床的自我调整，将达到新的动态平衡。</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val="0"/>
                <w:bCs/>
                <w:color w:val="auto"/>
                <w:sz w:val="24"/>
                <w:szCs w:val="24"/>
                <w:lang w:eastAsia="zh-CN"/>
              </w:rPr>
            </w:pPr>
            <w:r>
              <w:rPr>
                <w:rFonts w:hint="eastAsia" w:ascii="Times New Roman" w:eastAsia="宋体"/>
                <w:b/>
                <w:bCs w:val="0"/>
                <w:color w:val="auto"/>
                <w:sz w:val="24"/>
                <w:szCs w:val="24"/>
                <w:lang w:val="en-US" w:eastAsia="zh-CN"/>
              </w:rPr>
              <w:t>C.</w:t>
            </w:r>
            <w:r>
              <w:rPr>
                <w:rFonts w:hint="eastAsia" w:ascii="Times New Roman" w:eastAsia="宋体"/>
                <w:b/>
                <w:bCs w:val="0"/>
                <w:color w:val="auto"/>
                <w:sz w:val="24"/>
                <w:szCs w:val="24"/>
                <w:lang w:eastAsia="zh-CN"/>
              </w:rPr>
              <w:t>项目建设对现有防洪工程及其它水利设施的影响分析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本工程评价范围内没有防洪工程，也无其它水利设施，因此工程建设不存在对防洪工程及水利设施的影响问题。</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bCs w:val="0"/>
                <w:color w:val="auto"/>
                <w:sz w:val="24"/>
                <w:szCs w:val="24"/>
                <w:lang w:eastAsia="zh-CN"/>
              </w:rPr>
            </w:pPr>
            <w:r>
              <w:rPr>
                <w:rFonts w:hint="eastAsia" w:ascii="Times New Roman" w:eastAsia="宋体"/>
                <w:b/>
                <w:bCs w:val="0"/>
                <w:color w:val="auto"/>
                <w:sz w:val="24"/>
                <w:szCs w:val="24"/>
                <w:lang w:val="en-US" w:eastAsia="zh-CN"/>
              </w:rPr>
              <w:t>D.</w:t>
            </w:r>
            <w:r>
              <w:rPr>
                <w:rFonts w:hint="eastAsia" w:ascii="Times New Roman" w:eastAsia="宋体"/>
                <w:b/>
                <w:bCs w:val="0"/>
                <w:color w:val="auto"/>
                <w:sz w:val="24"/>
                <w:szCs w:val="24"/>
                <w:lang w:eastAsia="zh-CN"/>
              </w:rPr>
              <w:t>项目建设对防汛抢险通道的影响分析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工程建成后，不会对防汛抢险带来影响。</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val="0"/>
                <w:bCs/>
                <w:color w:val="auto"/>
                <w:sz w:val="24"/>
                <w:szCs w:val="24"/>
                <w:lang w:eastAsia="zh-CN"/>
              </w:rPr>
            </w:pPr>
            <w:r>
              <w:rPr>
                <w:rFonts w:hint="eastAsia" w:ascii="Times New Roman" w:eastAsia="宋体"/>
                <w:b/>
                <w:bCs w:val="0"/>
                <w:color w:val="auto"/>
                <w:sz w:val="24"/>
                <w:szCs w:val="24"/>
                <w:lang w:val="en-US" w:eastAsia="zh-CN"/>
              </w:rPr>
              <w:t>E.</w:t>
            </w:r>
            <w:r>
              <w:rPr>
                <w:rFonts w:hint="eastAsia" w:ascii="Times New Roman" w:eastAsia="宋体"/>
                <w:b/>
                <w:bCs w:val="0"/>
                <w:color w:val="auto"/>
                <w:sz w:val="24"/>
                <w:szCs w:val="24"/>
                <w:lang w:eastAsia="zh-CN"/>
              </w:rPr>
              <w:t>项目防御洪涝标准与措施评价</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项目建设范围内无重要的保护对象，本工程防洪标准根据《城市防洪工程设计规范》(GB/T50805-2012）的选取是适当的。</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bCs w:val="0"/>
                <w:color w:val="auto"/>
                <w:sz w:val="24"/>
                <w:szCs w:val="24"/>
                <w:lang w:eastAsia="zh-CN"/>
              </w:rPr>
            </w:pPr>
            <w:r>
              <w:rPr>
                <w:rFonts w:hint="eastAsia" w:ascii="Times New Roman" w:eastAsia="宋体"/>
                <w:b/>
                <w:bCs w:val="0"/>
                <w:color w:val="auto"/>
                <w:sz w:val="24"/>
                <w:szCs w:val="24"/>
                <w:lang w:val="en-US" w:eastAsia="zh-CN"/>
              </w:rPr>
              <w:t>F.</w:t>
            </w:r>
            <w:r>
              <w:rPr>
                <w:rFonts w:hint="eastAsia" w:ascii="Times New Roman" w:eastAsia="宋体"/>
                <w:b/>
                <w:bCs w:val="0"/>
                <w:color w:val="auto"/>
                <w:sz w:val="24"/>
                <w:szCs w:val="24"/>
                <w:lang w:eastAsia="zh-CN"/>
              </w:rPr>
              <w:t>项目建设对第三合法水事权益人的影响分析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bCs/>
                <w:color w:val="auto"/>
                <w:sz w:val="24"/>
                <w:szCs w:val="24"/>
                <w:lang w:eastAsia="zh-CN"/>
              </w:rPr>
            </w:pPr>
            <w:r>
              <w:rPr>
                <w:rFonts w:hint="eastAsia" w:ascii="Times New Roman" w:eastAsia="宋体"/>
                <w:b w:val="0"/>
                <w:bCs/>
                <w:color w:val="auto"/>
                <w:sz w:val="24"/>
                <w:szCs w:val="24"/>
                <w:lang w:eastAsia="zh-CN"/>
              </w:rPr>
              <w:t>评价河段下游有已建涵洞及纸槽沟大桥，除此以外评价范围内没有其他涉河工程。本项目不影响下游涵洞的过流能力，因此对下游涵洞无影响。</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eastAsia="宋体"/>
                <w:b/>
                <w:bCs w:val="0"/>
                <w:color w:val="auto"/>
                <w:sz w:val="24"/>
                <w:szCs w:val="24"/>
                <w:lang w:val="en-US" w:eastAsia="zh-CN"/>
              </w:rPr>
            </w:pPr>
            <w:r>
              <w:rPr>
                <w:rFonts w:hint="eastAsia" w:ascii="Times New Roman" w:eastAsia="宋体"/>
                <w:b/>
                <w:bCs w:val="0"/>
                <w:color w:val="auto"/>
                <w:sz w:val="24"/>
                <w:szCs w:val="24"/>
                <w:lang w:eastAsia="zh-CN"/>
              </w:rPr>
              <w:t>（</w:t>
            </w:r>
            <w:r>
              <w:rPr>
                <w:rFonts w:hint="eastAsia" w:ascii="Times New Roman" w:eastAsia="宋体"/>
                <w:b/>
                <w:bCs w:val="0"/>
                <w:color w:val="auto"/>
                <w:sz w:val="24"/>
                <w:szCs w:val="24"/>
                <w:lang w:val="en-US" w:eastAsia="zh-CN"/>
              </w:rPr>
              <w:t>2）校内桥梁</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Times New Roman" w:eastAsia="宋体"/>
                <w:b/>
                <w:bCs w:val="0"/>
                <w:color w:val="auto"/>
                <w:sz w:val="24"/>
                <w:szCs w:val="24"/>
                <w:lang w:val="en-US" w:eastAsia="zh-CN"/>
              </w:rPr>
            </w:pPr>
            <w:r>
              <w:rPr>
                <w:rFonts w:hint="eastAsia" w:ascii="Times New Roman" w:eastAsia="宋体"/>
                <w:b/>
                <w:bCs w:val="0"/>
                <w:color w:val="auto"/>
                <w:sz w:val="24"/>
                <w:szCs w:val="24"/>
                <w:lang w:val="en-US" w:eastAsia="zh-CN"/>
              </w:rPr>
              <w:t>1）</w:t>
            </w:r>
            <w:r>
              <w:rPr>
                <w:rFonts w:hint="eastAsia" w:ascii="Times New Roman" w:hAnsi="Times New Roman" w:eastAsia="宋体" w:cs="Times New Roman"/>
                <w:b/>
                <w:bCs w:val="0"/>
                <w:sz w:val="24"/>
                <w:szCs w:val="24"/>
                <w:lang w:val="en-US" w:eastAsia="zh-CN"/>
              </w:rPr>
              <w:t>空中连廊</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①设计参数</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结构安全等级：一级；</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设计基准期：100年；</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设计使用年限：100年；</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桥下净空：桥下为主干路机动车道，净空高度≥5.0m；连廊桥上下层交叉位置处，净空高度≥3.0m；连廊桥上跨西区校门铭牌，净空高度≥3.0m；</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纵向坡度：最大纵坡16%；</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地震作用：抗震设防烈度为7度，设计基本地震加速度值为0.1g；</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人群载荷：依据《城市人行天桥与人行地道技术规范》（CJJ69-95）规范3.1.3.2取值；</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桥梁主材：Q345C钢材；</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支座：采用球型钢支座，支座均为厂家配套产品；</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Times New Roman" w:eastAsia="宋体"/>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铺装及装饰：彩色环氧沥青铺装系统，装饰景观专业统筹考虑。</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②</w:t>
            </w:r>
            <w:r>
              <w:rPr>
                <w:rFonts w:hint="eastAsia" w:ascii="Times New Roman" w:hAnsi="Times New Roman" w:eastAsia="宋体" w:cs="Times New Roman"/>
                <w:b/>
                <w:bCs/>
                <w:sz w:val="26"/>
                <w:szCs w:val="28"/>
                <w:lang w:val="en-US" w:eastAsia="zh-CN"/>
              </w:rPr>
              <w:t>纵断面及桥型设计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拟建空中连廊连接东西两侧校区，跨越犀牛大道。桥梁上部采用钢结构箱梁。主桥桥墩为钢结构V型薄壁墩，桥台采用座板式桥台形式落地。桩基础为钻孔灌注桩。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A线桥纵断及桥型设计：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A线桥（71+51）m连续V型墩刚构，全长133.0m；A线桥纵断面位于半径152m和半径200m的竖曲线上，最大纵坡-4.0%；桥面变宽，A线桥变宽范围2.5～5m；桥梁高度为变高截面，支点梁高3.0m，跨中及边跨等高段高2.1m。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B线桥纵断及桥型设计：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线桥（70+52）m连续V型墩刚构桥，全长130m；B线桥纵断面位于半径300m和半径167m的竖曲线上，最大纵坡18.0%；墩台均径向布置。桥面变宽，B线桥变宽范围6.0～11.55m；桥梁高度为变高截面，支点梁高3.0m，跨中及边跨等高段高2.1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C线桥纵断及桥型设计：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sz w:val="24"/>
                <w:szCs w:val="24"/>
                <w:lang w:val="en-US" w:eastAsia="zh-CN"/>
              </w:rPr>
              <w:t>C线桥（42+72+54）m连续V型墩刚构桥，全长174.0m；C线桥纵断面位于半径100m和半径150m的竖曲线上，最大纵坡-11.0%；墩台均径向布置。桥面变宽，B线桥变宽范围3.0～6.0m；桥梁高度为变高截面，支点梁高3.0m，跨中及边跨等高段高2.1m。</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0" w:firstLineChars="0"/>
              <w:jc w:val="center"/>
              <w:textAlignment w:val="auto"/>
              <w:rPr>
                <w:rFonts w:ascii="Times New Roman" w:eastAsia="宋体"/>
                <w:b w:val="0"/>
                <w:color w:val="auto"/>
                <w:sz w:val="24"/>
                <w:szCs w:val="24"/>
              </w:rPr>
            </w:pPr>
            <w:r>
              <w:rPr>
                <w:rFonts w:hint="eastAsia" w:eastAsia="仿宋_GB2312"/>
                <w:lang w:eastAsia="zh-CN"/>
              </w:rPr>
              <w:drawing>
                <wp:inline distT="0" distB="0" distL="114300" distR="114300">
                  <wp:extent cx="5277485" cy="2734310"/>
                  <wp:effectExtent l="0" t="0" r="18415" b="8890"/>
                  <wp:docPr id="12" name="图片 37" descr="168311529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1683115290176"/>
                          <pic:cNvPicPr>
                            <a:picLocks noChangeAspect="1"/>
                          </pic:cNvPicPr>
                        </pic:nvPicPr>
                        <pic:blipFill>
                          <a:blip r:embed="rId14"/>
                          <a:stretch>
                            <a:fillRect/>
                          </a:stretch>
                        </pic:blipFill>
                        <pic:spPr>
                          <a:xfrm>
                            <a:off x="0" y="0"/>
                            <a:ext cx="5277485" cy="273431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0" w:firstLineChars="0"/>
              <w:jc w:val="center"/>
              <w:textAlignment w:val="auto"/>
              <w:rPr>
                <w:rFonts w:hint="default" w:ascii="Times New Roman" w:eastAsia="黑体"/>
                <w:b w:val="0"/>
                <w:color w:val="auto"/>
                <w:sz w:val="24"/>
                <w:szCs w:val="24"/>
                <w:lang w:val="en-US" w:eastAsia="zh-CN"/>
              </w:rPr>
            </w:pP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w:t>
            </w:r>
            <w:r>
              <w:rPr>
                <w:rFonts w:hint="eastAsia" w:ascii="Times New Roman" w:hAnsi="Times New Roman"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rPr>
              <w:t xml:space="preserve">  </w:t>
            </w:r>
            <w:r>
              <w:rPr>
                <w:rFonts w:hint="eastAsia" w:ascii="Times New Roman" w:hAnsi="Times New Roman" w:eastAsia="黑体" w:cs="Times New Roman"/>
                <w:color w:val="auto"/>
                <w:sz w:val="21"/>
                <w:szCs w:val="21"/>
                <w:highlight w:val="none"/>
                <w:lang w:val="en-US" w:eastAsia="zh-CN"/>
              </w:rPr>
              <w:t>空中连廊设计图</w:t>
            </w:r>
            <w:r>
              <w:drawing>
                <wp:inline distT="0" distB="0" distL="114300" distR="114300">
                  <wp:extent cx="5307330" cy="2948305"/>
                  <wp:effectExtent l="0" t="0" r="7620" b="4445"/>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pic:cNvPicPr>
                        </pic:nvPicPr>
                        <pic:blipFill>
                          <a:blip r:embed="rId15"/>
                          <a:stretch>
                            <a:fillRect/>
                          </a:stretch>
                        </pic:blipFill>
                        <pic:spPr>
                          <a:xfrm>
                            <a:off x="0" y="0"/>
                            <a:ext cx="5307330" cy="294830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0" w:firstLineChars="0"/>
              <w:jc w:val="center"/>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w:t>
            </w:r>
            <w:r>
              <w:rPr>
                <w:rFonts w:hint="eastAsia" w:ascii="Times New Roman" w:hAnsi="Times New Roman" w:eastAsia="黑体" w:cs="Times New Roman"/>
                <w:color w:val="auto"/>
                <w:sz w:val="21"/>
                <w:szCs w:val="21"/>
                <w:highlight w:val="none"/>
                <w:lang w:val="en-US" w:eastAsia="zh-CN"/>
              </w:rPr>
              <w:t>4</w:t>
            </w:r>
            <w:r>
              <w:rPr>
                <w:rFonts w:hint="default" w:ascii="Times New Roman" w:hAnsi="Times New Roman" w:eastAsia="黑体" w:cs="Times New Roman"/>
                <w:color w:val="auto"/>
                <w:sz w:val="21"/>
                <w:szCs w:val="21"/>
                <w:highlight w:val="none"/>
              </w:rPr>
              <w:t xml:space="preserve">  </w:t>
            </w:r>
            <w:r>
              <w:rPr>
                <w:rFonts w:hint="eastAsia" w:ascii="Times New Roman" w:hAnsi="Times New Roman" w:eastAsia="黑体" w:cs="Times New Roman"/>
                <w:color w:val="auto"/>
                <w:sz w:val="21"/>
                <w:szCs w:val="21"/>
                <w:highlight w:val="none"/>
                <w:lang w:val="en-US" w:eastAsia="zh-CN"/>
              </w:rPr>
              <w:t>空中连廊效果图</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bCs w:val="0"/>
                <w:color w:val="auto"/>
                <w:sz w:val="24"/>
                <w:szCs w:val="24"/>
                <w:lang w:val="en-US" w:eastAsia="zh-CN"/>
              </w:rPr>
              <w:t>③横断面设计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主梁采用变箱室截面，由起点处5.0m宽度（5.4m）单箱单室变化为终点处10.7m宽度 （11.5m）单箱双室截面；截面采用斜腹板形式，配合梁高进行变化；截面采用窄翼缘，方便外装，宽度为1.0m</w:t>
            </w:r>
            <w:r>
              <w:rPr>
                <w:rFonts w:hint="eastAsia" w:ascii="Times New Roman" w:hAnsi="Times New Roman" w:eastAsia="宋体" w:cs="Times New Roman"/>
                <w:sz w:val="24"/>
                <w:szCs w:val="24"/>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0" w:firstLineChars="0"/>
              <w:jc w:val="center"/>
              <w:textAlignment w:val="auto"/>
              <w:rPr>
                <w:rFonts w:ascii="Times New Roman" w:eastAsia="宋体"/>
                <w:b w:val="0"/>
                <w:color w:val="auto"/>
                <w:sz w:val="24"/>
                <w:szCs w:val="24"/>
              </w:rPr>
            </w:pPr>
            <w:r>
              <w:rPr>
                <w:rFonts w:hint="eastAsia" w:ascii="Times New Roman" w:hAnsi="Times New Roman" w:eastAsia="宋体" w:cs="Times New Roman"/>
                <w:b/>
                <w:sz w:val="26"/>
                <w:szCs w:val="28"/>
                <w:lang w:val="en-US" w:eastAsia="zh-CN"/>
              </w:rPr>
              <w:drawing>
                <wp:inline distT="0" distB="0" distL="114300" distR="114300">
                  <wp:extent cx="5274945" cy="3320415"/>
                  <wp:effectExtent l="0" t="0" r="1905" b="13335"/>
                  <wp:docPr id="14" name="图片 38" descr="16831157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descr="1683115736708"/>
                          <pic:cNvPicPr>
                            <a:picLocks noChangeAspect="1"/>
                          </pic:cNvPicPr>
                        </pic:nvPicPr>
                        <pic:blipFill>
                          <a:blip r:embed="rId16"/>
                          <a:stretch>
                            <a:fillRect/>
                          </a:stretch>
                        </pic:blipFill>
                        <pic:spPr>
                          <a:xfrm>
                            <a:off x="0" y="0"/>
                            <a:ext cx="5274945" cy="332041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0" w:firstLineChars="0"/>
              <w:jc w:val="center"/>
              <w:textAlignment w:val="auto"/>
              <w:rPr>
                <w:rFonts w:ascii="Times New Roman" w:eastAsia="宋体"/>
                <w:b w:val="0"/>
                <w:color w:val="auto"/>
                <w:sz w:val="24"/>
                <w:szCs w:val="24"/>
              </w:rPr>
            </w:pP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w:t>
            </w:r>
            <w:r>
              <w:rPr>
                <w:rFonts w:hint="eastAsia" w:ascii="Times New Roman" w:hAnsi="Times New Roman" w:eastAsia="黑体"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rPr>
              <w:t xml:space="preserve">  </w:t>
            </w:r>
            <w:r>
              <w:rPr>
                <w:rFonts w:hint="eastAsia" w:ascii="Times New Roman" w:hAnsi="Times New Roman" w:eastAsia="黑体" w:cs="Times New Roman"/>
                <w:color w:val="auto"/>
                <w:sz w:val="21"/>
                <w:szCs w:val="21"/>
                <w:highlight w:val="none"/>
                <w:lang w:val="en-US" w:eastAsia="zh-CN"/>
              </w:rPr>
              <w:t>空中连廊横断面图</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sz w:val="24"/>
                <w:szCs w:val="24"/>
                <w:lang w:val="en-US" w:eastAsia="zh-CN"/>
              </w:rPr>
              <w:t>子槽沟1号大桥</w:t>
            </w:r>
          </w:p>
          <w:p>
            <w:pPr>
              <w:pStyle w:val="70"/>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line="360" w:lineRule="auto"/>
              <w:ind w:firstLine="480" w:firstLineChars="200"/>
              <w:textAlignment w:val="auto"/>
              <w:outlineLvl w:val="9"/>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子槽沟1号大桥拟采用1-45m拱桥</w:t>
            </w:r>
            <w:r>
              <w:rPr>
                <w:rFonts w:ascii="Times New Roman" w:eastAsia="宋体"/>
                <w:b w:val="0"/>
                <w:color w:val="auto"/>
                <w:sz w:val="24"/>
                <w:szCs w:val="24"/>
              </w:rPr>
              <w:t>跨越河道</w:t>
            </w:r>
            <w:r>
              <w:rPr>
                <w:rFonts w:hint="default" w:ascii="Times New Roman" w:hAnsi="Times New Roman" w:eastAsia="宋体" w:cs="Times New Roman"/>
                <w:b w:val="0"/>
                <w:color w:val="auto"/>
                <w:sz w:val="24"/>
                <w:szCs w:val="24"/>
              </w:rPr>
              <w:t>，</w:t>
            </w:r>
            <w:r>
              <w:rPr>
                <w:rFonts w:hint="eastAsia" w:ascii="Times New Roman" w:eastAsia="宋体" w:cs="Times New Roman"/>
                <w:b w:val="0"/>
                <w:color w:val="auto"/>
                <w:sz w:val="24"/>
                <w:szCs w:val="24"/>
                <w:lang w:val="en-US" w:eastAsia="zh-CN"/>
              </w:rPr>
              <w:t>不在河流中设置桥墩，</w:t>
            </w:r>
            <w:r>
              <w:rPr>
                <w:rFonts w:hint="default" w:ascii="Times New Roman" w:hAnsi="Times New Roman" w:eastAsia="宋体" w:cs="Times New Roman"/>
                <w:b w:val="0"/>
                <w:color w:val="auto"/>
                <w:sz w:val="24"/>
                <w:szCs w:val="24"/>
              </w:rPr>
              <w:t>矢高6m，矢跨比为1/7.5。桥梁起讫里程：AK0+032～AK0+085.5，桥梁总长度53.5m，宽度32m。桥梁布置形式跨越了设计百年一遇河道行洪断面，未对设计洪水过流断面造成影响。具体布置形式如下图所示。</w:t>
            </w:r>
          </w:p>
          <w:p>
            <w:pPr>
              <w:keepNext/>
              <w:suppressAutoHyphens/>
              <w:wordWrap/>
              <w:topLinePunct/>
              <w:jc w:val="center"/>
              <w:rPr>
                <w:rFonts w:eastAsia="黑体"/>
                <w:color w:val="auto"/>
                <w:sz w:val="21"/>
              </w:rPr>
            </w:pPr>
            <w:r>
              <w:rPr>
                <w:rFonts w:eastAsia="黑体"/>
                <w:color w:val="auto"/>
                <w:sz w:val="21"/>
              </w:rPr>
              <w:drawing>
                <wp:inline distT="0" distB="0" distL="114300" distR="114300">
                  <wp:extent cx="4137660" cy="3079750"/>
                  <wp:effectExtent l="0" t="0" r="1524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4137660" cy="3079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rFonts w:eastAsia="黑体"/>
                <w:color w:val="auto"/>
                <w:sz w:val="21"/>
                <w:szCs w:val="21"/>
              </w:rPr>
              <w:t>图</w:t>
            </w:r>
            <w:r>
              <w:rPr>
                <w:rFonts w:hint="eastAsia" w:eastAsia="黑体"/>
                <w:color w:val="auto"/>
                <w:sz w:val="21"/>
                <w:szCs w:val="21"/>
                <w:lang w:val="en-US" w:eastAsia="zh-CN"/>
              </w:rPr>
              <w:t>2-6</w:t>
            </w:r>
            <w:r>
              <w:rPr>
                <w:rFonts w:eastAsia="黑体"/>
                <w:color w:val="auto"/>
                <w:sz w:val="21"/>
                <w:szCs w:val="21"/>
              </w:rPr>
              <w:t xml:space="preserve">  子槽沟1号桥平面布置图</w:t>
            </w:r>
          </w:p>
          <w:p>
            <w:pPr>
              <w:keepNext/>
              <w:keepLines w:val="0"/>
              <w:pageBreakBefore w:val="0"/>
              <w:widowControl w:val="0"/>
              <w:suppressAutoHyphens/>
              <w:kinsoku/>
              <w:wordWrap/>
              <w:overflowPunct/>
              <w:topLinePunct/>
              <w:autoSpaceDE/>
              <w:autoSpaceDN/>
              <w:bidi w:val="0"/>
              <w:adjustRightInd/>
              <w:snapToGrid/>
              <w:spacing w:line="360" w:lineRule="auto"/>
              <w:jc w:val="center"/>
              <w:textAlignment w:val="auto"/>
              <w:rPr>
                <w:rFonts w:eastAsia="黑体"/>
                <w:color w:val="auto"/>
                <w:sz w:val="21"/>
              </w:rPr>
            </w:pPr>
            <w:r>
              <w:rPr>
                <w:rFonts w:eastAsia="黑体"/>
                <w:color w:val="auto"/>
                <w:sz w:val="21"/>
              </w:rPr>
              <w:drawing>
                <wp:inline distT="0" distB="0" distL="114300" distR="114300">
                  <wp:extent cx="5273675" cy="3029585"/>
                  <wp:effectExtent l="0" t="0" r="3175" b="1841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5273675" cy="3029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1"/>
              </w:rPr>
            </w:pPr>
            <w:r>
              <w:rPr>
                <w:rFonts w:eastAsia="黑体"/>
                <w:color w:val="auto"/>
                <w:sz w:val="21"/>
                <w:szCs w:val="21"/>
              </w:rPr>
              <w:t>图</w:t>
            </w:r>
            <w:r>
              <w:rPr>
                <w:rFonts w:hint="eastAsia" w:eastAsia="黑体"/>
                <w:color w:val="auto"/>
                <w:sz w:val="21"/>
                <w:szCs w:val="21"/>
                <w:lang w:val="en-US" w:eastAsia="zh-CN"/>
              </w:rPr>
              <w:t>2-7</w:t>
            </w:r>
            <w:r>
              <w:rPr>
                <w:rFonts w:eastAsia="黑体"/>
                <w:color w:val="auto"/>
                <w:sz w:val="21"/>
                <w:szCs w:val="21"/>
              </w:rPr>
              <w:t xml:space="preserve">  子槽沟1号桥平桥型布置图</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sz w:val="24"/>
                <w:szCs w:val="24"/>
                <w:lang w:val="en-US" w:eastAsia="zh-CN"/>
              </w:rPr>
              <w:t>子槽沟</w:t>
            </w:r>
            <w:r>
              <w:rPr>
                <w:rFonts w:hint="eastAsia" w:ascii="Times New Roman" w:hAnsi="Times New Roman" w:eastAsia="宋体" w:cs="Times New Roman"/>
                <w:b/>
                <w:bCs w:val="0"/>
                <w:sz w:val="24"/>
                <w:szCs w:val="24"/>
                <w:lang w:val="en-US" w:eastAsia="zh-CN"/>
              </w:rPr>
              <w:t>2</w:t>
            </w:r>
            <w:r>
              <w:rPr>
                <w:rFonts w:hint="default" w:ascii="Times New Roman" w:hAnsi="Times New Roman" w:eastAsia="宋体" w:cs="Times New Roman"/>
                <w:b/>
                <w:bCs w:val="0"/>
                <w:sz w:val="24"/>
                <w:szCs w:val="24"/>
                <w:lang w:val="en-US" w:eastAsia="zh-CN"/>
              </w:rPr>
              <w:t>号大桥</w:t>
            </w:r>
          </w:p>
          <w:p>
            <w:pPr>
              <w:pStyle w:val="20"/>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ascii="Times New Roman" w:eastAsia="宋体"/>
                <w:b w:val="0"/>
                <w:color w:val="auto"/>
                <w:sz w:val="24"/>
                <w:szCs w:val="24"/>
              </w:rPr>
            </w:pPr>
            <w:r>
              <w:rPr>
                <w:rFonts w:ascii="Times New Roman" w:eastAsia="宋体"/>
                <w:b w:val="0"/>
                <w:color w:val="auto"/>
                <w:sz w:val="24"/>
                <w:szCs w:val="24"/>
              </w:rPr>
              <w:t>子槽沟2号大桥拟采用1-55m拱桥跨越河道，</w:t>
            </w:r>
            <w:r>
              <w:rPr>
                <w:rFonts w:hint="eastAsia" w:ascii="Times New Roman" w:eastAsia="宋体" w:cs="Times New Roman"/>
                <w:b w:val="0"/>
                <w:color w:val="auto"/>
                <w:sz w:val="24"/>
                <w:szCs w:val="24"/>
                <w:lang w:val="en-US" w:eastAsia="zh-CN"/>
              </w:rPr>
              <w:t>不在河流中设置桥墩，</w:t>
            </w:r>
            <w:r>
              <w:rPr>
                <w:rFonts w:ascii="Times New Roman" w:eastAsia="宋体"/>
                <w:b w:val="0"/>
                <w:color w:val="auto"/>
                <w:sz w:val="24"/>
                <w:szCs w:val="24"/>
              </w:rPr>
              <w:t>矢高7.5m，矢跨比为1/7.3。桥梁起讫里程：AK0+020～AK0+083，桥梁长度63m，桥梁宽度48m。</w:t>
            </w:r>
            <w:r>
              <w:rPr>
                <w:rFonts w:hint="default" w:ascii="Times New Roman" w:hAnsi="Times New Roman" w:eastAsia="宋体" w:cs="Times New Roman"/>
                <w:b w:val="0"/>
                <w:color w:val="auto"/>
                <w:sz w:val="24"/>
                <w:szCs w:val="24"/>
              </w:rPr>
              <w:t>桥梁布置形式跨越了设计百年一遇河道行洪断面，未对设计洪水过流断面造成影响。具体布置形式如下图所示。</w:t>
            </w:r>
          </w:p>
          <w:p>
            <w:pPr>
              <w:keepNext/>
              <w:keepLines w:val="0"/>
              <w:pageBreakBefore w:val="0"/>
              <w:widowControl w:val="0"/>
              <w:suppressAutoHyphens/>
              <w:kinsoku/>
              <w:wordWrap/>
              <w:overflowPunct/>
              <w:topLinePunct/>
              <w:autoSpaceDE/>
              <w:autoSpaceDN/>
              <w:bidi w:val="0"/>
              <w:adjustRightInd/>
              <w:snapToGrid/>
              <w:spacing w:line="360" w:lineRule="auto"/>
              <w:jc w:val="center"/>
              <w:textAlignment w:val="auto"/>
              <w:rPr>
                <w:rFonts w:eastAsia="黑体"/>
                <w:color w:val="auto"/>
                <w:sz w:val="21"/>
              </w:rPr>
            </w:pPr>
            <w:r>
              <w:rPr>
                <w:rFonts w:eastAsia="黑体"/>
                <w:color w:val="auto"/>
                <w:sz w:val="21"/>
              </w:rPr>
              <w:drawing>
                <wp:inline distT="0" distB="0" distL="114300" distR="114300">
                  <wp:extent cx="4353560" cy="3284855"/>
                  <wp:effectExtent l="0" t="0" r="8890" b="1079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4353560" cy="3284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rFonts w:eastAsia="黑体"/>
                <w:color w:val="auto"/>
                <w:sz w:val="21"/>
                <w:szCs w:val="21"/>
              </w:rPr>
              <w:t>图</w:t>
            </w:r>
            <w:r>
              <w:rPr>
                <w:rFonts w:hint="eastAsia" w:eastAsia="黑体"/>
                <w:color w:val="auto"/>
                <w:sz w:val="21"/>
                <w:szCs w:val="21"/>
                <w:lang w:val="en-US" w:eastAsia="zh-CN"/>
              </w:rPr>
              <w:t>2-8</w:t>
            </w:r>
            <w:r>
              <w:rPr>
                <w:rFonts w:eastAsia="黑体"/>
                <w:color w:val="auto"/>
                <w:sz w:val="21"/>
                <w:szCs w:val="21"/>
              </w:rPr>
              <w:t xml:space="preserve">  子槽沟2号桥平面布置图</w:t>
            </w:r>
          </w:p>
          <w:p>
            <w:pPr>
              <w:keepNext/>
              <w:keepLines w:val="0"/>
              <w:pageBreakBefore w:val="0"/>
              <w:widowControl w:val="0"/>
              <w:suppressAutoHyphens/>
              <w:kinsoku/>
              <w:wordWrap/>
              <w:overflowPunct/>
              <w:topLinePunct/>
              <w:autoSpaceDE/>
              <w:autoSpaceDN/>
              <w:bidi w:val="0"/>
              <w:adjustRightInd/>
              <w:snapToGrid/>
              <w:spacing w:line="360" w:lineRule="auto"/>
              <w:jc w:val="center"/>
              <w:textAlignment w:val="auto"/>
              <w:rPr>
                <w:rFonts w:eastAsia="黑体"/>
                <w:color w:val="auto"/>
                <w:sz w:val="21"/>
              </w:rPr>
            </w:pPr>
            <w:r>
              <w:rPr>
                <w:rFonts w:eastAsia="黑体"/>
                <w:color w:val="auto"/>
                <w:sz w:val="21"/>
              </w:rPr>
              <w:drawing>
                <wp:inline distT="0" distB="0" distL="114300" distR="114300">
                  <wp:extent cx="5274310" cy="3075305"/>
                  <wp:effectExtent l="0" t="0" r="2540" b="1079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0"/>
                          <a:stretch>
                            <a:fillRect/>
                          </a:stretch>
                        </pic:blipFill>
                        <pic:spPr>
                          <a:xfrm>
                            <a:off x="0" y="0"/>
                            <a:ext cx="5274310" cy="3075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1"/>
              </w:rPr>
            </w:pPr>
            <w:r>
              <w:rPr>
                <w:rFonts w:eastAsia="黑体"/>
                <w:color w:val="auto"/>
                <w:sz w:val="21"/>
                <w:szCs w:val="21"/>
              </w:rPr>
              <w:t>图</w:t>
            </w:r>
            <w:r>
              <w:rPr>
                <w:rFonts w:hint="eastAsia" w:eastAsia="黑体"/>
                <w:color w:val="auto"/>
                <w:sz w:val="21"/>
                <w:szCs w:val="21"/>
                <w:lang w:val="en-US" w:eastAsia="zh-CN"/>
              </w:rPr>
              <w:t>2-9</w:t>
            </w:r>
            <w:r>
              <w:rPr>
                <w:rFonts w:eastAsia="黑体"/>
                <w:color w:val="auto"/>
                <w:sz w:val="21"/>
                <w:szCs w:val="21"/>
              </w:rPr>
              <w:t xml:space="preserve">  子槽沟2号桥平桥型布置图</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w:t>
            </w:r>
            <w:r>
              <w:rPr>
                <w:rFonts w:hint="eastAsia" w:ascii="Times New Roman" w:hAnsi="Times New Roman" w:eastAsia="宋体" w:cs="Times New Roman"/>
                <w:b/>
                <w:bCs w:val="0"/>
                <w:sz w:val="24"/>
                <w:szCs w:val="24"/>
                <w:lang w:val="en-US" w:eastAsia="zh-CN"/>
              </w:rPr>
              <w:t>主要原辅材料及能耗</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宋体" w:hAnsi="宋体" w:eastAsia="宋体" w:cs="宋体"/>
                <w:sz w:val="24"/>
                <w:szCs w:val="24"/>
                <w:lang w:val="en-US" w:eastAsia="zh-CN"/>
              </w:rPr>
            </w:pPr>
            <w:r>
              <w:rPr>
                <w:rFonts w:hint="eastAsia" w:ascii="Times New Roman" w:hAnsi="Times New Roman" w:eastAsia="宋体" w:cs="Times New Roman"/>
                <w:color w:val="auto"/>
                <w:kern w:val="0"/>
                <w:sz w:val="24"/>
                <w:szCs w:val="24"/>
                <w:lang w:val="en-US" w:eastAsia="zh-CN"/>
              </w:rPr>
              <w:t>本项目校内设置有实验室，实验用化学试剂等种类繁多且用量微量，故本次评价仅统计消耗量相对较大的原辅料。</w:t>
            </w:r>
            <w:r>
              <w:rPr>
                <w:rFonts w:hint="eastAsia" w:ascii="宋体" w:hAnsi="宋体" w:eastAsia="宋体" w:cs="宋体"/>
                <w:sz w:val="24"/>
                <w:szCs w:val="24"/>
                <w:lang w:val="en-US" w:eastAsia="zh-CN"/>
              </w:rPr>
              <w:t>本项目主要原辅材料及来源见下表。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000000"/>
                <w:sz w:val="21"/>
                <w:szCs w:val="21"/>
                <w:lang w:val="en-US" w:eastAsia="zh-CN"/>
              </w:rPr>
            </w:pPr>
            <w:r>
              <w:rPr>
                <w:rFonts w:hint="eastAsia" w:ascii="Times New Roman" w:hAnsi="Times New Roman" w:eastAsia="黑体" w:cs="Times New Roman"/>
                <w:b w:val="0"/>
                <w:bCs/>
                <w:color w:val="000000"/>
                <w:sz w:val="21"/>
                <w:szCs w:val="21"/>
                <w:lang w:val="en-US" w:eastAsia="zh-CN"/>
              </w:rPr>
              <w:t>表2-5 项目主要原辅材料表</w:t>
            </w:r>
          </w:p>
          <w:tbl>
            <w:tblPr>
              <w:tblStyle w:val="25"/>
              <w:tblW w:w="820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1"/>
              <w:gridCol w:w="2153"/>
              <w:gridCol w:w="2722"/>
              <w:gridCol w:w="705"/>
              <w:gridCol w:w="1080"/>
              <w:gridCol w:w="10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val="en-US" w:eastAsia="zh-CN"/>
                    </w:rPr>
                    <w:t>类别</w:t>
                  </w:r>
                </w:p>
              </w:tc>
              <w:tc>
                <w:tcPr>
                  <w:tcW w:w="21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rPr>
                    <w:t>名称</w:t>
                  </w:r>
                </w:p>
              </w:tc>
              <w:tc>
                <w:tcPr>
                  <w:tcW w:w="27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规格</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rPr>
                    <w:t>年耗量</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来源</w:t>
                  </w: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原辅料</w:t>
                  </w: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乙醇</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外购</w:t>
                  </w: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用于校内实验室，存放于实验室试剂柜。</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C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淀粉</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KH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PO</w:t>
                  </w:r>
                  <w:r>
                    <w:rPr>
                      <w:rFonts w:hint="default" w:ascii="Times New Roman" w:hAnsi="Times New Roman" w:eastAsia="宋体" w:cs="Times New Roman"/>
                      <w:i w:val="0"/>
                      <w:iCs w:val="0"/>
                      <w:color w:val="000000"/>
                      <w:kern w:val="0"/>
                      <w:sz w:val="21"/>
                      <w:szCs w:val="21"/>
                      <w:u w:val="none"/>
                      <w:vertAlign w:val="subscript"/>
                      <w:lang w:val="en-US" w:eastAsia="zh-CN" w:bidi="ar"/>
                    </w:rPr>
                    <w:t>4</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无水磷酸二氢钾固体500g/瓶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氯化钾固体</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氯化钾500g/瓶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NaOH固体</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氢氧化钠500g/瓶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NaCl固体</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氯化钠500g/瓶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Na</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固体</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无水硫酸钠500g/瓶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碘化钾</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固体AR500g/瓶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4-氨基安替比林</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苯酚</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葡萄糖晶体</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苯甲酸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丁酸</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CAS：149437-76-3</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Na</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HPO</w:t>
                  </w:r>
                  <w:r>
                    <w:rPr>
                      <w:rFonts w:hint="default" w:ascii="Times New Roman" w:hAnsi="Times New Roman" w:eastAsia="宋体" w:cs="Times New Roman"/>
                      <w:i w:val="0"/>
                      <w:iCs w:val="0"/>
                      <w:color w:val="000000"/>
                      <w:kern w:val="0"/>
                      <w:sz w:val="21"/>
                      <w:szCs w:val="21"/>
                      <w:u w:val="none"/>
                      <w:vertAlign w:val="subscript"/>
                      <w:lang w:val="en-US" w:eastAsia="zh-CN" w:bidi="ar"/>
                    </w:rPr>
                    <w:t>4</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磷酸氢二钾固体500g/瓶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NaH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PO</w:t>
                  </w:r>
                  <w:r>
                    <w:rPr>
                      <w:rFonts w:hint="default" w:ascii="Times New Roman" w:hAnsi="Times New Roman" w:eastAsia="宋体" w:cs="Times New Roman"/>
                      <w:i w:val="0"/>
                      <w:iCs w:val="0"/>
                      <w:color w:val="000000"/>
                      <w:kern w:val="0"/>
                      <w:sz w:val="21"/>
                      <w:szCs w:val="21"/>
                      <w:u w:val="none"/>
                      <w:vertAlign w:val="subscript"/>
                      <w:lang w:val="en-US" w:eastAsia="zh-CN" w:bidi="ar"/>
                    </w:rPr>
                    <w:t>4</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无水磷酸二氢钠固体500g/瓶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亚硝基铁氰化纳</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无水碳酸钠</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硫酸铵</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固体500g/瓶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vertAlign w:val="subscript"/>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氨基黑10B染色液</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过氧化氢酶</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≥200,000unit/g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蓝墨水</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 甲紫溶液/瓶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对氨基偶氮苯</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薄荷脑</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最小包装</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香草醛</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99% 100g/包</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精氨酸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脯氨酸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亮氨酸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乙酸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茚三酮</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氧化钙</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硼砂</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α-萘酚</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99.0% 25克/瓶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95%工业酒精</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溴化钠（无水）</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碳酸钠</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无水氯化钙</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无水硫酸镁</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水杨酸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250g/瓶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环己醇</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磷酸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氨基黑10B</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A800954，100g/瓶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柠檬酸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N-甲基-2-吡咯烷酮</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500ml(AR)</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HYPERLINK "https://baike.so.com/doc/3452018.html" \t "https://baike.so.com/doc/_blank"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乙二胺</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000000"/>
                      <w:kern w:val="0"/>
                      <w:sz w:val="21"/>
                      <w:szCs w:val="21"/>
                      <w:u w:val="none"/>
                      <w:lang w:val="en-US" w:eastAsia="zh-CN" w:bidi="ar"/>
                    </w:rPr>
                    <w:t>四乙酸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碳酸钙</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分析纯AR 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钙红指示剂</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IND 25g/瓶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酚红</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亚硫酸氢钠</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福尔马林</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25kg 37%/瓶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氢氧化钾</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苯氨</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 /瓶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盐酸</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丁醇</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500ml/瓶</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外购</w:t>
                  </w: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能源</w:t>
                  </w: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电</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Calibri"/>
                      <w:color w:val="auto"/>
                      <w:szCs w:val="21"/>
                      <w:lang w:val="en-US" w:eastAsia="zh-CN"/>
                    </w:rPr>
                    <w:t>万</w:t>
                  </w:r>
                  <w:r>
                    <w:rPr>
                      <w:rFonts w:cs="Calibri"/>
                      <w:color w:val="auto"/>
                      <w:szCs w:val="21"/>
                    </w:rPr>
                    <w:t>k</w:t>
                  </w:r>
                  <w:r>
                    <w:rPr>
                      <w:rFonts w:hint="eastAsia" w:cs="Calibri"/>
                      <w:color w:val="auto"/>
                      <w:szCs w:val="21"/>
                      <w:lang w:val="en-US" w:eastAsia="zh-CN"/>
                    </w:rPr>
                    <w:t>W</w:t>
                  </w:r>
                  <w:r>
                    <w:rPr>
                      <w:rFonts w:cs="Calibri"/>
                      <w:b/>
                      <w:bCs/>
                      <w:color w:val="auto"/>
                      <w:szCs w:val="21"/>
                    </w:rPr>
                    <w:t>·</w:t>
                  </w:r>
                  <w:r>
                    <w:rPr>
                      <w:rFonts w:cs="Calibri"/>
                      <w:color w:val="auto"/>
                      <w:szCs w:val="21"/>
                    </w:rPr>
                    <w:t>h</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市政电网</w:t>
                  </w: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水</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t</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bidi="ar"/>
                    </w:rPr>
                    <w:t>906950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市政水网</w:t>
                  </w: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天然气</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vertAlign w:val="superscript"/>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400000</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市政天然气管网</w:t>
                  </w: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7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val="en-US" w:eastAsia="zh-CN"/>
                    </w:rPr>
                  </w:pPr>
                </w:p>
              </w:tc>
              <w:tc>
                <w:tcPr>
                  <w:tcW w:w="2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柴油</w:t>
                  </w:r>
                </w:p>
              </w:tc>
              <w:tc>
                <w:tcPr>
                  <w:tcW w:w="27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t</w:t>
                  </w: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外购</w:t>
                  </w:r>
                </w:p>
              </w:tc>
              <w:tc>
                <w:tcPr>
                  <w:tcW w:w="1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储存于发电机房</w:t>
                  </w:r>
                  <w:r>
                    <w:rPr>
                      <w:rFonts w:hint="eastAsia" w:ascii="Times New Roman" w:hAnsi="Times New Roman" w:eastAsia="宋体" w:cs="Times New Roman"/>
                      <w:color w:val="auto"/>
                      <w:sz w:val="21"/>
                      <w:szCs w:val="21"/>
                      <w:lang w:val="en-US" w:eastAsia="zh-CN"/>
                    </w:rPr>
                    <w:t>柴油储存间</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本项目</w:t>
            </w:r>
            <w:r>
              <w:rPr>
                <w:rFonts w:hint="eastAsia" w:ascii="Times New Roman" w:hAnsi="Times New Roman" w:eastAsia="宋体" w:cs="Times New Roman"/>
                <w:b w:val="0"/>
                <w:bCs/>
                <w:color w:val="000000"/>
                <w:sz w:val="24"/>
                <w:szCs w:val="24"/>
                <w:lang w:val="en-US" w:eastAsia="zh-CN"/>
              </w:rPr>
              <w:t>实验室</w:t>
            </w:r>
            <w:r>
              <w:rPr>
                <w:rFonts w:hint="default" w:ascii="Times New Roman" w:hAnsi="Times New Roman" w:eastAsia="宋体" w:cs="Times New Roman"/>
                <w:b w:val="0"/>
                <w:bCs/>
                <w:color w:val="000000"/>
                <w:sz w:val="24"/>
                <w:szCs w:val="24"/>
                <w:lang w:val="en-US" w:eastAsia="zh-CN"/>
              </w:rPr>
              <w:t>涉及试剂种类繁多，本次仅选取使用量较多或环境风险较大的主要试剂为代表，主要试剂理化性质见下表。</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黑体" w:cs="Times New Roman"/>
                <w:b w:val="0"/>
                <w:bCs/>
                <w:color w:val="000000"/>
                <w:sz w:val="21"/>
                <w:szCs w:val="21"/>
                <w:lang w:val="en-US" w:eastAsia="zh-CN"/>
              </w:rPr>
            </w:pPr>
            <w:r>
              <w:rPr>
                <w:rFonts w:hint="eastAsia" w:ascii="Times New Roman" w:hAnsi="Times New Roman" w:eastAsia="黑体" w:cs="Times New Roman"/>
                <w:b w:val="0"/>
                <w:bCs/>
                <w:color w:val="000000"/>
                <w:sz w:val="21"/>
                <w:szCs w:val="21"/>
                <w:lang w:val="en-US" w:eastAsia="zh-CN"/>
              </w:rPr>
              <w:t>表2-6 项目主要原辅材料理化性质表</w:t>
            </w:r>
          </w:p>
          <w:tbl>
            <w:tblPr>
              <w:tblStyle w:val="25"/>
              <w:tblW w:w="81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7"/>
              <w:gridCol w:w="1380"/>
              <w:gridCol w:w="60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序号</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名称</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理化性质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乙醇</w:t>
                  </w:r>
                </w:p>
              </w:tc>
              <w:tc>
                <w:tcPr>
                  <w:tcW w:w="60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乙醇（ethanol，分子式 C2H5OH），有机化合物，俗称酒精，是最常见的一元醇。其在常温常压下是一种易燃、易挥发的无色透明液体，低毒，纯液体不可直接饮用，具有特殊香味（略带刺激），微甘（伴有刺激的辛辣滋味），易燃，其蒸气能与空气形成爆炸性混合物，能与水以任意比互溶，也能与氯仿、乙醚、甲醇、丙酮和其他多数有机溶剂混溶。其与甲醚是同分异构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2</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苯酚</w:t>
                  </w:r>
                </w:p>
              </w:tc>
              <w:tc>
                <w:tcPr>
                  <w:tcW w:w="60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aps w:val="0"/>
                      <w:color w:val="000000"/>
                      <w:spacing w:val="0"/>
                      <w:sz w:val="21"/>
                      <w:szCs w:val="21"/>
                      <w:shd w:val="clear" w:color="auto" w:fill="FFFFFF"/>
                    </w:rPr>
                    <w:t>苯酚，又名石炭酸、羟基苯，是最简单的酚类有机物，一种弱酸。常温下为一种无色晶体，有毒。苯酚是一种常见的化学品</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default" w:ascii="Times New Roman" w:hAnsi="Times New Roman" w:eastAsia="宋体" w:cs="Times New Roman"/>
                      <w:i w:val="0"/>
                      <w:iCs w:val="0"/>
                      <w:caps w:val="0"/>
                      <w:color w:val="000000"/>
                      <w:spacing w:val="0"/>
                      <w:sz w:val="21"/>
                      <w:szCs w:val="21"/>
                      <w:shd w:val="clear" w:color="auto" w:fill="FFFFFF"/>
                    </w:rPr>
                    <w:t>是生产某些树脂、杀菌剂、防腐剂以及药物(如阿司匹林)的重要原料。苯酚有腐蚀性，常温下微溶于水，易溶于有机溶液;当温度高于65°C时，能跟水以任意比例互溶。其溶液沾到皮肤上可用酒精洗涤，苯酚暴露在空气中呈粉红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3</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苯甲酸</w:t>
                  </w:r>
                </w:p>
              </w:tc>
              <w:tc>
                <w:tcPr>
                  <w:tcW w:w="6070"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苯甲酸为具有苯或甲醛的气味的鳞片状或针状结晶，化学式C</w:t>
                  </w:r>
                  <w:r>
                    <w:rPr>
                      <w:rFonts w:hint="default" w:ascii="Times New Roman" w:hAnsi="Times New Roman" w:eastAsia="宋体" w:cs="Times New Roman"/>
                      <w:color w:val="000000"/>
                      <w:kern w:val="0"/>
                      <w:sz w:val="21"/>
                      <w:szCs w:val="21"/>
                      <w:vertAlign w:val="subscript"/>
                      <w:lang w:val="en-US" w:eastAsia="zh-CN" w:bidi="ar"/>
                    </w:rPr>
                    <w:t>6</w:t>
                  </w:r>
                  <w:r>
                    <w:rPr>
                      <w:rFonts w:hint="default" w:ascii="Times New Roman" w:hAnsi="Times New Roman" w:eastAsia="宋体" w:cs="Times New Roman"/>
                      <w:color w:val="000000"/>
                      <w:kern w:val="0"/>
                      <w:sz w:val="21"/>
                      <w:szCs w:val="21"/>
                      <w:lang w:val="en-US" w:eastAsia="zh-CN" w:bidi="ar"/>
                    </w:rPr>
                    <w:t>H</w:t>
                  </w:r>
                  <w:r>
                    <w:rPr>
                      <w:rFonts w:hint="default" w:ascii="Times New Roman" w:hAnsi="Times New Roman" w:eastAsia="宋体" w:cs="Times New Roman"/>
                      <w:color w:val="000000"/>
                      <w:kern w:val="0"/>
                      <w:sz w:val="21"/>
                      <w:szCs w:val="21"/>
                      <w:vertAlign w:val="subscript"/>
                      <w:lang w:val="en-US" w:eastAsia="zh-CN" w:bidi="ar"/>
                    </w:rPr>
                    <w:t>5</w:t>
                  </w:r>
                  <w:r>
                    <w:rPr>
                      <w:rFonts w:hint="default" w:ascii="Times New Roman" w:hAnsi="Times New Roman" w:eastAsia="宋体" w:cs="Times New Roman"/>
                      <w:color w:val="000000"/>
                      <w:kern w:val="0"/>
                      <w:sz w:val="21"/>
                      <w:szCs w:val="21"/>
                      <w:lang w:val="en-US" w:eastAsia="zh-CN" w:bidi="ar"/>
                    </w:rPr>
                    <w:t>COOH。熔点122.13°C，沸点249℃，相对密度1.2659(15/4C)。在100°C时迅速升华，它的蒸气有很强的刺激性，吸入后易引起咳嗽。微溶于水，易溶于乙醇、乙醚等有机溶剂。苯甲酸是弱酸，比脂肪酸强。它们的化学性质相似，都能形成盐、酯、酰卤、酰胺、酸酐等，都不易被氧化。苯甲酸的苯环上可发生亲电取代反应，主要得到间位取代产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丁酸</w:t>
                  </w:r>
                </w:p>
              </w:tc>
              <w:tc>
                <w:tcPr>
                  <w:tcW w:w="6070" w:type="dxa"/>
                  <w:tcBorders>
                    <w:tl2br w:val="nil"/>
                    <w:tr2bl w:val="nil"/>
                  </w:tcBorders>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auto"/>
                      <w:kern w:val="0"/>
                      <w:sz w:val="21"/>
                      <w:szCs w:val="21"/>
                      <w:lang w:val="en-US" w:eastAsia="zh-CN" w:bidi="ar"/>
                    </w:rPr>
                    <w:t>丁酸，又称酪酸，存在于腐臭的黄油、帕马森干酪、呕吐物和腋臭中，带有难闻的气味，味先辣后甜，与乙醚类似。10ppb浓度的丁酸即可被狗嗅出，人则大于10ppm。丁酸是脂肪酸，在动物脂肪和植物油中以丁酸酯形式存在。是短链脂肪酸的主要一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5</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硫酸铵</w:t>
                  </w:r>
                </w:p>
              </w:tc>
              <w:tc>
                <w:tcPr>
                  <w:tcW w:w="6070" w:type="dxa"/>
                  <w:tcBorders>
                    <w:tl2br w:val="nil"/>
                    <w:tr2bl w:val="nil"/>
                  </w:tcBorders>
                  <w:noWrap w:val="0"/>
                  <w:vAlign w:val="center"/>
                </w:tcPr>
                <w:p>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无色结晶或白色颗粒。无气味。280°C以上分解。水中溶解度:O℃时70.6g，100℃时103.8g。不溶于乙醇和丙酮。0.1molL水溶液的pH为5.5。相对密度1.77。折光率1.521。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6</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val="en-US" w:eastAsia="zh-CN"/>
                    </w:rPr>
                    <w:t>乙酸</w:t>
                  </w:r>
                </w:p>
              </w:tc>
              <w:tc>
                <w:tcPr>
                  <w:tcW w:w="6070" w:type="dxa"/>
                  <w:tcBorders>
                    <w:tl2br w:val="nil"/>
                    <w:tr2bl w:val="nil"/>
                  </w:tcBorders>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乙酸，也叫醋酸、冰醋酸，化学式CHsCOOH，是一种有机一元酸，为食醋内酸味及刺激性气味的来源。纯的无水乙酸(冰醋酸)是无色的吸湿性液体，凝固点为16.7℃(62°F)，凝固后为无色晶体。尽管根据乙酸在水溶液中的解离能力它是一种弱酸，但是Z酸是具有腐蚀性的，其蒸汽对眼和鼻有刺激性作用。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7</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磷酸</w:t>
                  </w:r>
                </w:p>
              </w:tc>
              <w:tc>
                <w:tcPr>
                  <w:tcW w:w="6070" w:type="dxa"/>
                  <w:tcBorders>
                    <w:tl2br w:val="nil"/>
                    <w:tr2bl w:val="nil"/>
                  </w:tcBorders>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磷酸或正磷酸，化学式H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PO4，分子量为97.9724，</w:t>
                  </w:r>
                  <w:r>
                    <w:rPr>
                      <w:rFonts w:hint="eastAsia" w:ascii="Times New Roman" w:hAnsi="Times New Roman" w:eastAsia="宋体" w:cs="Times New Roman"/>
                      <w:color w:val="000000"/>
                      <w:kern w:val="0"/>
                      <w:sz w:val="21"/>
                      <w:szCs w:val="21"/>
                      <w:lang w:val="en-US" w:eastAsia="zh-CN" w:bidi="ar"/>
                    </w:rPr>
                    <w:t>熔</w:t>
                  </w:r>
                  <w:r>
                    <w:rPr>
                      <w:rFonts w:hint="default" w:ascii="Times New Roman" w:hAnsi="Times New Roman" w:eastAsia="宋体" w:cs="Times New Roman"/>
                      <w:color w:val="000000"/>
                      <w:kern w:val="0"/>
                      <w:sz w:val="21"/>
                      <w:szCs w:val="21"/>
                      <w:lang w:val="en-US" w:eastAsia="zh-CN" w:bidi="ar"/>
                    </w:rPr>
                    <w:t>点42℃</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沸点261℃</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是一种常见的无机酸，是中强酸。磷酸在空气中容易潮解。加热会失水得到焦磷酸，再进一步失水得到偏磷酸。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8</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auto"/>
                      <w:spacing w:val="0"/>
                      <w:sz w:val="21"/>
                      <w:szCs w:val="21"/>
                      <w:shd w:val="clear" w:color="auto" w:fill="FFFFFF"/>
                    </w:rPr>
                    <w:t>甲醛，化学式HCHO或CH</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2</w:t>
                  </w:r>
                  <w:r>
                    <w:rPr>
                      <w:rFonts w:hint="eastAsia" w:ascii="Times New Roman" w:hAnsi="Times New Roman" w:eastAsia="宋体" w:cs="Times New Roman"/>
                      <w:i w:val="0"/>
                      <w:iCs w:val="0"/>
                      <w:caps w:val="0"/>
                      <w:color w:val="auto"/>
                      <w:spacing w:val="0"/>
                      <w:sz w:val="21"/>
                      <w:szCs w:val="21"/>
                      <w:shd w:val="clear" w:color="auto" w:fill="FFFFFF"/>
                      <w:lang w:val="en-US" w:eastAsia="zh-CN"/>
                    </w:rPr>
                    <w:t>O</w:t>
                  </w:r>
                  <w:r>
                    <w:rPr>
                      <w:rFonts w:hint="default" w:ascii="Times New Roman" w:hAnsi="Times New Roman" w:eastAsia="宋体" w:cs="Times New Roman"/>
                      <w:i w:val="0"/>
                      <w:iCs w:val="0"/>
                      <w:caps w:val="0"/>
                      <w:color w:val="auto"/>
                      <w:spacing w:val="0"/>
                      <w:sz w:val="21"/>
                      <w:szCs w:val="21"/>
                      <w:shd w:val="clear" w:color="auto" w:fill="FFFFFF"/>
                    </w:rPr>
                    <w:t>，式量30.03，又称蚁醛。无色气体，有刺激性气味，对人眼、鼻等有刺激作用。气体相对密度1.067(空气=1)，液体密度0.815g/cm</w:t>
                  </w:r>
                  <w:r>
                    <w:rPr>
                      <w:rFonts w:hint="default" w:ascii="Times New Roman" w:hAnsi="Times New Roman" w:eastAsia="宋体" w:cs="Times New Roman"/>
                      <w:i w:val="0"/>
                      <w:iCs w:val="0"/>
                      <w:caps w:val="0"/>
                      <w:color w:val="auto"/>
                      <w:spacing w:val="0"/>
                      <w:sz w:val="21"/>
                      <w:szCs w:val="21"/>
                      <w:shd w:val="clear" w:color="auto" w:fill="FFFFFF"/>
                      <w:vertAlign w:val="superscript"/>
                    </w:rPr>
                    <w:t>3</w:t>
                  </w:r>
                  <w:r>
                    <w:rPr>
                      <w:rFonts w:hint="default" w:ascii="Times New Roman" w:hAnsi="Times New Roman" w:eastAsia="宋体" w:cs="Times New Roman"/>
                      <w:i w:val="0"/>
                      <w:iCs w:val="0"/>
                      <w:caps w:val="0"/>
                      <w:color w:val="auto"/>
                      <w:spacing w:val="0"/>
                      <w:sz w:val="21"/>
                      <w:szCs w:val="21"/>
                      <w:shd w:val="clear" w:color="auto" w:fill="FFFFFF"/>
                    </w:rPr>
                    <w:t>(-20℃)。熔点-92℃，沸点-19.5℃。易溶于水和乙醇。水溶液的浓度最高可达55%，通常是40%，</w:t>
                  </w:r>
                  <w:r>
                    <w:rPr>
                      <w:rFonts w:hint="eastAsia" w:ascii="Times New Roman" w:hAnsi="Times New Roman" w:eastAsia="宋体" w:cs="Times New Roman"/>
                      <w:i w:val="0"/>
                      <w:iCs w:val="0"/>
                      <w:caps w:val="0"/>
                      <w:color w:val="auto"/>
                      <w:spacing w:val="0"/>
                      <w:sz w:val="21"/>
                      <w:szCs w:val="21"/>
                      <w:shd w:val="clear" w:color="auto" w:fill="FFFFFF"/>
                      <w:lang w:eastAsia="zh-CN"/>
                    </w:rPr>
                    <w:t>称作</w:t>
                  </w:r>
                  <w:r>
                    <w:rPr>
                      <w:rFonts w:hint="default" w:ascii="Times New Roman" w:hAnsi="Times New Roman" w:eastAsia="宋体" w:cs="Times New Roman"/>
                      <w:i w:val="0"/>
                      <w:iCs w:val="0"/>
                      <w:caps w:val="0"/>
                      <w:color w:val="auto"/>
                      <w:spacing w:val="0"/>
                      <w:sz w:val="21"/>
                      <w:szCs w:val="21"/>
                      <w:shd w:val="clear" w:color="auto" w:fill="FFFFFF"/>
                    </w:rPr>
                    <w:t>甲醛水，俗称福尔马林(formalin)，是有刺激气味的无色液体</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有强还原作用，特别是在碱性溶液中。能燃烧，蒸气与空气形成爆炸性混合物，爆炸极限7%-73%(体积)。着火温度约300℃</w:t>
                  </w:r>
                  <w:r>
                    <w:rPr>
                      <w:rFonts w:hint="eastAsia" w:ascii="Times New Roman" w:hAnsi="Times New Roman" w:eastAsia="宋体" w:cs="Times New Roman"/>
                      <w:i w:val="0"/>
                      <w:iCs w:val="0"/>
                      <w:caps w:val="0"/>
                      <w:color w:val="auto"/>
                      <w:spacing w:val="0"/>
                      <w:sz w:val="21"/>
                      <w:szCs w:val="21"/>
                      <w:shd w:val="clear" w:color="auto" w:fill="FFFFFF"/>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9</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苯胺</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rPr>
                    <w:t>苯胺，又名氨基苯，是一种有机化合物，化学式为C</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6</w:t>
                  </w:r>
                  <w:r>
                    <w:rPr>
                      <w:rFonts w:hint="default" w:ascii="Times New Roman" w:hAnsi="Times New Roman" w:eastAsia="宋体" w:cs="Times New Roman"/>
                      <w:i w:val="0"/>
                      <w:iCs w:val="0"/>
                      <w:caps w:val="0"/>
                      <w:color w:val="auto"/>
                      <w:spacing w:val="0"/>
                      <w:sz w:val="21"/>
                      <w:szCs w:val="21"/>
                      <w:shd w:val="clear" w:color="auto" w:fill="FFFFFF"/>
                    </w:rPr>
                    <w:t>H</w:t>
                  </w:r>
                  <w:r>
                    <w:rPr>
                      <w:rFonts w:hint="default" w:ascii="Times New Roman" w:hAnsi="Times New Roman" w:eastAsia="宋体" w:cs="Times New Roman"/>
                      <w:i w:val="0"/>
                      <w:iCs w:val="0"/>
                      <w:caps w:val="0"/>
                      <w:color w:val="auto"/>
                      <w:spacing w:val="0"/>
                      <w:sz w:val="21"/>
                      <w:szCs w:val="21"/>
                      <w:shd w:val="clear" w:color="auto" w:fill="FFFFFF"/>
                      <w:vertAlign w:val="subscript"/>
                    </w:rPr>
                    <w:t>7</w:t>
                  </w:r>
                  <w:r>
                    <w:rPr>
                      <w:rFonts w:hint="default" w:ascii="Times New Roman" w:hAnsi="Times New Roman" w:eastAsia="宋体" w:cs="Times New Roman"/>
                      <w:i w:val="0"/>
                      <w:iCs w:val="0"/>
                      <w:caps w:val="0"/>
                      <w:color w:val="auto"/>
                      <w:spacing w:val="0"/>
                      <w:sz w:val="21"/>
                      <w:szCs w:val="21"/>
                      <w:shd w:val="clear" w:color="auto" w:fill="FFFFFF"/>
                    </w:rPr>
                    <w:t>N，为无色油状液体，加热至370C分解，微溶于水，易溶于乙醇、乙醚等有机溶剂。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10</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sz w:val="21"/>
                      <w:szCs w:val="21"/>
                      <w:lang w:eastAsia="zh-CN"/>
                    </w:rPr>
                  </w:pPr>
                  <w:r>
                    <w:rPr>
                      <w:rFonts w:hint="default" w:ascii="Times New Roman" w:hAnsi="Times New Roman" w:eastAsia="宋体" w:cs="Times New Roman"/>
                      <w:sz w:val="21"/>
                      <w:szCs w:val="21"/>
                      <w:lang w:eastAsia="zh-CN"/>
                    </w:rPr>
                    <w:t>乙酸乙酯是无色透明液体，低毒性，有甜味，浓度较高时有刺激性气味，易挥发，对空气敏感，能吸水分，使其缓慢水解而呈酸性反应。能与氯仿、乙醇、丙酮和乙醚混溶，溶于水(10%ml)。能溶解某些金属盐类(如氯化锂、氮化钻、氯化锌、氯化铁等)反应。相对密度0.902。熔点-83℃。沸点77C。折光率1.3719。闪点7.2C(开杯)。易燃。蒸气能与空气形成爆炸性混合物。半数致死量(大鼠，经口)11.3ml/k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szCs w:val="21"/>
                    </w:rPr>
                  </w:pPr>
                  <w:r>
                    <w:rPr>
                      <w:rFonts w:hint="default" w:ascii="Times New Roman" w:hAnsi="Times New Roman" w:eastAsia="宋体" w:cs="Times New Roman"/>
                      <w:i w:val="0"/>
                      <w:iCs w:val="0"/>
                      <w:caps w:val="0"/>
                      <w:color w:val="auto"/>
                      <w:spacing w:val="0"/>
                      <w:sz w:val="21"/>
                      <w:szCs w:val="21"/>
                      <w:shd w:val="clear" w:color="auto" w:fill="FFFFFF"/>
                    </w:rPr>
                    <w:t>石油醚是无色透明液体，有煤油气味。主要为戊烷和己烷的混合物。不溶于水，溶于无水乙醇、苯、氯仿、油类等多数有机溶剂。易燃易爆，与氧化剂可强烈反应。主要用作溶剂和油脂处理。通常用铂重整抽余油或直馏汽油经分馏、加氢或其他方法制得。—般有30~60℃、60~90℃、90~120℃等沸程规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aps w:val="0"/>
                      <w:color w:val="000000"/>
                      <w:spacing w:val="0"/>
                      <w:sz w:val="21"/>
                      <w:szCs w:val="21"/>
                      <w:shd w:val="clear" w:color="auto" w:fill="FFFFFF"/>
                    </w:rPr>
                    <w:t>硝酸</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i w:val="0"/>
                      <w:iCs w:val="0"/>
                      <w:caps w:val="0"/>
                      <w:color w:val="000000"/>
                      <w:spacing w:val="0"/>
                      <w:sz w:val="21"/>
                      <w:szCs w:val="21"/>
                      <w:shd w:val="clear" w:color="auto" w:fill="FFFFFF"/>
                    </w:rPr>
                  </w:pPr>
                  <w:r>
                    <w:rPr>
                      <w:rFonts w:hint="default" w:ascii="Times New Roman" w:hAnsi="Times New Roman" w:eastAsia="宋体" w:cs="Times New Roman"/>
                      <w:i w:val="0"/>
                      <w:iCs w:val="0"/>
                      <w:caps w:val="0"/>
                      <w:color w:val="000000"/>
                      <w:spacing w:val="0"/>
                      <w:sz w:val="21"/>
                      <w:szCs w:val="21"/>
                      <w:shd w:val="clear" w:color="auto" w:fill="FFFFFF"/>
                    </w:rPr>
                    <w:t>硝酸是一种具有强氧化性、腐蚀性的强酸。化学式HNO</w:t>
                  </w:r>
                  <w:r>
                    <w:rPr>
                      <w:rFonts w:hint="default" w:ascii="Times New Roman" w:hAnsi="Times New Roman" w:eastAsia="宋体" w:cs="Times New Roman"/>
                      <w:i w:val="0"/>
                      <w:iCs w:val="0"/>
                      <w:caps w:val="0"/>
                      <w:color w:val="000000"/>
                      <w:spacing w:val="0"/>
                      <w:sz w:val="21"/>
                      <w:szCs w:val="21"/>
                      <w:shd w:val="clear" w:color="auto" w:fill="FFFFFF"/>
                      <w:vertAlign w:val="subscript"/>
                    </w:rPr>
                    <w:t>3</w:t>
                  </w:r>
                  <w:r>
                    <w:rPr>
                      <w:rFonts w:hint="default" w:ascii="Times New Roman" w:hAnsi="Times New Roman" w:eastAsia="宋体" w:cs="Times New Roman"/>
                      <w:i w:val="0"/>
                      <w:iCs w:val="0"/>
                      <w:caps w:val="0"/>
                      <w:color w:val="000000"/>
                      <w:spacing w:val="0"/>
                      <w:sz w:val="21"/>
                      <w:szCs w:val="21"/>
                      <w:shd w:val="clear" w:color="auto" w:fill="FFFFFF"/>
                    </w:rPr>
                    <w:t>。熔点:-42℃，沸点:78°C，易溶于水，常温下纯硝酸溶液无色透明。</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szCs w:val="21"/>
                    </w:rPr>
                  </w:pPr>
                  <w:r>
                    <w:rPr>
                      <w:rFonts w:hint="default" w:ascii="Times New Roman" w:hAnsi="Times New Roman" w:eastAsia="宋体" w:cs="Times New Roman"/>
                      <w:i w:val="0"/>
                      <w:iCs w:val="0"/>
                      <w:caps w:val="0"/>
                      <w:color w:val="000000"/>
                      <w:spacing w:val="0"/>
                      <w:sz w:val="21"/>
                      <w:szCs w:val="21"/>
                      <w:shd w:val="clear" w:color="auto" w:fill="FFFFFF"/>
                    </w:rPr>
                    <w:t>硝酸不稳定，遇光或热会分解而放出二氧化氮，分解产生的二氧化氮溶于硝酸，从而使外观带有浅黄色，应在棕色瓶中于阴暗处避光保存，严禁与还原剂接触。浓硝酸是强氧化剂，遇有机物、木屑等能引起燃烧。含有痕量氧化物的浓硝酸几乎能与除铝和含铬特殊钢之外的所有金属发生反应，而铝和含铬特殊钢衩浓硝酸钝化与乙醇、松节油、焦炭，有机碎渣的反应非常剧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盐酸</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无色或微黄色易挥发性液体，有刺鼻的气味，熔点:-114.8℃(纯HC1)，沸点:108.6℃(20%恒沸溶液)。相对密度(水=1)1.20，相对蒸气密度(空气=1)1.26，饱和蒸气压30.66kPa(21℃)。与水混溶，溶于碱液。该品不燃。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14</w:t>
                  </w:r>
                </w:p>
              </w:tc>
              <w:tc>
                <w:tcPr>
                  <w:tcW w:w="13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丁醇</w:t>
                  </w:r>
                </w:p>
              </w:tc>
              <w:tc>
                <w:tcPr>
                  <w:tcW w:w="60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丁醇相对密度(d2020)0.8109，沸点117.7℃，熔点</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90.2℃，折射率(n20D)1.3993，闪点35-35.5℃，自燃点365℃，20℃时在水中的溶解度7.7%(重量)，水在正丁醇</w:t>
                  </w:r>
                  <w:r>
                    <w:rPr>
                      <w:rFonts w:hint="eastAsia" w:ascii="Times New Roman" w:hAnsi="Times New Roman" w:cs="Times New Roman"/>
                      <w:sz w:val="21"/>
                      <w:szCs w:val="21"/>
                      <w:lang w:val="en-US" w:eastAsia="zh-CN"/>
                    </w:rPr>
                    <w:t>中的</w:t>
                  </w:r>
                  <w:r>
                    <w:rPr>
                      <w:rFonts w:hint="default" w:ascii="Times New Roman" w:hAnsi="Times New Roman" w:cs="Times New Roman"/>
                      <w:sz w:val="21"/>
                      <w:szCs w:val="21"/>
                      <w:lang w:val="en-US" w:eastAsia="zh-CN"/>
                    </w:rPr>
                    <w:t>溶解度20.1%(重量)。</w:t>
                  </w:r>
                </w:p>
              </w:tc>
            </w:tr>
          </w:tbl>
          <w:p>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宋体" w:hAnsi="宋体" w:eastAsia="宋体" w:cs="宋体"/>
                <w:b/>
                <w:bCs w:val="0"/>
                <w:sz w:val="24"/>
                <w:szCs w:val="24"/>
                <w:lang w:val="en-US" w:eastAsia="zh-CN"/>
              </w:rPr>
            </w:pPr>
            <w:r>
              <w:rPr>
                <w:rFonts w:hint="eastAsia" w:ascii="Times New Roman" w:hAnsi="Times New Roman" w:eastAsia="宋体" w:cs="Times New Roman"/>
                <w:b/>
                <w:bCs w:val="0"/>
                <w:sz w:val="24"/>
                <w:szCs w:val="24"/>
                <w:lang w:val="en-US" w:eastAsia="zh-CN"/>
              </w:rPr>
              <w:t>7</w:t>
            </w:r>
            <w:r>
              <w:rPr>
                <w:rFonts w:hint="default" w:ascii="Times New Roman" w:hAnsi="Times New Roman" w:eastAsia="宋体" w:cs="Times New Roman"/>
                <w:b/>
                <w:bCs w:val="0"/>
                <w:sz w:val="24"/>
                <w:szCs w:val="24"/>
                <w:lang w:val="en-US" w:eastAsia="zh-CN"/>
              </w:rPr>
              <w:t>、</w:t>
            </w:r>
            <w:r>
              <w:rPr>
                <w:rFonts w:hint="eastAsia" w:ascii="Times New Roman" w:hAnsi="Times New Roman" w:eastAsia="宋体" w:cs="Times New Roman"/>
                <w:b/>
                <w:bCs w:val="0"/>
                <w:sz w:val="24"/>
                <w:szCs w:val="24"/>
                <w:lang w:val="en-US" w:eastAsia="zh-CN"/>
              </w:rPr>
              <w:t>项目主要设备</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本项目主要设备清单见下表。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1"/>
                <w:szCs w:val="21"/>
                <w:lang w:val="en-US" w:eastAsia="zh-CN"/>
              </w:rPr>
            </w:pPr>
            <w:r>
              <w:rPr>
                <w:rFonts w:hint="eastAsia" w:ascii="Times New Roman" w:hAnsi="Times New Roman" w:eastAsia="黑体" w:cs="Times New Roman"/>
                <w:b w:val="0"/>
                <w:bCs/>
                <w:color w:val="auto"/>
                <w:sz w:val="21"/>
                <w:szCs w:val="21"/>
                <w:lang w:val="en-US" w:eastAsia="zh-CN"/>
              </w:rPr>
              <w:t>表2-7 项目主要设备一览表</w:t>
            </w:r>
          </w:p>
          <w:tbl>
            <w:tblPr>
              <w:tblStyle w:val="66"/>
              <w:tblW w:w="82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878"/>
              <w:gridCol w:w="4710"/>
              <w:gridCol w:w="885"/>
              <w:gridCol w:w="1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序号</w:t>
                  </w:r>
                </w:p>
              </w:tc>
              <w:tc>
                <w:tcPr>
                  <w:tcW w:w="5588" w:type="dxa"/>
                  <w:gridSpan w:val="2"/>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b w:val="0"/>
                      <w:bCs w:val="0"/>
                      <w:sz w:val="21"/>
                      <w:szCs w:val="21"/>
                    </w:rPr>
                  </w:pPr>
                  <w:r>
                    <w:rPr>
                      <w:rFonts w:hint="eastAsia" w:ascii="宋体" w:hAnsi="宋体" w:eastAsia="宋体" w:cs="宋体"/>
                      <w:b w:val="0"/>
                      <w:bCs w:val="0"/>
                      <w:spacing w:val="18"/>
                      <w:sz w:val="21"/>
                      <w:szCs w:val="21"/>
                    </w:rPr>
                    <w:t>设</w:t>
                  </w:r>
                  <w:r>
                    <w:rPr>
                      <w:rFonts w:hint="eastAsia" w:ascii="宋体" w:hAnsi="宋体" w:eastAsia="宋体" w:cs="宋体"/>
                      <w:b w:val="0"/>
                      <w:bCs w:val="0"/>
                      <w:spacing w:val="17"/>
                      <w:sz w:val="21"/>
                      <w:szCs w:val="21"/>
                    </w:rPr>
                    <w:t>备名称</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b w:val="0"/>
                      <w:bCs w:val="0"/>
                      <w:sz w:val="21"/>
                      <w:szCs w:val="21"/>
                    </w:rPr>
                  </w:pPr>
                  <w:r>
                    <w:rPr>
                      <w:rFonts w:hint="eastAsia" w:ascii="宋体" w:hAnsi="宋体" w:eastAsia="宋体" w:cs="宋体"/>
                      <w:b w:val="0"/>
                      <w:bCs w:val="0"/>
                      <w:spacing w:val="8"/>
                      <w:sz w:val="21"/>
                      <w:szCs w:val="21"/>
                    </w:rPr>
                    <w:t>单</w:t>
                  </w:r>
                  <w:r>
                    <w:rPr>
                      <w:rFonts w:hint="eastAsia" w:ascii="宋体" w:hAnsi="宋体" w:eastAsia="宋体" w:cs="宋体"/>
                      <w:b w:val="0"/>
                      <w:bCs w:val="0"/>
                      <w:spacing w:val="7"/>
                      <w:sz w:val="21"/>
                      <w:szCs w:val="21"/>
                    </w:rPr>
                    <w:t>位</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b w:val="0"/>
                      <w:bCs w:val="0"/>
                      <w:sz w:val="21"/>
                      <w:szCs w:val="21"/>
                    </w:rPr>
                  </w:pPr>
                  <w:r>
                    <w:rPr>
                      <w:rFonts w:hint="eastAsia" w:ascii="宋体" w:hAnsi="宋体" w:eastAsia="宋体" w:cs="宋体"/>
                      <w:b w:val="0"/>
                      <w:bCs w:val="0"/>
                      <w:spacing w:val="9"/>
                      <w:sz w:val="21"/>
                      <w:szCs w:val="21"/>
                    </w:rPr>
                    <w:t>数</w:t>
                  </w:r>
                  <w:r>
                    <w:rPr>
                      <w:rFonts w:hint="eastAsia" w:ascii="宋体" w:hAnsi="宋体" w:eastAsia="宋体" w:cs="宋体"/>
                      <w:b w:val="0"/>
                      <w:bCs w:val="0"/>
                      <w:spacing w:val="8"/>
                      <w:sz w:val="21"/>
                      <w:szCs w:val="21"/>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电</w:t>
                  </w:r>
                  <w:r>
                    <w:rPr>
                      <w:rFonts w:hint="default" w:ascii="Times New Roman" w:hAnsi="Times New Roman" w:eastAsia="宋体" w:cs="Times New Roman"/>
                      <w:spacing w:val="1"/>
                      <w:sz w:val="21"/>
                      <w:szCs w:val="21"/>
                    </w:rPr>
                    <w:t>气系统</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楼</w:t>
                  </w:r>
                  <w:r>
                    <w:rPr>
                      <w:rFonts w:hint="default" w:ascii="Times New Roman" w:hAnsi="Times New Roman" w:eastAsia="宋体" w:cs="Times New Roman"/>
                      <w:spacing w:val="8"/>
                      <w:sz w:val="21"/>
                      <w:szCs w:val="21"/>
                    </w:rPr>
                    <w:t>层电表箱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Arial" w:cs="Times New Roman"/>
                      <w:snapToGrid w:val="0"/>
                      <w:color w:val="000000"/>
                      <w:kern w:val="0"/>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低</w:t>
                  </w:r>
                  <w:r>
                    <w:rPr>
                      <w:rFonts w:hint="default" w:ascii="Times New Roman" w:hAnsi="Times New Roman" w:eastAsia="宋体" w:cs="Times New Roman"/>
                      <w:spacing w:val="8"/>
                      <w:sz w:val="21"/>
                      <w:szCs w:val="21"/>
                    </w:rPr>
                    <w:t>压配电柜</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照明配电</w:t>
                  </w:r>
                  <w:r>
                    <w:rPr>
                      <w:rFonts w:hint="default" w:ascii="Times New Roman" w:hAnsi="Times New Roman" w:eastAsia="宋体" w:cs="Times New Roman"/>
                      <w:spacing w:val="7"/>
                      <w:sz w:val="21"/>
                      <w:szCs w:val="21"/>
                    </w:rPr>
                    <w:t>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1"/>
                      <w:sz w:val="21"/>
                      <w:szCs w:val="21"/>
                    </w:rPr>
                    <w:t>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备用发电机</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电</w:t>
                  </w:r>
                  <w:r>
                    <w:rPr>
                      <w:rFonts w:hint="default" w:ascii="Times New Roman" w:hAnsi="Times New Roman" w:eastAsia="宋体" w:cs="Times New Roman"/>
                      <w:spacing w:val="3"/>
                      <w:sz w:val="21"/>
                      <w:szCs w:val="21"/>
                    </w:rPr>
                    <w:t>源切换箱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1"/>
                      <w:sz w:val="21"/>
                      <w:szCs w:val="21"/>
                    </w:rPr>
                    <w:t>有</w:t>
                  </w:r>
                  <w:r>
                    <w:rPr>
                      <w:rFonts w:hint="default" w:ascii="Times New Roman" w:hAnsi="Times New Roman" w:eastAsia="宋体" w:cs="Times New Roman"/>
                      <w:spacing w:val="8"/>
                      <w:sz w:val="21"/>
                      <w:szCs w:val="21"/>
                    </w:rPr>
                    <w:t>线电视前端箱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2"/>
                      <w:sz w:val="21"/>
                      <w:szCs w:val="21"/>
                    </w:rPr>
                    <w:t>有</w:t>
                  </w:r>
                  <w:r>
                    <w:rPr>
                      <w:rFonts w:hint="default" w:ascii="Times New Roman" w:hAnsi="Times New Roman" w:eastAsia="宋体" w:cs="Times New Roman"/>
                      <w:spacing w:val="8"/>
                      <w:sz w:val="21"/>
                      <w:szCs w:val="21"/>
                    </w:rPr>
                    <w:t>线电视控制器箱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电</w:t>
                  </w:r>
                  <w:r>
                    <w:rPr>
                      <w:rFonts w:hint="default" w:ascii="Times New Roman" w:hAnsi="Times New Roman" w:eastAsia="宋体" w:cs="Times New Roman"/>
                      <w:spacing w:val="3"/>
                      <w:sz w:val="21"/>
                      <w:szCs w:val="21"/>
                    </w:rPr>
                    <w:t>话分线箱</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干</w:t>
                  </w:r>
                  <w:r>
                    <w:rPr>
                      <w:rFonts w:hint="default" w:ascii="Times New Roman" w:hAnsi="Times New Roman" w:eastAsia="宋体" w:cs="Times New Roman"/>
                      <w:spacing w:val="8"/>
                      <w:sz w:val="21"/>
                      <w:szCs w:val="21"/>
                    </w:rPr>
                    <w:t>式变压器</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1"/>
                      <w:sz w:val="21"/>
                      <w:szCs w:val="21"/>
                    </w:rPr>
                    <w:t>火</w:t>
                  </w:r>
                  <w:r>
                    <w:rPr>
                      <w:rFonts w:hint="default" w:ascii="Times New Roman" w:hAnsi="Times New Roman" w:eastAsia="宋体" w:cs="Times New Roman"/>
                      <w:spacing w:val="8"/>
                      <w:sz w:val="21"/>
                      <w:szCs w:val="21"/>
                    </w:rPr>
                    <w:t>灾自动报警系统</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1</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给排水系统</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雨</w:t>
                  </w:r>
                  <w:r>
                    <w:rPr>
                      <w:rFonts w:hint="default" w:ascii="Times New Roman" w:hAnsi="Times New Roman" w:eastAsia="宋体" w:cs="Times New Roman"/>
                      <w:spacing w:val="6"/>
                      <w:sz w:val="21"/>
                      <w:szCs w:val="21"/>
                    </w:rPr>
                    <w:t>水检查井</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污水检查</w:t>
                  </w:r>
                  <w:r>
                    <w:rPr>
                      <w:rFonts w:hint="default" w:ascii="Times New Roman" w:hAnsi="Times New Roman" w:eastAsia="宋体" w:cs="Times New Roman"/>
                      <w:spacing w:val="7"/>
                      <w:sz w:val="21"/>
                      <w:szCs w:val="21"/>
                    </w:rPr>
                    <w:t>井</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3</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7"/>
                      <w:sz w:val="21"/>
                      <w:szCs w:val="21"/>
                    </w:rPr>
                    <w:t>消</w:t>
                  </w:r>
                  <w:r>
                    <w:rPr>
                      <w:rFonts w:hint="default" w:ascii="Times New Roman" w:hAnsi="Times New Roman" w:eastAsia="宋体" w:cs="Times New Roman"/>
                      <w:spacing w:val="6"/>
                      <w:sz w:val="21"/>
                      <w:szCs w:val="21"/>
                    </w:rPr>
                    <w:t>防系统</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室</w:t>
                  </w:r>
                  <w:r>
                    <w:rPr>
                      <w:rFonts w:hint="default" w:ascii="Times New Roman" w:hAnsi="Times New Roman" w:eastAsia="宋体" w:cs="Times New Roman"/>
                      <w:spacing w:val="7"/>
                      <w:sz w:val="21"/>
                      <w:szCs w:val="21"/>
                    </w:rPr>
                    <w:t>内消防泵</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室</w:t>
                  </w:r>
                  <w:r>
                    <w:rPr>
                      <w:rFonts w:hint="default" w:ascii="Times New Roman" w:hAnsi="Times New Roman" w:eastAsia="宋体" w:cs="Times New Roman"/>
                      <w:spacing w:val="7"/>
                      <w:sz w:val="21"/>
                      <w:szCs w:val="21"/>
                    </w:rPr>
                    <w:t>外消防泵</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喷淋泵</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室</w:t>
                  </w:r>
                  <w:r>
                    <w:rPr>
                      <w:rFonts w:hint="default" w:ascii="Times New Roman" w:hAnsi="Times New Roman" w:eastAsia="宋体" w:cs="Times New Roman"/>
                      <w:spacing w:val="7"/>
                      <w:sz w:val="21"/>
                      <w:szCs w:val="21"/>
                    </w:rPr>
                    <w:t>外消防栓</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消防专用稳压泵</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0"/>
                      <w:sz w:val="21"/>
                      <w:szCs w:val="21"/>
                    </w:rPr>
                    <w:t>水</w:t>
                  </w:r>
                  <w:r>
                    <w:rPr>
                      <w:rFonts w:hint="default" w:ascii="Times New Roman" w:hAnsi="Times New Roman" w:eastAsia="宋体" w:cs="Times New Roman"/>
                      <w:spacing w:val="7"/>
                      <w:sz w:val="21"/>
                      <w:szCs w:val="21"/>
                    </w:rPr>
                    <w:t>泵结合器</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室</w:t>
                  </w:r>
                  <w:r>
                    <w:rPr>
                      <w:rFonts w:hint="default" w:ascii="Times New Roman" w:hAnsi="Times New Roman" w:eastAsia="宋体" w:cs="Times New Roman"/>
                      <w:spacing w:val="7"/>
                      <w:sz w:val="21"/>
                      <w:szCs w:val="21"/>
                    </w:rPr>
                    <w:t>内消火栓</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0</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0"/>
                      <w:sz w:val="21"/>
                      <w:szCs w:val="21"/>
                    </w:rPr>
                    <w:t>卫</w:t>
                  </w:r>
                  <w:r>
                    <w:rPr>
                      <w:rFonts w:hint="default" w:ascii="Times New Roman" w:hAnsi="Times New Roman" w:eastAsia="宋体" w:cs="Times New Roman"/>
                      <w:spacing w:val="8"/>
                      <w:sz w:val="21"/>
                      <w:szCs w:val="21"/>
                    </w:rPr>
                    <w:t>生环保系统</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7"/>
                      <w:sz w:val="21"/>
                      <w:szCs w:val="21"/>
                    </w:rPr>
                    <w:t>化</w:t>
                  </w:r>
                  <w:r>
                    <w:rPr>
                      <w:rFonts w:hint="default" w:ascii="Times New Roman" w:hAnsi="Times New Roman" w:eastAsia="宋体" w:cs="Times New Roman"/>
                      <w:spacing w:val="6"/>
                      <w:sz w:val="21"/>
                      <w:szCs w:val="21"/>
                    </w:rPr>
                    <w:t>粪池</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color w:val="auto"/>
                      <w:spacing w:val="-9"/>
                      <w:sz w:val="21"/>
                      <w:szCs w:val="21"/>
                      <w:lang w:val="en-US" w:eastAsia="zh-CN"/>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3"/>
                      <w:sz w:val="21"/>
                      <w:szCs w:val="21"/>
                    </w:rPr>
                    <w:t>隔油</w:t>
                  </w:r>
                  <w:r>
                    <w:rPr>
                      <w:rFonts w:hint="default" w:ascii="Times New Roman" w:hAnsi="Times New Roman" w:eastAsia="宋体" w:cs="Times New Roman"/>
                      <w:spacing w:val="2"/>
                      <w:sz w:val="21"/>
                      <w:szCs w:val="21"/>
                    </w:rPr>
                    <w:t>池</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
                      <w:sz w:val="21"/>
                      <w:szCs w:val="21"/>
                    </w:rPr>
                    <w:t>中</w:t>
                  </w:r>
                  <w:r>
                    <w:rPr>
                      <w:rFonts w:hint="default" w:ascii="Times New Roman" w:hAnsi="Times New Roman" w:eastAsia="宋体" w:cs="Times New Roman"/>
                      <w:sz w:val="21"/>
                      <w:szCs w:val="21"/>
                    </w:rPr>
                    <w:t>和池</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1"/>
                      <w:sz w:val="21"/>
                      <w:szCs w:val="21"/>
                    </w:rPr>
                    <w:t>高</w:t>
                  </w:r>
                  <w:r>
                    <w:rPr>
                      <w:rFonts w:hint="default" w:ascii="Times New Roman" w:hAnsi="Times New Roman" w:eastAsia="宋体" w:cs="Times New Roman"/>
                      <w:spacing w:val="8"/>
                      <w:sz w:val="21"/>
                      <w:szCs w:val="21"/>
                    </w:rPr>
                    <w:t>密度聚氯乙烯垃圾桶</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4</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暖通系统</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11"/>
                      <w:sz w:val="21"/>
                      <w:szCs w:val="21"/>
                      <w:lang w:val="en-US" w:eastAsia="zh-CN"/>
                    </w:rPr>
                  </w:pPr>
                  <w:r>
                    <w:rPr>
                      <w:rFonts w:hint="eastAsia" w:ascii="Times New Roman" w:hAnsi="Times New Roman" w:eastAsia="宋体" w:cs="Times New Roman"/>
                      <w:spacing w:val="11"/>
                      <w:sz w:val="21"/>
                      <w:szCs w:val="21"/>
                      <w:lang w:val="en-US" w:eastAsia="zh-CN"/>
                    </w:rPr>
                    <w:t>分体式空调</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11"/>
                      <w:sz w:val="21"/>
                      <w:szCs w:val="21"/>
                      <w:lang w:val="en-US" w:eastAsia="zh-CN"/>
                    </w:rPr>
                  </w:pPr>
                  <w:r>
                    <w:rPr>
                      <w:rFonts w:hint="eastAsia" w:ascii="Times New Roman" w:hAnsi="Times New Roman" w:eastAsia="宋体" w:cs="Times New Roman"/>
                      <w:spacing w:val="11"/>
                      <w:sz w:val="21"/>
                      <w:szCs w:val="21"/>
                      <w:lang w:val="en-US" w:eastAsia="zh-CN"/>
                    </w:rPr>
                    <w:t>电锅炉</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4"/>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11"/>
                      <w:sz w:val="21"/>
                      <w:szCs w:val="21"/>
                      <w:lang w:val="en-US" w:eastAsia="zh-CN"/>
                    </w:rPr>
                  </w:pPr>
                  <w:r>
                    <w:rPr>
                      <w:rFonts w:hint="eastAsia" w:ascii="Times New Roman" w:hAnsi="Times New Roman" w:eastAsia="宋体" w:cs="Times New Roman"/>
                      <w:spacing w:val="11"/>
                      <w:sz w:val="21"/>
                      <w:szCs w:val="21"/>
                      <w:lang w:val="en-US" w:eastAsia="zh-CN"/>
                    </w:rPr>
                    <w:t>风机</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7</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5"/>
                      <w:sz w:val="21"/>
                      <w:szCs w:val="21"/>
                    </w:rPr>
                    <w:t>食</w:t>
                  </w:r>
                  <w:r>
                    <w:rPr>
                      <w:rFonts w:hint="default" w:ascii="Times New Roman" w:hAnsi="Times New Roman" w:eastAsia="宋体" w:cs="Times New Roman"/>
                      <w:spacing w:val="4"/>
                      <w:sz w:val="21"/>
                      <w:szCs w:val="21"/>
                    </w:rPr>
                    <w:t>堂</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9"/>
                      <w:sz w:val="21"/>
                      <w:szCs w:val="21"/>
                    </w:rPr>
                    <w:t>不</w:t>
                  </w:r>
                  <w:r>
                    <w:rPr>
                      <w:rFonts w:hint="default" w:ascii="Times New Roman" w:hAnsi="Times New Roman" w:eastAsia="宋体" w:cs="Times New Roman"/>
                      <w:spacing w:val="7"/>
                      <w:sz w:val="21"/>
                      <w:szCs w:val="21"/>
                    </w:rPr>
                    <w:t>锈钢托盘</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学</w:t>
                  </w:r>
                  <w:r>
                    <w:rPr>
                      <w:rFonts w:hint="default" w:ascii="Times New Roman" w:hAnsi="Times New Roman" w:eastAsia="宋体" w:cs="Times New Roman"/>
                      <w:spacing w:val="7"/>
                      <w:sz w:val="21"/>
                      <w:szCs w:val="21"/>
                    </w:rPr>
                    <w:t>生餐桌椅</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3"/>
                      <w:sz w:val="21"/>
                      <w:szCs w:val="21"/>
                    </w:rPr>
                    <w:t>2</w:t>
                  </w:r>
                  <w:r>
                    <w:rPr>
                      <w:rFonts w:hint="default" w:ascii="Times New Roman" w:hAnsi="Times New Roman" w:eastAsia="Times New Roman" w:cs="Times New Roman"/>
                      <w:spacing w:val="2"/>
                      <w:sz w:val="21"/>
                      <w:szCs w:val="21"/>
                    </w:rPr>
                    <w:t>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10"/>
                      <w:sz w:val="21"/>
                      <w:szCs w:val="21"/>
                    </w:rPr>
                    <w:t>教</w:t>
                  </w:r>
                  <w:r>
                    <w:rPr>
                      <w:rFonts w:hint="default" w:ascii="Times New Roman" w:hAnsi="Times New Roman" w:eastAsia="宋体" w:cs="Times New Roman"/>
                      <w:spacing w:val="7"/>
                      <w:sz w:val="21"/>
                      <w:szCs w:val="21"/>
                    </w:rPr>
                    <w:t>师餐桌椅</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1"/>
                      <w:sz w:val="21"/>
                      <w:szCs w:val="21"/>
                    </w:rPr>
                    <w:t>3</w:t>
                  </w:r>
                  <w:r>
                    <w:rPr>
                      <w:rFonts w:hint="default" w:ascii="Times New Roman" w:hAnsi="Times New Roman" w:eastAsia="Times New Roman" w:cs="Times New Roman"/>
                      <w:sz w:val="21"/>
                      <w:szCs w:val="21"/>
                    </w:rPr>
                    <w:t>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餐</w:t>
                  </w:r>
                  <w:r>
                    <w:rPr>
                      <w:rFonts w:hint="default" w:ascii="Times New Roman" w:hAnsi="Times New Roman" w:eastAsia="宋体" w:cs="Times New Roman"/>
                      <w:spacing w:val="3"/>
                      <w:sz w:val="21"/>
                      <w:szCs w:val="21"/>
                    </w:rPr>
                    <w:t>具</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1"/>
                      <w:sz w:val="21"/>
                      <w:szCs w:val="21"/>
                    </w:rPr>
                    <w:t>3</w:t>
                  </w:r>
                  <w:r>
                    <w:rPr>
                      <w:rFonts w:hint="default" w:ascii="Times New Roman" w:hAnsi="Times New Roman" w:eastAsia="Times New Roman" w:cs="Times New Roman"/>
                      <w:sz w:val="21"/>
                      <w:szCs w:val="21"/>
                    </w:rPr>
                    <w:t>1</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lang w:val="en-US" w:eastAsia="zh-CN"/>
                    </w:rPr>
                    <w:t>实训教学楼、综合教学楼、实训中心</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5"/>
                      <w:sz w:val="21"/>
                      <w:szCs w:val="21"/>
                    </w:rPr>
                    <w:t>课桌</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1"/>
                      <w:sz w:val="21"/>
                      <w:szCs w:val="21"/>
                    </w:rPr>
                    <w:t>3</w:t>
                  </w:r>
                  <w:r>
                    <w:rPr>
                      <w:rFonts w:hint="default" w:ascii="Times New Roman" w:hAnsi="Times New Roman" w:eastAsia="Times New Roman" w:cs="Times New Roman"/>
                      <w:sz w:val="21"/>
                      <w:szCs w:val="21"/>
                    </w:rPr>
                    <w:t>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2"/>
                      <w:sz w:val="21"/>
                      <w:szCs w:val="21"/>
                    </w:rPr>
                    <w:t>黑板</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张</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6"/>
                      <w:sz w:val="21"/>
                      <w:szCs w:val="21"/>
                    </w:rPr>
                    <w:t>办</w:t>
                  </w:r>
                  <w:r>
                    <w:rPr>
                      <w:rFonts w:hint="default" w:ascii="Times New Roman" w:hAnsi="Times New Roman" w:eastAsia="宋体" w:cs="Times New Roman"/>
                      <w:spacing w:val="5"/>
                      <w:sz w:val="21"/>
                      <w:szCs w:val="21"/>
                    </w:rPr>
                    <w:t>公桌</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各类仪器设</w:t>
                  </w:r>
                  <w:r>
                    <w:rPr>
                      <w:rFonts w:hint="default" w:ascii="Times New Roman" w:hAnsi="Times New Roman" w:eastAsia="宋体" w:cs="Times New Roman"/>
                      <w:spacing w:val="7"/>
                      <w:sz w:val="21"/>
                      <w:szCs w:val="21"/>
                    </w:rPr>
                    <w:t>备</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Times New Roman" w:cs="Times New Roman"/>
                      <w:snapToGrid w:val="0"/>
                      <w:color w:val="000000"/>
                      <w:kern w:val="0"/>
                      <w:sz w:val="21"/>
                      <w:szCs w:val="21"/>
                    </w:rPr>
                  </w:pPr>
                  <w:r>
                    <w:rPr>
                      <w:rFonts w:hint="default" w:ascii="Times New Roman" w:hAnsi="Times New Roman" w:eastAsia="Times New Roman" w:cs="Times New Roman"/>
                      <w:spacing w:val="5"/>
                      <w:position w:val="1"/>
                      <w:sz w:val="21"/>
                      <w:szCs w:val="21"/>
                    </w:rPr>
                    <w:t>/</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35</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7"/>
                      <w:sz w:val="21"/>
                      <w:szCs w:val="21"/>
                    </w:rPr>
                    <w:t>办</w:t>
                  </w:r>
                  <w:r>
                    <w:rPr>
                      <w:rFonts w:hint="default" w:ascii="Times New Roman" w:hAnsi="Times New Roman" w:eastAsia="宋体" w:cs="Times New Roman"/>
                      <w:spacing w:val="6"/>
                      <w:sz w:val="21"/>
                      <w:szCs w:val="21"/>
                    </w:rPr>
                    <w:t>公设备</w:t>
                  </w: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8"/>
                      <w:sz w:val="21"/>
                      <w:szCs w:val="21"/>
                    </w:rPr>
                    <w:t>电</w:t>
                  </w:r>
                  <w:r>
                    <w:rPr>
                      <w:rFonts w:hint="default" w:ascii="Times New Roman" w:hAnsi="Times New Roman" w:eastAsia="宋体" w:cs="Times New Roman"/>
                      <w:spacing w:val="-7"/>
                      <w:sz w:val="21"/>
                      <w:szCs w:val="21"/>
                    </w:rPr>
                    <w:t>脑</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6"/>
                      <w:sz w:val="21"/>
                      <w:szCs w:val="21"/>
                    </w:rPr>
                    <w:t>办</w:t>
                  </w:r>
                  <w:r>
                    <w:rPr>
                      <w:rFonts w:hint="default" w:ascii="Times New Roman" w:hAnsi="Times New Roman" w:eastAsia="宋体" w:cs="Times New Roman"/>
                      <w:spacing w:val="5"/>
                      <w:sz w:val="21"/>
                      <w:szCs w:val="21"/>
                    </w:rPr>
                    <w:t>公桌</w:t>
                  </w:r>
                </w:p>
              </w:tc>
              <w:tc>
                <w:tcPr>
                  <w:tcW w:w="88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套</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37</w:t>
                  </w:r>
                </w:p>
              </w:tc>
              <w:tc>
                <w:tcPr>
                  <w:tcW w:w="87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实验室设备</w:t>
                  </w:r>
                </w:p>
              </w:tc>
              <w:tc>
                <w:tcPr>
                  <w:tcW w:w="4710"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pacing w:val="8"/>
                      <w:sz w:val="21"/>
                      <w:szCs w:val="21"/>
                    </w:rPr>
                    <w:t>动植物标</w:t>
                  </w:r>
                  <w:r>
                    <w:rPr>
                      <w:rFonts w:ascii="宋体" w:hAnsi="宋体" w:eastAsia="宋体" w:cs="宋体"/>
                      <w:spacing w:val="7"/>
                      <w:sz w:val="21"/>
                      <w:szCs w:val="21"/>
                    </w:rPr>
                    <w:t>本</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个</w:t>
                  </w:r>
                </w:p>
              </w:tc>
              <w:tc>
                <w:tcPr>
                  <w:tcW w:w="103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pacing w:val="4"/>
                      <w:sz w:val="21"/>
                      <w:szCs w:val="21"/>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UPLC- 四极杆飞行时间质谱仪</w:t>
                  </w:r>
                </w:p>
              </w:tc>
              <w:tc>
                <w:tcPr>
                  <w:tcW w:w="885" w:type="dxa"/>
                  <w:noWrap w:val="0"/>
                  <w:vAlign w:val="center"/>
                </w:tcPr>
                <w:p>
                  <w:pPr>
                    <w:spacing w:before="41" w:line="228"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39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UPLC-三重四极杆质谱仪</w:t>
                  </w:r>
                </w:p>
              </w:tc>
              <w:tc>
                <w:tcPr>
                  <w:tcW w:w="885" w:type="dxa"/>
                  <w:noWrap w:val="0"/>
                  <w:vAlign w:val="center"/>
                </w:tcPr>
                <w:p>
                  <w:pPr>
                    <w:spacing w:before="41" w:line="228"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气相色谱三重四极杆高分辨质谱仪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四极杆静电场轨道阱超高分辨质谱仪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三合一高分辨质谱仪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核磁共振波谱仪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高效液相色谱仪DAD</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超高效液相色谱仪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柱色谱系统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红外光谱仪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气相色谱仪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49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高压制备液相色谱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低压离子色谱系统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高压离子色谱系统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高速逆流色谱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中药材水分测定仪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农药残留检测仪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总有机碳分析仪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荧光分光光度计</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自动薄层色谱点样仪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全自动薄层展开仪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59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薄层色谱定量喷雾系统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电解质分析仪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色差计-罗维朋比色计-测色仪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研究级体式显微镜(CCD+图像处理器)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荧光正置相差显微镜 (CCD+图像处理器)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荧光倒置相差显微镜(CCD+图像处理器)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研究级宏观变倍观察显微镜(CCD+图像处理器)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研究级正置显微镜(CCD+图像处理器)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倒置相差显微镜(CCD+图像处理器)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临床显微镜(CCD+图像处理器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69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体视显微镜</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70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显微注射仪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71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3D数码光学超景深显微镜</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全自动生化分析仪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冰冻切片机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石蜡切片机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全自动核酸提取仪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PCR 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测序仪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流式细胞仪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79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高内涵分析系统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全景组织细胞定量分析系统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生分子相互作用分析仪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长时间细胞成像及分析系统主机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酶标仪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微量核酸蛋白分析</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化学发光成像分析仪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凝胶成像仪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单道移液器(1~10 uL)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单道移液器(10~100 uL)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89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单道移液器(20~200 uL)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单道移液器(5~50 uL)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单道移液器(100~1000 uL)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单道移液器(0.5~5 mL)</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8道移液器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电动移液器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高速组织研磨仪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冷冻组织研磨机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基础电泳仪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rPr>
                  </w:pPr>
                  <w:r>
                    <w:rPr>
                      <w:rFonts w:hint="default" w:ascii="Times New Roman" w:hAnsi="Times New Roman" w:eastAsia="宋体" w:cs="Times New Roman"/>
                      <w:spacing w:val="9"/>
                      <w:sz w:val="21"/>
                      <w:szCs w:val="21"/>
                      <w:lang w:val="en-US"/>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小型垂直电泳</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99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酶标仪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超净工作台</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二氧化碳培养箱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肺部定量雾化器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恒温培养振荡箱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紫外分光光度仪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液氮罐</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高压蒸汽灭菌锅</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脱色摇床</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翘板式脱色摇床</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109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涡旋振荡器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半干型转膜仪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石蜡切片展片烤片机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石蜡包埋台</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小动物麻醉机</w:t>
                  </w:r>
                  <w:r>
                    <w:rPr>
                      <w:rFonts w:hint="eastAsia" w:ascii="Times New Roman" w:hAnsi="Times New Roman" w:eastAsia="宋体" w:cs="Times New Roman"/>
                      <w:spacing w:val="9"/>
                      <w:sz w:val="21"/>
                      <w:szCs w:val="21"/>
                      <w:lang w:val="en-US" w:eastAsia="zh-CN"/>
                    </w:rPr>
                    <w:t>-</w:t>
                  </w:r>
                  <w:r>
                    <w:rPr>
                      <w:rFonts w:hint="default" w:ascii="Times New Roman" w:hAnsi="Times New Roman" w:eastAsia="宋体" w:cs="Times New Roman"/>
                      <w:spacing w:val="9"/>
                      <w:sz w:val="21"/>
                      <w:szCs w:val="21"/>
                    </w:rPr>
                    <w:t>大小鼠动物麻醉机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血流流变仪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皮肤黑色素和血红素测试仪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电子天平(百万分之一)</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r>
                    <w:rPr>
                      <w:rFonts w:hint="eastAsia" w:ascii="Times New Roman" w:hAnsi="Times New Roman" w:eastAsia="宋体" w:cs="Times New Roman"/>
                      <w:spacing w:val="9"/>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电子天平(万分之一)</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ascii="宋体" w:hAnsi="宋体" w:eastAsia="宋体" w:cs="宋体"/>
                      <w:sz w:val="21"/>
                      <w:szCs w:val="21"/>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r>
                    <w:rPr>
                      <w:rFonts w:hint="eastAsia" w:ascii="Times New Roman" w:hAnsi="Times New Roman" w:eastAsia="宋体" w:cs="Times New Roman"/>
                      <w:spacing w:val="9"/>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电子天平(十万分之一)</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rPr>
                    <w:t>1</w:t>
                  </w:r>
                  <w:r>
                    <w:rPr>
                      <w:rFonts w:hint="eastAsia" w:ascii="Times New Roman" w:hAnsi="Times New Roman" w:eastAsia="宋体" w:cs="Times New Roman"/>
                      <w:spacing w:val="9"/>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119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电热套 (JCGM- 15- 10 KDM-6型)</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电热套 (HLYQ- 12-27 KDM型)</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微波灭菌机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CL5大容量落地离心机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高速冷冻离心机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样本冻存罐</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冷冻干燥机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-86℃冰箱(超低温冰箱)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超微粉碎</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氮气发生器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129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空气发生器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医学智能核心计算系统服务中心</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大数据-数据节点服务器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大数据-云平台系统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分子模拟与药物设计软件</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便携式医学数据处理系统</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光照培养箱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pH计</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真空干燥箱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超声波清洗机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139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高速冷冻离心机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台式离心机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雪花制冰机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2-8℃医用冷藏箱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-40℃冰箱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大型台式离心机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大容量离心机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低速大容量多管离心机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低速离心机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个人型高速离心机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149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微孔板离心机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-25℃冰箱</w:t>
                  </w:r>
                </w:p>
              </w:tc>
              <w:tc>
                <w:tcPr>
                  <w:tcW w:w="885" w:type="dxa"/>
                  <w:noWrap w:val="0"/>
                  <w:vAlign w:val="center"/>
                </w:tcPr>
                <w:p>
                  <w:pPr>
                    <w:spacing w:before="41" w:line="228" w:lineRule="auto"/>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电动分液器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家用冰箱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双模块恒温金属浴</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药品稳定性试验箱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空气恒温震荡器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手持式均质/分散机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标准型旋转混匀仪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旋蜗式混匀器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159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数显恒温水箱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定时磁力搅拌器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4-6 孔水浴锅</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电陶炉</w:t>
                  </w:r>
                </w:p>
              </w:tc>
              <w:tc>
                <w:tcPr>
                  <w:tcW w:w="885" w:type="dxa"/>
                  <w:noWrap w:val="0"/>
                  <w:vAlign w:val="center"/>
                </w:tcPr>
                <w:p>
                  <w:pPr>
                    <w:spacing w:before="41" w:line="228" w:lineRule="auto"/>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微波炉</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干浴恒温器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多用途旋转摇床</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漩涡混合器</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eastAsia" w:ascii="Times New Roman" w:hAnsi="Times New Roman" w:eastAsia="宋体" w:cs="Times New Roman"/>
                      <w:spacing w:val="9"/>
                      <w:sz w:val="21"/>
                      <w:szCs w:val="21"/>
                      <w:lang w:val="en-US" w:eastAsia="zh-CN"/>
                    </w:rPr>
                    <w:t>2</w:t>
                  </w:r>
                  <w:r>
                    <w:rPr>
                      <w:rFonts w:hint="default" w:ascii="Times New Roman" w:hAnsi="Times New Roman" w:eastAsia="宋体" w:cs="Times New Roman"/>
                      <w:spacing w:val="9"/>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167</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旋转蒸发仪</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真空隔膜泵</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169</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电热鼓风干燥箱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170</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暗箱紫外分析仪</w:t>
                  </w:r>
                </w:p>
              </w:tc>
              <w:tc>
                <w:tcPr>
                  <w:tcW w:w="885" w:type="dxa"/>
                  <w:noWrap w:val="0"/>
                  <w:vAlign w:val="center"/>
                </w:tcPr>
                <w:p>
                  <w:pPr>
                    <w:spacing w:before="41" w:line="228" w:lineRule="auto"/>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171</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迷你离心机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172</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制冰机</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173</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除湿机</w:t>
                  </w:r>
                </w:p>
              </w:tc>
              <w:tc>
                <w:tcPr>
                  <w:tcW w:w="885" w:type="dxa"/>
                  <w:noWrap w:val="0"/>
                  <w:vAlign w:val="center"/>
                </w:tcPr>
                <w:p>
                  <w:pPr>
                    <w:spacing w:before="41" w:line="228" w:lineRule="auto"/>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174</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台式电脑</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台</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eastAsia" w:ascii="Times New Roman" w:hAnsi="Times New Roman" w:eastAsia="宋体" w:cs="Times New Roman"/>
                      <w:spacing w:val="9"/>
                      <w:sz w:val="21"/>
                      <w:szCs w:val="21"/>
                      <w:lang w:val="en-US" w:eastAsia="zh-CN"/>
                    </w:rPr>
                    <w:t>2</w:t>
                  </w:r>
                  <w:r>
                    <w:rPr>
                      <w:rFonts w:hint="default" w:ascii="Times New Roman" w:hAnsi="Times New Roman" w:eastAsia="宋体" w:cs="Times New Roman"/>
                      <w:spacing w:val="9"/>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175</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货架</w:t>
                  </w:r>
                </w:p>
              </w:tc>
              <w:tc>
                <w:tcPr>
                  <w:tcW w:w="885" w:type="dxa"/>
                  <w:noWrap w:val="0"/>
                  <w:vAlign w:val="center"/>
                </w:tcPr>
                <w:p>
                  <w:pPr>
                    <w:spacing w:before="41" w:line="228" w:lineRule="auto"/>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176</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试验台、通风橱等基本设备</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若干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69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178</w:t>
                  </w:r>
                </w:p>
              </w:tc>
              <w:tc>
                <w:tcPr>
                  <w:tcW w:w="87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2"/>
                      <w:sz w:val="21"/>
                      <w:szCs w:val="21"/>
                    </w:rPr>
                  </w:pPr>
                </w:p>
              </w:tc>
              <w:tc>
                <w:tcPr>
                  <w:tcW w:w="471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恒温恒湿箱</w:t>
                  </w:r>
                </w:p>
              </w:tc>
              <w:tc>
                <w:tcPr>
                  <w:tcW w:w="885" w:type="dxa"/>
                  <w:noWrap w:val="0"/>
                  <w:vAlign w:val="center"/>
                </w:tcPr>
                <w:p>
                  <w:pPr>
                    <w:spacing w:before="41" w:line="228"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个</w:t>
                  </w:r>
                </w:p>
              </w:tc>
              <w:tc>
                <w:tcPr>
                  <w:tcW w:w="10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2</w:t>
                  </w:r>
                </w:p>
              </w:tc>
            </w:tr>
          </w:tbl>
          <w:p>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8</w:t>
            </w:r>
            <w:r>
              <w:rPr>
                <w:rFonts w:hint="default" w:ascii="Times New Roman" w:hAnsi="Times New Roman" w:eastAsia="宋体" w:cs="Times New Roman"/>
                <w:b/>
                <w:bCs w:val="0"/>
                <w:sz w:val="24"/>
                <w:szCs w:val="24"/>
                <w:lang w:val="en-US" w:eastAsia="zh-CN"/>
              </w:rPr>
              <w:t>、公用工程及辅助设施</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（1）给</w:t>
            </w:r>
            <w:r>
              <w:rPr>
                <w:rFonts w:hint="eastAsia" w:ascii="Times New Roman" w:hAnsi="Times New Roman" w:eastAsia="宋体" w:cs="Times New Roman"/>
                <w:b/>
                <w:bCs w:val="0"/>
                <w:sz w:val="24"/>
                <w:szCs w:val="24"/>
                <w:lang w:val="en-US" w:eastAsia="zh-CN"/>
              </w:rPr>
              <w:t>排</w:t>
            </w:r>
            <w:r>
              <w:rPr>
                <w:rFonts w:hint="default" w:ascii="Times New Roman" w:hAnsi="Times New Roman" w:eastAsia="宋体" w:cs="Times New Roman"/>
                <w:b/>
                <w:bCs w:val="0"/>
                <w:sz w:val="24"/>
                <w:szCs w:val="24"/>
                <w:lang w:val="en-US" w:eastAsia="zh-CN"/>
              </w:rPr>
              <w:t>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①给水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sz w:val="24"/>
                <w:szCs w:val="24"/>
              </w:rPr>
            </w:pPr>
            <w:r>
              <w:rPr>
                <w:rFonts w:hint="default" w:ascii="Times New Roman" w:hAnsi="Times New Roman" w:eastAsia="宋体" w:cs="Times New Roman"/>
                <w:color w:val="000000"/>
                <w:kern w:val="0"/>
                <w:sz w:val="24"/>
                <w:szCs w:val="24"/>
                <w:lang w:val="en-US" w:eastAsia="zh-CN" w:bidi="ar"/>
              </w:rPr>
              <w:t>根据《四川省人民政府关于印发〈四川省用水定额〉的通知》（川府函〔2021〕8号</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普通高等教育</w:t>
            </w:r>
            <w:r>
              <w:rPr>
                <w:rFonts w:hint="default" w:ascii="Times New Roman" w:hAnsi="Times New Roman" w:eastAsia="宋体" w:cs="Times New Roman"/>
                <w:color w:val="000000"/>
                <w:kern w:val="0"/>
                <w:sz w:val="24"/>
                <w:szCs w:val="24"/>
                <w:lang w:val="en-US" w:eastAsia="zh-CN" w:bidi="ar"/>
              </w:rPr>
              <w:t>用水定额为</w:t>
            </w:r>
            <w:r>
              <w:rPr>
                <w:rFonts w:hint="eastAsia" w:ascii="Times New Roman" w:hAnsi="Times New Roman" w:eastAsia="宋体" w:cs="Times New Roman"/>
                <w:color w:val="000000"/>
                <w:kern w:val="0"/>
                <w:sz w:val="24"/>
                <w:szCs w:val="24"/>
                <w:lang w:val="en-US" w:eastAsia="zh-CN" w:bidi="ar"/>
              </w:rPr>
              <w:t>85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/人</w:t>
            </w:r>
            <w:r>
              <w:rPr>
                <w:rFonts w:hint="default"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a，包括教学楼、办公楼、食堂、宿舍、浴室、实验室、体育场馆、</w:t>
            </w:r>
            <w:r>
              <w:rPr>
                <w:rFonts w:hint="eastAsia" w:ascii="Times New Roman" w:hAnsi="Times New Roman" w:eastAsia="宋体" w:cs="Times New Roman"/>
                <w:color w:val="000000"/>
                <w:kern w:val="0"/>
                <w:sz w:val="24"/>
                <w:szCs w:val="24"/>
                <w:lang w:val="en-US" w:eastAsia="zh-CN" w:bidi="ar"/>
              </w:rPr>
              <w:t>博物</w:t>
            </w:r>
            <w:r>
              <w:rPr>
                <w:rFonts w:hint="default" w:ascii="Times New Roman" w:hAnsi="Times New Roman" w:eastAsia="宋体" w:cs="Times New Roman"/>
                <w:color w:val="000000"/>
                <w:kern w:val="0"/>
                <w:sz w:val="24"/>
                <w:szCs w:val="24"/>
                <w:lang w:val="en-US" w:eastAsia="zh-CN" w:bidi="ar"/>
              </w:rPr>
              <w:t>馆、景观绿化、附属设备等与办学相关的用水量。本项目师生</w:t>
            </w:r>
            <w:r>
              <w:rPr>
                <w:rFonts w:hint="eastAsia" w:ascii="Times New Roman" w:hAnsi="Times New Roman" w:eastAsia="宋体" w:cs="Times New Roman"/>
                <w:color w:val="000000"/>
                <w:kern w:val="0"/>
                <w:sz w:val="24"/>
                <w:szCs w:val="24"/>
                <w:lang w:val="en-US" w:eastAsia="zh-CN" w:bidi="ar"/>
              </w:rPr>
              <w:t>、后勤</w:t>
            </w:r>
            <w:r>
              <w:rPr>
                <w:rFonts w:hint="default" w:ascii="Times New Roman" w:hAnsi="Times New Roman" w:eastAsia="宋体" w:cs="Times New Roman"/>
                <w:color w:val="000000"/>
                <w:kern w:val="0"/>
                <w:sz w:val="24"/>
                <w:szCs w:val="24"/>
                <w:lang w:val="en-US" w:eastAsia="zh-CN" w:bidi="ar"/>
              </w:rPr>
              <w:t>人数</w:t>
            </w:r>
            <w:r>
              <w:rPr>
                <w:rFonts w:hint="eastAsia" w:ascii="Times New Roman" w:hAnsi="Times New Roman" w:eastAsia="宋体" w:cs="Times New Roman"/>
                <w:color w:val="000000"/>
                <w:kern w:val="0"/>
                <w:sz w:val="24"/>
                <w:szCs w:val="24"/>
                <w:lang w:val="en-US" w:eastAsia="zh-CN" w:bidi="ar"/>
              </w:rPr>
              <w:t>共</w:t>
            </w:r>
            <w:r>
              <w:rPr>
                <w:rFonts w:hint="default" w:ascii="Times New Roman" w:hAnsi="Times New Roman" w:eastAsia="宋体" w:cs="Times New Roman"/>
                <w:color w:val="000000"/>
                <w:kern w:val="0"/>
                <w:sz w:val="24"/>
                <w:szCs w:val="24"/>
                <w:lang w:val="en-US" w:eastAsia="zh-CN" w:bidi="ar"/>
              </w:rPr>
              <w:t>约</w:t>
            </w:r>
            <w:r>
              <w:rPr>
                <w:rFonts w:hint="eastAsia" w:ascii="Times New Roman" w:hAnsi="Times New Roman" w:eastAsia="宋体" w:cs="Times New Roman"/>
                <w:color w:val="000000"/>
                <w:kern w:val="0"/>
                <w:sz w:val="24"/>
                <w:szCs w:val="24"/>
                <w:lang w:val="en-US" w:eastAsia="zh-CN" w:bidi="ar"/>
              </w:rPr>
              <w:t>10670</w:t>
            </w:r>
            <w:r>
              <w:rPr>
                <w:rFonts w:hint="default" w:ascii="Times New Roman" w:hAnsi="Times New Roman" w:eastAsia="宋体" w:cs="Times New Roman"/>
                <w:color w:val="000000"/>
                <w:kern w:val="0"/>
                <w:sz w:val="24"/>
                <w:szCs w:val="24"/>
                <w:lang w:val="en-US" w:eastAsia="zh-CN" w:bidi="ar"/>
              </w:rPr>
              <w:t>人，年工作280天，故本项目用水量为</w:t>
            </w:r>
            <w:r>
              <w:rPr>
                <w:rFonts w:hint="eastAsia" w:ascii="Times New Roman" w:hAnsi="Times New Roman" w:eastAsia="宋体" w:cs="Times New Roman"/>
                <w:color w:val="000000"/>
                <w:kern w:val="0"/>
                <w:sz w:val="24"/>
                <w:szCs w:val="24"/>
                <w:lang w:val="en-US" w:eastAsia="zh-CN" w:bidi="ar"/>
              </w:rPr>
              <w:t>3239.107</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d（906950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②</w:t>
            </w:r>
            <w:r>
              <w:rPr>
                <w:rFonts w:hint="default" w:ascii="Times New Roman" w:hAnsi="Times New Roman" w:eastAsia="宋体" w:cs="Times New Roman"/>
                <w:b/>
                <w:bCs w:val="0"/>
                <w:sz w:val="24"/>
                <w:szCs w:val="24"/>
                <w:lang w:val="en-US" w:eastAsia="zh-CN"/>
              </w:rPr>
              <w:t>排水</w:t>
            </w:r>
          </w:p>
          <w:p>
            <w:pPr>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本项目排水采用雨、污分流制。周边雨污市政管网已建成，本项目雨水经雨水管网收集后，排入市政雨水管网。</w:t>
            </w:r>
          </w:p>
          <w:p>
            <w:pPr>
              <w:adjustRightInd w:val="0"/>
              <w:snapToGrid w:val="0"/>
              <w:spacing w:line="360" w:lineRule="auto"/>
              <w:ind w:firstLine="480" w:firstLineChars="200"/>
              <w:rPr>
                <w:sz w:val="24"/>
                <w:szCs w:val="24"/>
              </w:rPr>
            </w:pPr>
            <w:r>
              <w:rPr>
                <w:rFonts w:hint="eastAsia" w:ascii="宋体" w:hAnsi="宋体" w:eastAsia="宋体" w:cs="宋体"/>
                <w:color w:val="000000"/>
                <w:kern w:val="0"/>
                <w:sz w:val="24"/>
                <w:szCs w:val="24"/>
                <w:lang w:val="en-US" w:eastAsia="zh-CN" w:bidi="ar"/>
              </w:rPr>
              <w:t>本项目废水主要为生活污水、食堂废水、实验废水等，</w:t>
            </w:r>
            <w:r>
              <w:rPr>
                <w:rFonts w:hint="default" w:ascii="Times New Roman" w:hAnsi="Times New Roman" w:eastAsia="宋体" w:cs="Times New Roman"/>
                <w:color w:val="000000"/>
                <w:kern w:val="0"/>
                <w:sz w:val="24"/>
                <w:szCs w:val="24"/>
                <w:lang w:val="en-US" w:eastAsia="zh-CN" w:bidi="ar"/>
              </w:rPr>
              <w:t>产污系数按85%计，则废水排放量为</w:t>
            </w:r>
            <w:r>
              <w:rPr>
                <w:rFonts w:hint="eastAsia" w:ascii="Times New Roman" w:hAnsi="Times New Roman" w:eastAsia="宋体" w:cs="Times New Roman"/>
                <w:color w:val="000000"/>
                <w:kern w:val="0"/>
                <w:sz w:val="24"/>
                <w:szCs w:val="24"/>
                <w:lang w:val="en-US" w:eastAsia="zh-CN" w:bidi="ar"/>
              </w:rPr>
              <w:t>2753.241</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d（770907.5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a）</w:t>
            </w:r>
            <w:r>
              <w:rPr>
                <w:rFonts w:hint="default" w:ascii="Times New Roman" w:hAnsi="Times New Roman" w:eastAsia="宋体" w:cs="Times New Roman"/>
                <w:color w:val="000000"/>
                <w:kern w:val="0"/>
                <w:sz w:val="24"/>
                <w:szCs w:val="24"/>
                <w:lang w:val="en-US" w:eastAsia="zh-CN" w:bidi="ar"/>
              </w:rPr>
              <w:t>。其中食堂废水经隔油</w:t>
            </w:r>
            <w:r>
              <w:rPr>
                <w:rFonts w:hint="eastAsia" w:ascii="Times New Roman" w:hAnsi="Times New Roman" w:eastAsia="宋体" w:cs="Times New Roman"/>
                <w:color w:val="000000"/>
                <w:kern w:val="0"/>
                <w:sz w:val="24"/>
                <w:szCs w:val="24"/>
                <w:lang w:val="en-US" w:eastAsia="zh-CN" w:bidi="ar"/>
              </w:rPr>
              <w:t>池</w:t>
            </w:r>
            <w:r>
              <w:rPr>
                <w:rFonts w:hint="default" w:ascii="Times New Roman" w:hAnsi="Times New Roman" w:eastAsia="宋体" w:cs="Times New Roman"/>
                <w:color w:val="000000"/>
                <w:kern w:val="0"/>
                <w:sz w:val="24"/>
                <w:szCs w:val="24"/>
                <w:lang w:val="en-US" w:eastAsia="zh-CN" w:bidi="ar"/>
              </w:rPr>
              <w:t>处理后、实验室清洗废水经酸碱中和后排入化粪池与生活污水一同处理达《污水综合排放标准》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GB8978-1996</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中三级排放标准后，排入</w:t>
            </w:r>
            <w:r>
              <w:rPr>
                <w:rFonts w:hint="eastAsia" w:ascii="Times New Roman" w:hAnsi="Times New Roman" w:eastAsia="宋体" w:cs="Times New Roman"/>
                <w:color w:val="000000"/>
                <w:kern w:val="0"/>
                <w:sz w:val="24"/>
                <w:szCs w:val="24"/>
                <w:lang w:val="en-US" w:eastAsia="zh-CN" w:bidi="ar"/>
              </w:rPr>
              <w:t>西</w:t>
            </w:r>
            <w:r>
              <w:rPr>
                <w:rFonts w:hint="default" w:ascii="Times New Roman" w:hAnsi="Times New Roman" w:eastAsia="宋体" w:cs="Times New Roman"/>
                <w:color w:val="000000"/>
                <w:kern w:val="0"/>
                <w:sz w:val="24"/>
                <w:szCs w:val="24"/>
                <w:lang w:val="en-US" w:eastAsia="zh-CN" w:bidi="ar"/>
              </w:rPr>
              <w:t>南侧道路下已建的市政污水管网，最终进入达州市第二</w:t>
            </w:r>
            <w:r>
              <w:rPr>
                <w:rFonts w:hint="eastAsia" w:ascii="Times New Roman" w:hAnsi="Times New Roman" w:eastAsia="宋体" w:cs="Times New Roman"/>
                <w:color w:val="000000"/>
                <w:kern w:val="0"/>
                <w:sz w:val="24"/>
                <w:szCs w:val="24"/>
                <w:lang w:val="en-US" w:eastAsia="zh-CN" w:bidi="ar"/>
              </w:rPr>
              <w:t>城市生活</w:t>
            </w:r>
            <w:r>
              <w:rPr>
                <w:rFonts w:hint="default" w:ascii="Times New Roman" w:hAnsi="Times New Roman" w:eastAsia="宋体" w:cs="Times New Roman"/>
                <w:color w:val="000000"/>
                <w:kern w:val="0"/>
                <w:sz w:val="24"/>
                <w:szCs w:val="24"/>
                <w:lang w:val="en-US" w:eastAsia="zh-CN" w:bidi="ar"/>
              </w:rPr>
              <w:t>污水处理厂</w:t>
            </w:r>
            <w:r>
              <w:rPr>
                <w:rFonts w:hint="eastAsia" w:ascii="Times New Roman" w:hAnsi="Times New Roman" w:cs="Times New Roman"/>
                <w:color w:val="000000"/>
                <w:sz w:val="24"/>
                <w:szCs w:val="24"/>
                <w:lang w:val="en-US" w:eastAsia="zh-CN"/>
              </w:rPr>
              <w:t>处理达到</w:t>
            </w:r>
            <w:r>
              <w:rPr>
                <w:rFonts w:hint="default" w:ascii="Times New Roman" w:hAnsi="Times New Roman" w:cs="Times New Roman"/>
                <w:color w:val="000000"/>
                <w:sz w:val="24"/>
                <w:szCs w:val="24"/>
                <w:lang w:val="en-US" w:eastAsia="zh-CN"/>
              </w:rPr>
              <w:t>《城镇污水处理厂污染物排放标准》（GB18981-2002）一级A标准</w:t>
            </w:r>
            <w:r>
              <w:rPr>
                <w:rFonts w:hint="eastAsia" w:ascii="Times New Roman" w:hAnsi="Times New Roman" w:cs="Times New Roman"/>
                <w:color w:val="000000"/>
                <w:sz w:val="24"/>
                <w:szCs w:val="24"/>
                <w:lang w:val="en-US" w:eastAsia="zh-CN"/>
              </w:rPr>
              <w:t>后</w:t>
            </w:r>
            <w:r>
              <w:rPr>
                <w:rFonts w:hint="eastAsia" w:ascii="宋体" w:hAnsi="宋体" w:eastAsia="宋体" w:cs="宋体"/>
                <w:color w:val="000000"/>
                <w:kern w:val="0"/>
                <w:sz w:val="24"/>
                <w:szCs w:val="24"/>
                <w:lang w:val="en-US" w:eastAsia="zh-CN" w:bidi="ar"/>
              </w:rPr>
              <w:t>排入州河</w:t>
            </w:r>
            <w:r>
              <w:rPr>
                <w:rFonts w:hint="eastAsia"/>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宋体" w:hAnsi="宋体" w:eastAsia="宋体" w:cs="宋体"/>
                <w:b/>
                <w:bCs/>
                <w:color w:val="000000"/>
                <w:kern w:val="0"/>
                <w:sz w:val="24"/>
                <w:szCs w:val="24"/>
                <w:lang w:val="en-US" w:eastAsia="zh-CN" w:bidi="ar"/>
              </w:rPr>
              <w:t>其中，</w:t>
            </w:r>
            <w:r>
              <w:rPr>
                <w:rFonts w:hint="eastAsia" w:ascii="宋体" w:hAnsi="宋体" w:eastAsia="宋体" w:cs="宋体"/>
                <w:b/>
                <w:bCs/>
                <w:color w:val="auto"/>
                <w:kern w:val="0"/>
                <w:sz w:val="24"/>
                <w:szCs w:val="24"/>
                <w:lang w:val="en-US" w:eastAsia="zh-CN" w:bidi="ar"/>
              </w:rPr>
              <w:t>含化学试剂的母液、实验废液经</w:t>
            </w:r>
            <w:r>
              <w:rPr>
                <w:rFonts w:hint="eastAsia" w:ascii="宋体" w:hAnsi="宋体" w:eastAsia="宋体" w:cs="宋体"/>
                <w:b/>
                <w:bCs/>
                <w:color w:val="000000"/>
                <w:kern w:val="0"/>
                <w:sz w:val="24"/>
                <w:szCs w:val="24"/>
                <w:lang w:val="en-US" w:eastAsia="zh-CN" w:bidi="ar"/>
              </w:rPr>
              <w:t xml:space="preserve">桶装收集后暂存于危废暂存间，定期交由有危险废物处理资质的单位进行处理，不计入本次废水排放量。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eastAsia="宋体"/>
                <w:b/>
                <w:bCs/>
                <w:sz w:val="24"/>
                <w:szCs w:val="24"/>
                <w:lang w:val="en-US" w:eastAsia="zh-CN"/>
              </w:rPr>
            </w:pPr>
            <w:r>
              <w:rPr>
                <w:rFonts w:hint="eastAsia" w:eastAsia="宋体"/>
                <w:b/>
                <w:bCs/>
                <w:sz w:val="24"/>
                <w:szCs w:val="24"/>
                <w:lang w:val="en-US" w:eastAsia="zh-CN"/>
              </w:rPr>
              <w:t>③水平衡</w:t>
            </w:r>
          </w:p>
          <w:p>
            <w:pPr>
              <w:adjustRightInd w:val="0"/>
              <w:snapToGrid w:val="0"/>
              <w:spacing w:line="360" w:lineRule="auto"/>
              <w:ind w:firstLine="480" w:firstLineChars="200"/>
              <w:rPr>
                <w:bCs/>
                <w:sz w:val="24"/>
                <w:szCs w:val="24"/>
              </w:rPr>
            </w:pPr>
            <w:r>
              <w:rPr>
                <w:rFonts w:hint="eastAsia"/>
                <w:color w:val="auto"/>
                <w:sz w:val="24"/>
                <w:szCs w:val="36"/>
              </w:rPr>
              <w:t>本项目运营期的水量平衡见</w:t>
            </w:r>
            <w:r>
              <w:rPr>
                <w:rFonts w:hint="eastAsia"/>
                <w:color w:val="auto"/>
                <w:sz w:val="24"/>
                <w:szCs w:val="36"/>
                <w:lang w:val="en-US" w:eastAsia="zh-CN"/>
              </w:rPr>
              <w:t>下</w:t>
            </w:r>
            <w:r>
              <w:rPr>
                <w:rFonts w:hint="eastAsia"/>
                <w:color w:val="auto"/>
                <w:sz w:val="24"/>
                <w:szCs w:val="36"/>
              </w:rPr>
              <w:t>图</w:t>
            </w:r>
            <w:r>
              <w:rPr>
                <w:rFonts w:hint="eastAsia"/>
                <w:color w:val="auto"/>
                <w:sz w:val="24"/>
                <w:szCs w:val="36"/>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rPr>
                <w:rFonts w:ascii="宋体" w:hAnsi="宋体" w:eastAsia="宋体" w:cs="宋体"/>
                <w:kern w:val="0"/>
                <w:sz w:val="24"/>
                <w:szCs w:val="24"/>
                <w:lang w:val="en-US" w:eastAsia="zh-CN" w:bidi="ar"/>
              </w:rPr>
              <w:drawing>
                <wp:inline distT="0" distB="0" distL="114300" distR="114300">
                  <wp:extent cx="5295265" cy="2950845"/>
                  <wp:effectExtent l="0" t="0" r="635" b="1905"/>
                  <wp:docPr id="1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IMG_256"/>
                          <pic:cNvPicPr>
                            <a:picLocks noChangeAspect="1"/>
                          </pic:cNvPicPr>
                        </pic:nvPicPr>
                        <pic:blipFill>
                          <a:blip r:embed="rId21"/>
                          <a:stretch>
                            <a:fillRect/>
                          </a:stretch>
                        </pic:blipFill>
                        <pic:spPr>
                          <a:xfrm>
                            <a:off x="0" y="0"/>
                            <a:ext cx="5295265" cy="295084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图</w:t>
            </w:r>
            <w:r>
              <w:rPr>
                <w:rFonts w:hint="default" w:ascii="Times New Roman" w:hAnsi="Times New Roman" w:eastAsia="黑体" w:cs="Times New Roman"/>
                <w:b w:val="0"/>
                <w:bCs/>
                <w:color w:val="auto"/>
                <w:sz w:val="21"/>
                <w:szCs w:val="21"/>
                <w:lang w:val="en-US" w:eastAsia="zh-CN"/>
              </w:rPr>
              <w:t>2-</w:t>
            </w:r>
            <w:r>
              <w:rPr>
                <w:rFonts w:hint="eastAsia" w:ascii="Times New Roman" w:hAnsi="Times New Roman" w:eastAsia="黑体" w:cs="Times New Roman"/>
                <w:b w:val="0"/>
                <w:bCs/>
                <w:color w:val="auto"/>
                <w:sz w:val="21"/>
                <w:szCs w:val="21"/>
                <w:lang w:val="en-US" w:eastAsia="zh-CN"/>
              </w:rPr>
              <w:t>10</w:t>
            </w:r>
            <w:r>
              <w:rPr>
                <w:rFonts w:hint="default" w:ascii="Times New Roman" w:hAnsi="Times New Roman" w:eastAsia="黑体" w:cs="Times New Roman"/>
                <w:b w:val="0"/>
                <w:bCs/>
                <w:color w:val="auto"/>
                <w:sz w:val="21"/>
                <w:szCs w:val="21"/>
              </w:rPr>
              <w:t xml:space="preserve">   本项目水平衡图   单位：m</w:t>
            </w:r>
            <w:r>
              <w:rPr>
                <w:rFonts w:hint="default" w:ascii="Times New Roman" w:hAnsi="Times New Roman" w:eastAsia="黑体" w:cs="Times New Roman"/>
                <w:b w:val="0"/>
                <w:bCs/>
                <w:color w:val="auto"/>
                <w:sz w:val="21"/>
                <w:szCs w:val="21"/>
                <w:vertAlign w:val="superscript"/>
              </w:rPr>
              <w:t>3</w:t>
            </w:r>
            <w:r>
              <w:rPr>
                <w:rFonts w:hint="default" w:ascii="Times New Roman" w:hAnsi="Times New Roman" w:eastAsia="黑体" w:cs="Times New Roman"/>
                <w:b w:val="0"/>
                <w:bCs/>
                <w:color w:val="auto"/>
                <w:sz w:val="21"/>
                <w:szCs w:val="21"/>
              </w:rPr>
              <w:t>/d</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w:t>
            </w:r>
            <w:r>
              <w:rPr>
                <w:rFonts w:hint="eastAsia" w:ascii="Times New Roman" w:hAnsi="Times New Roman" w:eastAsia="宋体" w:cs="Times New Roman"/>
                <w:b/>
                <w:bCs w:val="0"/>
                <w:sz w:val="24"/>
                <w:szCs w:val="24"/>
                <w:lang w:val="en-US" w:eastAsia="zh-CN"/>
              </w:rPr>
              <w:t>2</w:t>
            </w:r>
            <w:r>
              <w:rPr>
                <w:rFonts w:hint="default" w:ascii="Times New Roman" w:hAnsi="Times New Roman" w:eastAsia="宋体" w:cs="Times New Roman"/>
                <w:b/>
                <w:bCs w:val="0"/>
                <w:sz w:val="24"/>
                <w:szCs w:val="24"/>
                <w:lang w:val="en-US" w:eastAsia="zh-CN"/>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项目用电由市政电网供给，</w:t>
            </w:r>
            <w:r>
              <w:rPr>
                <w:rFonts w:hint="eastAsia" w:ascii="Times New Roman" w:hAnsi="Times New Roman" w:eastAsia="宋体" w:cs="Times New Roman"/>
                <w:sz w:val="24"/>
                <w:szCs w:val="24"/>
                <w:lang w:val="en-US" w:eastAsia="zh-CN"/>
              </w:rPr>
              <w:t>电源由市政 10kV 高压电网引来。低压系统电压等级为220V/380V。拟在本地块地下室变电所设置6台1600kVA 和6台1250kVA 变压器；备用电源拟设应急柴油发电机组1200KW为2台，以满足一二级负荷的供电要求。</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w:t>
            </w:r>
            <w:r>
              <w:rPr>
                <w:rFonts w:hint="eastAsia" w:ascii="Times New Roman" w:hAnsi="Times New Roman" w:eastAsia="宋体" w:cs="Times New Roman"/>
                <w:b/>
                <w:bCs w:val="0"/>
                <w:sz w:val="24"/>
                <w:szCs w:val="24"/>
                <w:lang w:val="en-US" w:eastAsia="zh-CN"/>
              </w:rPr>
              <w:t>3</w:t>
            </w:r>
            <w:r>
              <w:rPr>
                <w:rFonts w:hint="default" w:ascii="Times New Roman" w:hAnsi="Times New Roman" w:eastAsia="宋体" w:cs="Times New Roman"/>
                <w:b/>
                <w:bCs w:val="0"/>
                <w:sz w:val="24"/>
                <w:szCs w:val="24"/>
                <w:lang w:val="en-US" w:eastAsia="zh-CN"/>
              </w:rPr>
              <w:t>）空调通风系统</w:t>
            </w:r>
          </w:p>
          <w:p>
            <w:pPr>
              <w:pStyle w:val="9"/>
              <w:spacing w:after="0" w:line="360" w:lineRule="auto"/>
              <w:ind w:firstLine="480" w:firstLineChars="200"/>
              <w:rPr>
                <w:color w:val="auto"/>
                <w:sz w:val="24"/>
                <w:szCs w:val="36"/>
              </w:rPr>
            </w:pPr>
            <w:r>
              <w:rPr>
                <w:rFonts w:hint="eastAsia"/>
                <w:color w:val="auto"/>
                <w:sz w:val="24"/>
                <w:szCs w:val="36"/>
              </w:rPr>
              <w:t>本项目采用分体式空调，不设置中央空调。</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w:t>
            </w:r>
            <w:r>
              <w:rPr>
                <w:rFonts w:hint="eastAsia" w:ascii="Times New Roman" w:hAnsi="Times New Roman" w:eastAsia="宋体"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）消防系统</w:t>
            </w:r>
          </w:p>
          <w:p>
            <w:pPr>
              <w:tabs>
                <w:tab w:val="left" w:pos="1418"/>
              </w:tabs>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根据《建筑灭火器配置设计规范》的规定，在</w:t>
            </w:r>
            <w:r>
              <w:rPr>
                <w:rFonts w:hint="eastAsia" w:ascii="Times New Roman" w:hAnsi="Times New Roman" w:cs="Times New Roman"/>
                <w:sz w:val="24"/>
                <w:szCs w:val="24"/>
                <w:lang w:val="en-US" w:eastAsia="zh-CN"/>
              </w:rPr>
              <w:t>校</w:t>
            </w:r>
            <w:r>
              <w:rPr>
                <w:rFonts w:hint="default" w:ascii="Times New Roman" w:hAnsi="Times New Roman" w:cs="Times New Roman"/>
                <w:sz w:val="24"/>
                <w:szCs w:val="24"/>
              </w:rPr>
              <w:t>内配备相应的消防器材。</w:t>
            </w:r>
            <w:r>
              <w:rPr>
                <w:rFonts w:hint="eastAsia" w:ascii="Times New Roman" w:hAnsi="Times New Roman" w:eastAsia="宋体" w:cs="Times New Roman"/>
                <w:sz w:val="24"/>
                <w:szCs w:val="24"/>
                <w:lang w:val="en-US" w:eastAsia="zh-CN"/>
              </w:rPr>
              <w:t>在项目地块内设3座消防水池，一座有效体积为720立方米的室内外消防水池，另外2座为有效体积为 288 立方米的室外消防水池；室内外消防水池旁设置一座消防水泵房，室内消火栓泵、自动喷淋泵、自动消防炮加压泵。水量及扬程能够满足本地块消防用水要求。在最高一栋建筑屋顶设一座消防水箱，消防水箱有效容积为 18m³屋顶水箱，供整个地块消防使用。</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宋体" w:hAnsi="宋体" w:eastAsia="宋体" w:cs="宋体"/>
                <w:color w:val="auto"/>
                <w:sz w:val="24"/>
                <w:szCs w:val="24"/>
                <w:lang w:val="en-US" w:eastAsia="zh-CN"/>
              </w:rPr>
            </w:pPr>
            <w:r>
              <w:rPr>
                <w:rFonts w:hint="eastAsia" w:ascii="Times New Roman" w:hAnsi="Times New Roman" w:eastAsia="宋体" w:cs="Times New Roman"/>
                <w:b/>
                <w:bCs w:val="0"/>
                <w:color w:val="auto"/>
                <w:sz w:val="24"/>
                <w:szCs w:val="24"/>
                <w:lang w:val="en-US" w:eastAsia="zh-CN"/>
              </w:rPr>
              <w:t>9</w:t>
            </w:r>
            <w:r>
              <w:rPr>
                <w:rFonts w:hint="default" w:ascii="Times New Roman" w:hAnsi="Times New Roman" w:eastAsia="宋体" w:cs="Times New Roman"/>
                <w:b/>
                <w:bCs w:val="0"/>
                <w:color w:val="auto"/>
                <w:sz w:val="24"/>
                <w:szCs w:val="24"/>
                <w:lang w:val="en-US" w:eastAsia="zh-CN"/>
              </w:rPr>
              <w:t>、平面布置合理性分析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总体功能分区明显，教学区位于校区南侧，运动区位于校区中部，生活区位于校区北侧，远离教学楼和办公楼，保证了食堂烹饪和就餐时间不会对教学产生影响，食堂油烟经油烟净化器处理后由排气筒引至楼顶达标排放。在活动频繁的食堂、教学楼、宿舍等地方均设置了化粪池，充分保证了对大量生活污水的处理能力；沿校区主要建筑物铺设了雨水管网和污水管网，保障项目区污水和雨水的处理；校区周边种植了大量的植被，在美化校园的同时还能降低校园噪声对外界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项目有</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个化粪池、</w:t>
            </w:r>
            <w:r>
              <w:rPr>
                <w:rFonts w:hint="default" w:ascii="Times New Roman" w:hAnsi="Times New Roman" w:eastAsia="宋体" w:cs="Times New Roman"/>
                <w:color w:val="000000"/>
                <w:kern w:val="0"/>
                <w:sz w:val="24"/>
                <w:szCs w:val="24"/>
                <w:lang w:val="en-US" w:eastAsia="zh-CN" w:bidi="ar"/>
              </w:rPr>
              <w:t>1个实验室酸碱中和池、1个隔油池均属于地埋式，分别位于学校绿化带下</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本项目设置1个垃圾临时收集点，用于收集日常生活垃圾</w:t>
            </w:r>
            <w:r>
              <w:rPr>
                <w:rFonts w:hint="eastAsia" w:ascii="Times New Roman" w:hAnsi="Times New Roman" w:eastAsia="宋体" w:cs="Times New Roman"/>
                <w:color w:val="000000"/>
                <w:kern w:val="0"/>
                <w:sz w:val="24"/>
                <w:szCs w:val="24"/>
                <w:lang w:val="en-US" w:eastAsia="zh-CN" w:bidi="ar"/>
              </w:rPr>
              <w:t>，处于项目侧风向</w:t>
            </w:r>
            <w:r>
              <w:rPr>
                <w:rFonts w:hint="default" w:ascii="Times New Roman" w:hAnsi="Times New Roman" w:eastAsia="宋体" w:cs="Times New Roman"/>
                <w:color w:val="000000"/>
                <w:kern w:val="0"/>
                <w:sz w:val="24"/>
                <w:szCs w:val="24"/>
                <w:lang w:val="en-US" w:eastAsia="zh-CN" w:bidi="ar"/>
              </w:rPr>
              <w:t>。本项目地下车库采用机械排风，排风口设于项目地内绿化区，风口不得正对窗户，且避开人员逗留和通行区，布置合理。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sz w:val="24"/>
                <w:szCs w:val="24"/>
                <w:lang w:val="en-US" w:eastAsia="zh-CN"/>
              </w:rPr>
              <w:t>本项目校区道路系统，围绕各功能分区，遵循人车分流的理念，沿基地周边设置环形车道，内部设置步行系统。在东、西校区之间设置空中连廊，保证学生过街安全。在西侧、南侧、北侧均设有出入口。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综上，项目功能分区明确、交通组织合理、景观绿化合理。从环保角度分析，</w:t>
            </w:r>
            <w:r>
              <w:rPr>
                <w:rFonts w:hint="eastAsia"/>
                <w:bCs/>
                <w:color w:val="auto"/>
                <w:sz w:val="24"/>
              </w:rPr>
              <w:t>项目总平面布局合理</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cs="Times New Roman"/>
                <w:b/>
                <w:color w:val="0000FF"/>
                <w:sz w:val="24"/>
                <w:szCs w:val="24"/>
                <w:highlight w:val="none"/>
                <w:lang w:val="en-US" w:eastAsia="zh-CN"/>
              </w:rPr>
            </w:pPr>
            <w:r>
              <w:rPr>
                <w:rFonts w:hint="default" w:ascii="Times New Roman" w:hAnsi="Times New Roman" w:cs="Times New Roman"/>
                <w:b/>
                <w:color w:val="auto"/>
                <w:sz w:val="24"/>
                <w:szCs w:val="24"/>
                <w:highlight w:val="none"/>
                <w:lang w:val="en-US" w:eastAsia="zh-CN"/>
              </w:rPr>
              <w:t>1</w:t>
            </w:r>
            <w:r>
              <w:rPr>
                <w:rFonts w:hint="eastAsia"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lang w:val="en-US" w:eastAsia="zh-CN"/>
              </w:rPr>
              <w:t>、</w:t>
            </w:r>
            <w:r>
              <w:rPr>
                <w:rFonts w:hint="eastAsia"/>
                <w:b/>
                <w:color w:val="auto"/>
                <w:sz w:val="24"/>
              </w:rPr>
              <w:t>土石方平衡及</w:t>
            </w:r>
            <w:r>
              <w:rPr>
                <w:b/>
                <w:color w:val="auto"/>
                <w:sz w:val="24"/>
              </w:rPr>
              <w:t>工程占地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b/>
                <w:bCs/>
                <w:color w:val="auto"/>
                <w:sz w:val="24"/>
              </w:rPr>
              <w:t>（1）土石方平衡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spacing w:val="-6"/>
                <w:sz w:val="24"/>
                <w:szCs w:val="24"/>
                <w:lang w:val="en-US" w:eastAsia="zh-CN"/>
              </w:rPr>
              <w:t>本项目</w:t>
            </w:r>
            <w:r>
              <w:rPr>
                <w:rFonts w:hint="default" w:ascii="Times New Roman" w:hAnsi="Times New Roman" w:eastAsia="宋体" w:cs="Times New Roman"/>
                <w:spacing w:val="-6"/>
                <w:sz w:val="24"/>
                <w:szCs w:val="24"/>
              </w:rPr>
              <w:t>总计开挖土石方</w:t>
            </w:r>
            <w:r>
              <w:rPr>
                <w:rFonts w:hint="eastAsia" w:ascii="Times New Roman" w:hAnsi="Times New Roman" w:eastAsia="宋体" w:cs="Times New Roman"/>
                <w:spacing w:val="-6"/>
                <w:sz w:val="24"/>
                <w:szCs w:val="24"/>
                <w:lang w:val="en-US" w:eastAsia="zh-CN"/>
              </w:rPr>
              <w:t>882439.9</w:t>
            </w:r>
            <w:r>
              <w:rPr>
                <w:rFonts w:hint="default" w:ascii="Times New Roman" w:hAnsi="Times New Roman" w:eastAsia="宋体" w:cs="Times New Roman"/>
                <w:sz w:val="24"/>
                <w:szCs w:val="24"/>
              </w:rPr>
              <w:t xml:space="preserve"> 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eastAsia="zh-CN"/>
              </w:rPr>
              <w:t>，</w:t>
            </w:r>
            <w:r>
              <w:rPr>
                <w:rFonts w:hint="eastAsia"/>
                <w:color w:val="auto"/>
                <w:sz w:val="24"/>
              </w:rPr>
              <w:t>包括表土剥离和围堰拆除</w:t>
            </w:r>
            <w:r>
              <w:rPr>
                <w:rFonts w:hint="default" w:ascii="Times New Roman" w:hAnsi="Times New Roman" w:eastAsia="宋体" w:cs="Times New Roman"/>
                <w:sz w:val="24"/>
                <w:szCs w:val="24"/>
                <w:vertAlign w:val="baseline"/>
              </w:rPr>
              <w:t>），</w:t>
            </w:r>
            <w:r>
              <w:rPr>
                <w:rFonts w:hint="default" w:ascii="Times New Roman" w:hAnsi="Times New Roman" w:eastAsia="宋体" w:cs="Times New Roman"/>
                <w:spacing w:val="-12"/>
                <w:sz w:val="24"/>
                <w:szCs w:val="24"/>
                <w:vertAlign w:val="baseline"/>
              </w:rPr>
              <w:t>其中土方</w:t>
            </w:r>
            <w:r>
              <w:rPr>
                <w:rFonts w:hint="eastAsia" w:ascii="Times New Roman" w:hAnsi="Times New Roman" w:eastAsia="宋体" w:cs="Times New Roman"/>
                <w:spacing w:val="-12"/>
                <w:sz w:val="24"/>
                <w:szCs w:val="24"/>
                <w:vertAlign w:val="baseline"/>
                <w:lang w:val="en-US" w:eastAsia="zh-CN"/>
              </w:rPr>
              <w:t>177287.98</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val="en-US" w:eastAsia="zh-CN"/>
              </w:rPr>
              <w:t>石方</w:t>
            </w:r>
            <w:r>
              <w:rPr>
                <w:rFonts w:hint="eastAsia" w:ascii="Times New Roman" w:hAnsi="Times New Roman" w:eastAsia="宋体" w:cs="Times New Roman"/>
                <w:spacing w:val="-20"/>
                <w:sz w:val="24"/>
                <w:szCs w:val="24"/>
                <w:vertAlign w:val="baseline"/>
                <w:lang w:val="en-US" w:eastAsia="zh-CN"/>
              </w:rPr>
              <w:t>705151.92</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default" w:ascii="Times New Roman" w:hAnsi="Times New Roman" w:eastAsia="宋体" w:cs="Times New Roman"/>
                <w:spacing w:val="-6"/>
                <w:sz w:val="24"/>
                <w:szCs w:val="24"/>
                <w:vertAlign w:val="baseline"/>
              </w:rPr>
              <w:t>土石回填利用开挖料</w:t>
            </w:r>
            <w:r>
              <w:rPr>
                <w:rFonts w:hint="eastAsia" w:ascii="Times New Roman" w:hAnsi="Times New Roman" w:eastAsia="宋体" w:cs="Times New Roman"/>
                <w:spacing w:val="-6"/>
                <w:sz w:val="24"/>
                <w:szCs w:val="24"/>
                <w:lang w:val="en-US" w:eastAsia="zh-CN"/>
              </w:rPr>
              <w:t>882439.9</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eastAsia="zh-CN"/>
              </w:rPr>
              <w:t>，</w:t>
            </w:r>
            <w:r>
              <w:rPr>
                <w:rFonts w:hint="eastAsia"/>
                <w:color w:val="auto"/>
                <w:sz w:val="24"/>
                <w:szCs w:val="24"/>
              </w:rPr>
              <w:t>包括表土回覆</w:t>
            </w:r>
            <w:r>
              <w:rPr>
                <w:rFonts w:hint="eastAsia"/>
                <w:color w:val="auto"/>
                <w:sz w:val="24"/>
                <w:szCs w:val="24"/>
                <w:lang w:eastAsia="zh-CN"/>
              </w:rPr>
              <w:t>、</w:t>
            </w:r>
            <w:r>
              <w:rPr>
                <w:rFonts w:hint="default" w:ascii="Times New Roman" w:hAnsi="Times New Roman" w:cs="Times New Roman"/>
                <w:color w:val="auto"/>
                <w:sz w:val="24"/>
                <w:szCs w:val="24"/>
                <w:highlight w:val="none"/>
              </w:rPr>
              <w:t>场地回填</w:t>
            </w:r>
            <w:r>
              <w:rPr>
                <w:rFonts w:hint="eastAsia" w:ascii="Times New Roman" w:hAnsi="Times New Roman" w:cs="Times New Roman"/>
                <w:color w:val="auto"/>
                <w:sz w:val="24"/>
                <w:szCs w:val="24"/>
                <w:highlight w:val="none"/>
                <w:lang w:eastAsia="zh-CN"/>
              </w:rPr>
              <w:t>、</w:t>
            </w:r>
            <w:r>
              <w:rPr>
                <w:rFonts w:hint="eastAsia"/>
                <w:color w:val="auto"/>
                <w:sz w:val="24"/>
                <w:szCs w:val="24"/>
              </w:rPr>
              <w:t>围堰填筑</w:t>
            </w:r>
            <w:r>
              <w:rPr>
                <w:rFonts w:hint="eastAsia"/>
                <w:color w:val="auto"/>
                <w:sz w:val="24"/>
                <w:szCs w:val="24"/>
                <w:lang w:eastAsia="zh-CN"/>
              </w:rPr>
              <w:t>、</w:t>
            </w:r>
            <w:r>
              <w:rPr>
                <w:rFonts w:hint="eastAsia"/>
                <w:color w:val="auto"/>
                <w:sz w:val="24"/>
                <w:szCs w:val="24"/>
                <w:lang w:val="en-US" w:eastAsia="zh-CN"/>
              </w:rPr>
              <w:t>废弃河道回填</w:t>
            </w:r>
            <w:r>
              <w:rPr>
                <w:rFonts w:hint="default" w:ascii="Times New Roman" w:hAnsi="Times New Roman" w:eastAsia="宋体" w:cs="Times New Roman"/>
                <w:sz w:val="24"/>
                <w:szCs w:val="24"/>
                <w:vertAlign w:val="baseline"/>
              </w:rPr>
              <w:t>）</w:t>
            </w:r>
            <w:r>
              <w:rPr>
                <w:rFonts w:hint="eastAsia"/>
                <w:color w:val="auto"/>
                <w:sz w:val="24"/>
              </w:rPr>
              <w:t>，</w:t>
            </w:r>
            <w:r>
              <w:rPr>
                <w:rFonts w:hint="eastAsia"/>
                <w:color w:val="auto"/>
                <w:sz w:val="24"/>
                <w:lang w:val="en-US" w:eastAsia="zh-CN"/>
              </w:rPr>
              <w:t>无</w:t>
            </w:r>
            <w:r>
              <w:rPr>
                <w:rFonts w:hint="eastAsia" w:ascii="宋体" w:hAnsi="宋体"/>
                <w:kern w:val="0"/>
                <w:sz w:val="24"/>
                <w:szCs w:val="24"/>
              </w:rPr>
              <w:t>弃渣</w:t>
            </w:r>
            <w:r>
              <w:rPr>
                <w:rFonts w:hint="eastAsia" w:ascii="宋体" w:hAnsi="宋体"/>
                <w:kern w:val="0"/>
                <w:sz w:val="24"/>
                <w:szCs w:val="24"/>
                <w:lang w:val="en-US" w:eastAsia="zh-CN"/>
              </w:rPr>
              <w:t>产生</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另需回购土石方</w:t>
            </w:r>
            <w:r>
              <w:rPr>
                <w:rFonts w:hint="default" w:ascii="Times New Roman" w:hAnsi="Times New Roman" w:eastAsia="宋体" w:cs="Times New Roman"/>
                <w:i w:val="0"/>
                <w:iCs w:val="0"/>
                <w:color w:val="000000"/>
                <w:kern w:val="0"/>
                <w:sz w:val="24"/>
                <w:szCs w:val="24"/>
                <w:u w:val="none"/>
                <w:lang w:val="en-US" w:eastAsia="zh-CN" w:bidi="ar"/>
              </w:rPr>
              <w:t>155897.19</w:t>
            </w:r>
            <w:r>
              <w:rPr>
                <w:rFonts w:hint="eastAsia" w:ascii="Times New Roman" w:hAnsi="Times New Roman" w:eastAsia="宋体" w:cs="Times New Roman"/>
                <w:i w:val="0"/>
                <w:iCs w:val="0"/>
                <w:color w:val="000000"/>
                <w:kern w:val="0"/>
                <w:sz w:val="24"/>
                <w:szCs w:val="24"/>
                <w:u w:val="none"/>
                <w:lang w:val="en-US" w:eastAsia="zh-CN" w:bidi="ar"/>
              </w:rPr>
              <w:t>m</w:t>
            </w:r>
            <w:r>
              <w:rPr>
                <w:rFonts w:hint="eastAsia" w:ascii="Times New Roman" w:hAnsi="Times New Roman" w:eastAsia="宋体" w:cs="Times New Roman"/>
                <w:i w:val="0"/>
                <w:iCs w:val="0"/>
                <w:color w:val="000000"/>
                <w:kern w:val="0"/>
                <w:sz w:val="24"/>
                <w:szCs w:val="24"/>
                <w:u w:val="none"/>
                <w:vertAlign w:val="superscript"/>
                <w:lang w:val="en-US" w:eastAsia="zh-CN" w:bidi="ar"/>
              </w:rPr>
              <w:t>3</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sz w:val="24"/>
                <w:szCs w:val="24"/>
                <w:vertAlign w:val="baseline"/>
              </w:rPr>
              <w:t>土石平衡计</w:t>
            </w:r>
            <w:r>
              <w:rPr>
                <w:rFonts w:hint="default" w:ascii="Times New Roman" w:hAnsi="Times New Roman" w:eastAsia="宋体" w:cs="Times New Roman"/>
                <w:spacing w:val="-8"/>
                <w:sz w:val="24"/>
                <w:szCs w:val="24"/>
                <w:vertAlign w:val="baseline"/>
              </w:rPr>
              <w:t>算及弃渣量见</w:t>
            </w:r>
            <w:r>
              <w:rPr>
                <w:rFonts w:hint="default" w:ascii="Times New Roman" w:hAnsi="Times New Roman" w:eastAsia="宋体" w:cs="Times New Roman"/>
                <w:spacing w:val="-8"/>
                <w:sz w:val="24"/>
                <w:szCs w:val="24"/>
                <w:vertAlign w:val="baseline"/>
                <w:lang w:val="en-US" w:eastAsia="zh-CN"/>
              </w:rPr>
              <w:t>下表</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vertAlign w:val="baseline"/>
                <w:lang w:val="en-US" w:eastAsia="zh-CN"/>
              </w:rPr>
            </w:pPr>
            <w:r>
              <w:rPr>
                <w:rFonts w:hint="eastAsia" w:ascii="Times New Roman" w:hAnsi="Times New Roman" w:eastAsia="黑体" w:cs="Times New Roman"/>
                <w:b w:val="0"/>
                <w:bCs/>
                <w:color w:val="auto"/>
                <w:sz w:val="21"/>
                <w:szCs w:val="21"/>
                <w:lang w:val="en-US" w:eastAsia="zh-CN"/>
              </w:rPr>
              <w:t xml:space="preserve">表2-8 </w:t>
            </w:r>
            <w:r>
              <w:rPr>
                <w:rFonts w:hint="eastAsia" w:ascii="黑体" w:hAnsi="黑体" w:eastAsia="黑体" w:cs="黑体"/>
                <w:b w:val="0"/>
                <w:bCs w:val="0"/>
                <w:color w:val="auto"/>
                <w:sz w:val="21"/>
                <w:szCs w:val="21"/>
                <w:lang w:val="en-US" w:eastAsia="zh-CN"/>
              </w:rPr>
              <w:t>本项目土石方平衡计算表  单位：m</w:t>
            </w:r>
            <w:r>
              <w:rPr>
                <w:rFonts w:hint="eastAsia" w:ascii="黑体" w:hAnsi="黑体" w:eastAsia="黑体" w:cs="黑体"/>
                <w:b w:val="0"/>
                <w:bCs w:val="0"/>
                <w:color w:val="auto"/>
                <w:sz w:val="21"/>
                <w:szCs w:val="21"/>
                <w:vertAlign w:val="superscript"/>
                <w:lang w:val="en-US" w:eastAsia="zh-CN"/>
              </w:rPr>
              <w:t>3</w:t>
            </w:r>
          </w:p>
          <w:tbl>
            <w:tblPr>
              <w:tblStyle w:val="25"/>
              <w:tblW w:w="79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922"/>
              <w:gridCol w:w="975"/>
              <w:gridCol w:w="975"/>
              <w:gridCol w:w="1110"/>
              <w:gridCol w:w="1118"/>
              <w:gridCol w:w="645"/>
              <w:gridCol w:w="18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396"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 号</w:t>
                  </w:r>
                </w:p>
              </w:tc>
              <w:tc>
                <w:tcPr>
                  <w:tcW w:w="922"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土方开挖</w:t>
                  </w:r>
                </w:p>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(m³)</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石方开挖</w:t>
                  </w:r>
                </w:p>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(m³)</w:t>
                  </w:r>
                </w:p>
              </w:tc>
              <w:tc>
                <w:tcPr>
                  <w:tcW w:w="1110"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土石方填筑</w:t>
                  </w:r>
                </w:p>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(m³)</w:t>
                  </w:r>
                </w:p>
              </w:tc>
              <w:tc>
                <w:tcPr>
                  <w:tcW w:w="1118"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回购土石方</w:t>
                  </w:r>
                  <w:r>
                    <w:rPr>
                      <w:rFonts w:hint="default" w:ascii="Times New Roman" w:hAnsi="Times New Roman" w:eastAsia="宋体" w:cs="Times New Roman"/>
                      <w:b/>
                      <w:bCs/>
                      <w:sz w:val="21"/>
                      <w:szCs w:val="21"/>
                    </w:rPr>
                    <w:t>(m³)</w:t>
                  </w:r>
                </w:p>
              </w:tc>
              <w:tc>
                <w:tcPr>
                  <w:tcW w:w="64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弃渣</w:t>
                  </w:r>
                  <w:r>
                    <w:rPr>
                      <w:rFonts w:hint="default" w:ascii="Times New Roman" w:hAnsi="Times New Roman" w:eastAsia="宋体" w:cs="Times New Roman"/>
                      <w:b/>
                      <w:bCs/>
                      <w:position w:val="1"/>
                      <w:sz w:val="21"/>
                      <w:szCs w:val="21"/>
                    </w:rPr>
                    <w:t>(m³)</w:t>
                  </w:r>
                </w:p>
              </w:tc>
              <w:tc>
                <w:tcPr>
                  <w:tcW w:w="180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96"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1</w:t>
                  </w:r>
                </w:p>
              </w:tc>
              <w:tc>
                <w:tcPr>
                  <w:tcW w:w="922"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学校</w:t>
                  </w:r>
                  <w:r>
                    <w:rPr>
                      <w:rFonts w:hint="default" w:ascii="Times New Roman" w:hAnsi="Times New Roman" w:eastAsia="宋体" w:cs="Times New Roman"/>
                      <w:b w:val="0"/>
                      <w:bCs w:val="0"/>
                      <w:i w:val="0"/>
                      <w:iCs w:val="0"/>
                      <w:color w:val="000000"/>
                      <w:kern w:val="0"/>
                      <w:sz w:val="21"/>
                      <w:szCs w:val="21"/>
                      <w:u w:val="none"/>
                      <w:lang w:val="en-US" w:eastAsia="zh-CN" w:bidi="ar"/>
                    </w:rPr>
                    <w:t>场平景观桥涵工程</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152287.98</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609151.92</w:t>
                  </w:r>
                </w:p>
              </w:tc>
              <w:tc>
                <w:tcPr>
                  <w:tcW w:w="1110"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917337.09</w:t>
                  </w:r>
                </w:p>
              </w:tc>
              <w:tc>
                <w:tcPr>
                  <w:tcW w:w="1118"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155897.19</w:t>
                  </w:r>
                </w:p>
              </w:tc>
              <w:tc>
                <w:tcPr>
                  <w:tcW w:w="64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80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用于</w:t>
                  </w:r>
                  <w:r>
                    <w:rPr>
                      <w:rFonts w:hint="default" w:ascii="Times New Roman" w:hAnsi="Times New Roman" w:cs="Times New Roman"/>
                      <w:color w:val="auto"/>
                      <w:sz w:val="21"/>
                      <w:szCs w:val="21"/>
                      <w:highlight w:val="none"/>
                    </w:rPr>
                    <w:t>场地回填、调整场平</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废弃河道回填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396"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2</w:t>
                  </w:r>
                </w:p>
              </w:tc>
              <w:tc>
                <w:tcPr>
                  <w:tcW w:w="922"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河道改道及边坡工程</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25000</w:t>
                  </w:r>
                </w:p>
              </w:tc>
              <w:tc>
                <w:tcPr>
                  <w:tcW w:w="975"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96000</w:t>
                  </w:r>
                </w:p>
              </w:tc>
              <w:tc>
                <w:tcPr>
                  <w:tcW w:w="1110"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121000</w:t>
                  </w:r>
                </w:p>
              </w:tc>
              <w:tc>
                <w:tcPr>
                  <w:tcW w:w="1118" w:type="dxa"/>
                  <w:noWrap w:val="0"/>
                  <w:vAlign w:val="center"/>
                </w:tcPr>
                <w:p>
                  <w:pPr>
                    <w:pStyle w:val="6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64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805" w:type="dxa"/>
                  <w:noWrap w:val="0"/>
                  <w:vAlign w:val="center"/>
                </w:tcPr>
                <w:p>
                  <w:pPr>
                    <w:pStyle w:val="62"/>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用于</w:t>
                  </w:r>
                  <w:r>
                    <w:rPr>
                      <w:rFonts w:hint="default" w:ascii="Times New Roman" w:hAnsi="Times New Roman" w:eastAsia="宋体" w:cs="Times New Roman"/>
                      <w:i w:val="0"/>
                      <w:iCs w:val="0"/>
                      <w:color w:val="000000"/>
                      <w:kern w:val="0"/>
                      <w:sz w:val="21"/>
                      <w:szCs w:val="21"/>
                      <w:u w:val="none"/>
                      <w:lang w:val="en-US" w:eastAsia="zh-CN" w:bidi="ar"/>
                    </w:rPr>
                    <w:t>河道底板</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碎石垫层</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渠道边墙</w:t>
                  </w:r>
                  <w:r>
                    <w:rPr>
                      <w:rFonts w:hint="eastAsia" w:ascii="Times New Roman" w:hAnsi="Times New Roman" w:eastAsia="宋体" w:cs="Times New Roman"/>
                      <w:i w:val="0"/>
                      <w:iCs w:val="0"/>
                      <w:color w:val="000000"/>
                      <w:kern w:val="0"/>
                      <w:sz w:val="21"/>
                      <w:szCs w:val="21"/>
                      <w:u w:val="none"/>
                      <w:lang w:val="en-US" w:eastAsia="zh-CN" w:bidi="ar"/>
                    </w:rPr>
                    <w:t>、废弃河道</w:t>
                  </w:r>
                  <w:r>
                    <w:rPr>
                      <w:rFonts w:hint="eastAsia" w:ascii="Times New Roman" w:hAnsi="Times New Roman" w:eastAsia="宋体" w:cs="Times New Roman"/>
                      <w:sz w:val="21"/>
                      <w:szCs w:val="21"/>
                      <w:lang w:val="en-US" w:eastAsia="zh-CN"/>
                    </w:rPr>
                    <w:t>回填</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color w:val="C00000"/>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（2）</w:t>
            </w:r>
            <w:r>
              <w:rPr>
                <w:rFonts w:hint="default" w:ascii="Times New Roman" w:hAnsi="Times New Roman" w:cs="Times New Roman"/>
                <w:b/>
                <w:bCs/>
                <w:color w:val="auto"/>
                <w:sz w:val="24"/>
              </w:rPr>
              <w:t>工程占地</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textAlignment w:val="auto"/>
              <w:rPr>
                <w:b/>
                <w:bCs/>
                <w:color w:val="auto"/>
                <w:sz w:val="24"/>
                <w:szCs w:val="24"/>
              </w:rPr>
            </w:pPr>
            <w:r>
              <w:rPr>
                <w:rFonts w:hint="eastAsia" w:ascii="宋体" w:hAnsi="宋体" w:eastAsia="宋体" w:cs="宋体"/>
                <w:color w:val="000000"/>
                <w:kern w:val="0"/>
                <w:sz w:val="24"/>
                <w:szCs w:val="24"/>
                <w:lang w:val="en-US" w:eastAsia="zh-CN" w:bidi="ar"/>
              </w:rPr>
              <w:t xml:space="preserve"> </w:t>
            </w:r>
            <w:r>
              <w:rPr>
                <w:rFonts w:hint="eastAsia"/>
                <w:b/>
                <w:bCs/>
                <w:color w:val="auto"/>
                <w:sz w:val="24"/>
                <w:szCs w:val="24"/>
                <w:lang w:val="en-US" w:eastAsia="zh-CN"/>
              </w:rPr>
              <w:t>①</w:t>
            </w:r>
            <w:r>
              <w:rPr>
                <w:b/>
                <w:bCs/>
                <w:color w:val="auto"/>
                <w:sz w:val="24"/>
                <w:szCs w:val="24"/>
              </w:rPr>
              <w:t>永久占地</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textAlignment w:val="auto"/>
              <w:rPr>
                <w:rFonts w:hint="default"/>
                <w:sz w:val="24"/>
                <w:szCs w:val="24"/>
                <w:lang w:val="en-US"/>
              </w:rPr>
            </w:pPr>
            <w:r>
              <w:rPr>
                <w:rFonts w:hint="eastAsia"/>
                <w:sz w:val="24"/>
                <w:szCs w:val="24"/>
                <w:lang w:val="en-US" w:eastAsia="zh-CN"/>
              </w:rPr>
              <w:t>本</w:t>
            </w:r>
            <w:r>
              <w:rPr>
                <w:sz w:val="24"/>
                <w:szCs w:val="24"/>
              </w:rPr>
              <w:t>工程建设区</w:t>
            </w:r>
            <w:r>
              <w:rPr>
                <w:rFonts w:hint="eastAsia"/>
                <w:sz w:val="24"/>
                <w:szCs w:val="24"/>
                <w:lang w:val="en-US" w:eastAsia="zh-CN"/>
              </w:rPr>
              <w:t>位于</w:t>
            </w:r>
            <w:r>
              <w:rPr>
                <w:rFonts w:hint="eastAsia"/>
                <w:sz w:val="26"/>
                <w:szCs w:val="28"/>
                <w:lang w:eastAsia="zh-CN"/>
              </w:rPr>
              <w:t>达州市通川区西南职教园区，</w:t>
            </w:r>
            <w:r>
              <w:rPr>
                <w:rFonts w:hint="default" w:ascii="Times New Roman" w:hAnsi="Times New Roman" w:cs="Times New Roman"/>
                <w:color w:val="auto"/>
                <w:sz w:val="24"/>
                <w:highlight w:val="none"/>
              </w:rPr>
              <w:t>永久占地</w:t>
            </w:r>
            <w:r>
              <w:rPr>
                <w:rFonts w:hint="eastAsia" w:ascii="Times New Roman" w:hAnsi="Times New Roman" w:eastAsia="宋体" w:cs="Times New Roman"/>
                <w:sz w:val="24"/>
                <w:szCs w:val="24"/>
                <w:lang w:val="en-US" w:eastAsia="zh-CN"/>
              </w:rPr>
              <w:t>243634.63</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default" w:ascii="Times New Roman" w:hAnsi="Times New Roman" w:cs="Times New Roman"/>
                <w:color w:val="auto"/>
                <w:sz w:val="24"/>
                <w:highlight w:val="none"/>
              </w:rPr>
              <w:t>，</w:t>
            </w:r>
            <w:r>
              <w:rPr>
                <w:rFonts w:hint="eastAsia"/>
                <w:sz w:val="26"/>
                <w:szCs w:val="28"/>
                <w:lang w:val="en-US" w:eastAsia="zh-CN"/>
              </w:rPr>
              <w:t>占地类型为规划的</w:t>
            </w:r>
            <w:r>
              <w:rPr>
                <w:rFonts w:hint="eastAsia" w:ascii="Times New Roman" w:hAnsi="Times New Roman" w:eastAsia="宋体" w:cs="Times New Roman"/>
                <w:b w:val="0"/>
                <w:bCs w:val="0"/>
                <w:color w:val="auto"/>
                <w:sz w:val="24"/>
                <w:szCs w:val="24"/>
                <w:lang w:val="en-US" w:eastAsia="zh-CN"/>
              </w:rPr>
              <w:t>职业教育用地、防护</w:t>
            </w:r>
            <w:r>
              <w:rPr>
                <w:rFonts w:hint="default" w:ascii="Times New Roman" w:hAnsi="Times New Roman" w:eastAsia="宋体" w:cs="Times New Roman"/>
                <w:b w:val="0"/>
                <w:bCs w:val="0"/>
                <w:color w:val="auto"/>
                <w:sz w:val="24"/>
                <w:szCs w:val="24"/>
                <w:lang w:val="en-US" w:eastAsia="zh-CN"/>
              </w:rPr>
              <w:t>绿地</w:t>
            </w:r>
            <w:r>
              <w:rPr>
                <w:rFonts w:hint="eastAsia" w:ascii="Times New Roman" w:hAnsi="Times New Roman" w:eastAsia="宋体" w:cs="Times New Roman"/>
                <w:b w:val="0"/>
                <w:bCs w:val="0"/>
                <w:color w:val="auto"/>
                <w:sz w:val="24"/>
                <w:szCs w:val="24"/>
                <w:lang w:val="en-US" w:eastAsia="zh-CN"/>
              </w:rPr>
              <w:t>，现状用地类型为建设用地、耕地、其他农用地。</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rPr>
              <w:t>临时占地</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本工程建设区</w:t>
            </w:r>
            <w:r>
              <w:rPr>
                <w:rFonts w:hint="eastAsia" w:ascii="Times New Roman" w:hAnsi="Times New Roman" w:eastAsia="宋体" w:cs="Times New Roman"/>
                <w:sz w:val="24"/>
                <w:szCs w:val="24"/>
                <w:lang w:val="en-US" w:eastAsia="zh-CN"/>
              </w:rPr>
              <w:t>施工场地均布置在用地范围内</w:t>
            </w:r>
            <w:r>
              <w:rPr>
                <w:rFonts w:hint="default" w:ascii="Times New Roman" w:hAnsi="Times New Roman" w:eastAsia="宋体" w:cs="Times New Roman"/>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1）料场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外购成品材料，通过汽车运输直接到达施工现场，本项目不新建固定料场。水泥、钢材、木材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砂石</w:t>
            </w:r>
            <w:r>
              <w:rPr>
                <w:rFonts w:hint="default" w:ascii="Times New Roman" w:hAnsi="Times New Roman" w:eastAsia="宋体" w:cs="Times New Roman"/>
                <w:sz w:val="24"/>
                <w:szCs w:val="24"/>
              </w:rPr>
              <w:t>等均由市场供应。</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施工</w:t>
            </w:r>
            <w:r>
              <w:rPr>
                <w:rFonts w:hint="eastAsia" w:ascii="Times New Roman" w:hAnsi="Times New Roman" w:eastAsia="宋体" w:cs="Times New Roman"/>
                <w:sz w:val="24"/>
                <w:szCs w:val="24"/>
                <w:lang w:val="en-US" w:eastAsia="zh-CN"/>
              </w:rPr>
              <w:t>场地</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在项目区东北侧</w:t>
            </w:r>
            <w:r>
              <w:rPr>
                <w:rFonts w:hint="default" w:ascii="Times New Roman" w:hAnsi="Times New Roman" w:eastAsia="宋体" w:cs="Times New Roman"/>
                <w:kern w:val="2"/>
                <w:sz w:val="24"/>
                <w:szCs w:val="24"/>
                <w:lang w:val="en-US" w:eastAsia="zh-CN" w:bidi="ar-SA"/>
              </w:rPr>
              <w:t>设置 1 处</w:t>
            </w:r>
            <w:r>
              <w:rPr>
                <w:rFonts w:hint="eastAsia" w:ascii="Times New Roman" w:hAnsi="Times New Roman" w:eastAsia="宋体" w:cs="Times New Roman"/>
                <w:kern w:val="2"/>
                <w:sz w:val="24"/>
                <w:szCs w:val="24"/>
                <w:lang w:val="en-US" w:eastAsia="zh-CN" w:bidi="ar-SA"/>
              </w:rPr>
              <w:t>施工场地，用于材料堆放、加工，</w:t>
            </w:r>
            <w:r>
              <w:rPr>
                <w:rFonts w:hint="default" w:ascii="Times New Roman" w:hAnsi="Times New Roman" w:eastAsia="宋体" w:cs="Times New Roman"/>
                <w:kern w:val="2"/>
                <w:sz w:val="24"/>
                <w:szCs w:val="24"/>
                <w:lang w:val="en-US" w:eastAsia="zh-CN" w:bidi="ar-SA"/>
              </w:rPr>
              <w:t>占地面积约</w:t>
            </w:r>
            <w:r>
              <w:rPr>
                <w:rFonts w:hint="eastAsia" w:ascii="Times New Roman" w:hAnsi="Times New Roman" w:eastAsia="宋体" w:cs="Times New Roman"/>
                <w:kern w:val="2"/>
                <w:sz w:val="24"/>
                <w:szCs w:val="24"/>
                <w:lang w:val="en-US" w:eastAsia="zh-CN" w:bidi="ar-SA"/>
              </w:rPr>
              <w:t>10</w:t>
            </w:r>
            <w:r>
              <w:rPr>
                <w:rFonts w:hint="default" w:ascii="Times New Roman" w:hAnsi="Times New Roman" w:eastAsia="宋体" w:cs="Times New Roman"/>
                <w:kern w:val="2"/>
                <w:sz w:val="24"/>
                <w:szCs w:val="24"/>
                <w:lang w:val="en-US" w:eastAsia="zh-CN" w:bidi="ar-SA"/>
              </w:rPr>
              <w:t>00m</w:t>
            </w:r>
            <w:r>
              <w:rPr>
                <w:rFonts w:hint="default" w:ascii="Times New Roman" w:hAnsi="Times New Roman" w:eastAsia="宋体"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，施工完成后</w:t>
            </w:r>
            <w:r>
              <w:rPr>
                <w:rFonts w:hint="eastAsia" w:ascii="Times New Roman" w:hAnsi="Times New Roman" w:eastAsia="宋体" w:cs="Times New Roman"/>
                <w:kern w:val="2"/>
                <w:sz w:val="24"/>
                <w:szCs w:val="24"/>
                <w:lang w:val="en-US" w:eastAsia="zh-CN" w:bidi="ar-SA"/>
              </w:rPr>
              <w:t>及时</w:t>
            </w:r>
            <w:r>
              <w:rPr>
                <w:rFonts w:hint="default" w:ascii="Times New Roman" w:hAnsi="Times New Roman" w:eastAsia="宋体" w:cs="Times New Roman"/>
                <w:kern w:val="2"/>
                <w:sz w:val="24"/>
                <w:szCs w:val="24"/>
                <w:lang w:val="en-US" w:eastAsia="zh-CN" w:bidi="ar-SA"/>
              </w:rPr>
              <w:t>进行迹地恢复。工程所用砼均直接就近购买商品砼，无需设置拌和系统。模板采用钢模，直接购买</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不设专门的模板加工场</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工程汽修、机械修理就近至</w:t>
            </w:r>
            <w:r>
              <w:rPr>
                <w:rFonts w:hint="eastAsia" w:ascii="Times New Roman" w:hAnsi="Times New Roman" w:eastAsia="宋体" w:cs="Times New Roman"/>
                <w:kern w:val="2"/>
                <w:sz w:val="24"/>
                <w:szCs w:val="24"/>
                <w:lang w:val="en-US" w:eastAsia="zh-CN" w:bidi="ar-SA"/>
              </w:rPr>
              <w:t>附近</w:t>
            </w:r>
            <w:r>
              <w:rPr>
                <w:rFonts w:hint="default" w:ascii="Times New Roman" w:hAnsi="Times New Roman" w:eastAsia="宋体" w:cs="Times New Roman"/>
                <w:kern w:val="2"/>
                <w:sz w:val="24"/>
                <w:szCs w:val="24"/>
                <w:lang w:val="en-US" w:eastAsia="zh-CN" w:bidi="ar-SA"/>
              </w:rPr>
              <w:t>的汽修或机修厂解决。</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3）临时</w:t>
            </w:r>
            <w:r>
              <w:rPr>
                <w:rFonts w:hint="eastAsia" w:ascii="Times New Roman" w:hAnsi="Times New Roman" w:eastAsia="宋体" w:cs="Times New Roman"/>
                <w:sz w:val="24"/>
                <w:szCs w:val="24"/>
                <w:lang w:val="en-US" w:eastAsia="zh-CN"/>
              </w:rPr>
              <w:t>堆土场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kern w:val="0"/>
                <w:sz w:val="24"/>
                <w:szCs w:val="24"/>
                <w:lang w:val="en-US" w:eastAsia="zh-CN" w:bidi="ar"/>
              </w:rPr>
              <w:t>在项目施工过程中，开挖土石方不能立即进行回填，剥离的表土也不能马上用于植物措施表土回覆，为便于项目实施，</w:t>
            </w:r>
            <w:r>
              <w:rPr>
                <w:rFonts w:hint="eastAsia" w:ascii="Times New Roman" w:hAnsi="Times New Roman" w:eastAsia="宋体" w:cs="Times New Roman"/>
                <w:sz w:val="24"/>
                <w:szCs w:val="24"/>
                <w:lang w:val="en-US" w:eastAsia="zh-CN"/>
              </w:rPr>
              <w:t>在项目区东北侧设置1处临时堆土场，占地面积均约800m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用于临时堆存开挖的土石方</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剥离的表土。</w:t>
            </w:r>
            <w:r>
              <w:rPr>
                <w:rFonts w:hint="eastAsia" w:ascii="Times New Roman" w:hAnsi="Times New Roman" w:eastAsia="宋体" w:cs="Times New Roman"/>
                <w:color w:val="000000"/>
                <w:kern w:val="0"/>
                <w:sz w:val="24"/>
                <w:szCs w:val="24"/>
                <w:lang w:val="en-US" w:eastAsia="zh-CN" w:bidi="ar"/>
              </w:rPr>
              <w:t>临时堆土场</w:t>
            </w:r>
            <w:r>
              <w:rPr>
                <w:rFonts w:hint="eastAsia" w:ascii="Times New Roman" w:hAnsi="Times New Roman" w:eastAsia="宋体" w:cs="Times New Roman"/>
                <w:sz w:val="24"/>
                <w:szCs w:val="24"/>
                <w:lang w:val="en-US" w:eastAsia="zh-CN"/>
              </w:rPr>
              <w:t>四周设置围挡，防尘网覆盖，定期洒水</w:t>
            </w:r>
            <w:r>
              <w:rPr>
                <w:rFonts w:hint="eastAsia" w:ascii="Times New Roman" w:hAnsi="Times New Roman"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开挖土石方</w:t>
            </w:r>
            <w:r>
              <w:rPr>
                <w:rFonts w:hint="eastAsia" w:ascii="Times New Roman" w:hAnsi="Times New Roman" w:eastAsia="宋体" w:cs="Times New Roman"/>
                <w:color w:val="000000"/>
                <w:kern w:val="0"/>
                <w:sz w:val="24"/>
                <w:szCs w:val="24"/>
                <w:lang w:val="en-US" w:eastAsia="zh-CN" w:bidi="ar"/>
              </w:rPr>
              <w:t>应及时进行回填，避免长时间堆放</w:t>
            </w:r>
            <w:r>
              <w:rPr>
                <w:rFonts w:hint="default" w:ascii="Times New Roman" w:hAnsi="Times New Roman" w:eastAsia="宋体" w:cs="Times New Roman"/>
                <w:color w:val="000000"/>
                <w:kern w:val="0"/>
                <w:sz w:val="24"/>
                <w:szCs w:val="24"/>
                <w:lang w:val="en-US" w:eastAsia="zh-CN" w:bidi="ar"/>
              </w:rPr>
              <w:t>。</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4）施工营地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本项目不单独设置施工营地，就近租用民房。</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5）施工便道</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rPr>
              <w:t>区域内</w:t>
            </w:r>
            <w:r>
              <w:rPr>
                <w:rFonts w:hint="eastAsia" w:ascii="Times New Roman" w:hAnsi="Times New Roman" w:eastAsia="宋体" w:cs="Times New Roman"/>
                <w:sz w:val="24"/>
                <w:szCs w:val="24"/>
                <w:lang w:val="en-US" w:eastAsia="zh-CN"/>
              </w:rPr>
              <w:t>已</w:t>
            </w:r>
            <w:r>
              <w:rPr>
                <w:rFonts w:hint="default" w:ascii="Times New Roman" w:hAnsi="Times New Roman" w:eastAsia="宋体" w:cs="Times New Roman"/>
                <w:sz w:val="24"/>
                <w:szCs w:val="24"/>
              </w:rPr>
              <w:t>有</w:t>
            </w:r>
            <w:r>
              <w:rPr>
                <w:rFonts w:hint="eastAsia" w:ascii="Times New Roman" w:hAnsi="Times New Roman" w:eastAsia="宋体" w:cs="Times New Roman"/>
                <w:sz w:val="24"/>
                <w:szCs w:val="24"/>
                <w:lang w:val="en-US" w:eastAsia="zh-CN"/>
              </w:rPr>
              <w:t>道路</w:t>
            </w:r>
            <w:r>
              <w:rPr>
                <w:rFonts w:hint="default" w:ascii="Times New Roman" w:hAnsi="Times New Roman" w:eastAsia="宋体" w:cs="Times New Roman"/>
                <w:sz w:val="24"/>
                <w:szCs w:val="24"/>
              </w:rPr>
              <w:t>通向各工区附近，故可利用现有公路对外联接。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w:t>
            </w:r>
            <w:r>
              <w:rPr>
                <w:rFonts w:hint="eastAsia" w:ascii="黑体" w:hAnsi="黑体" w:eastAsia="黑体" w:cs="黑体"/>
                <w:b w:val="0"/>
                <w:bCs w:val="0"/>
                <w:color w:val="auto"/>
                <w:sz w:val="21"/>
                <w:szCs w:val="21"/>
                <w:lang w:val="en-US" w:eastAsia="zh-CN"/>
              </w:rPr>
              <w:t>2-9</w:t>
            </w:r>
            <w:r>
              <w:rPr>
                <w:rFonts w:hint="eastAsia" w:ascii="黑体" w:hAnsi="黑体" w:eastAsia="黑体" w:cs="黑体"/>
                <w:b w:val="0"/>
                <w:bCs w:val="0"/>
                <w:color w:val="auto"/>
                <w:sz w:val="21"/>
                <w:szCs w:val="21"/>
              </w:rPr>
              <w:t xml:space="preserve"> 工程占地一览表</w:t>
            </w:r>
            <w:r>
              <w:rPr>
                <w:rFonts w:hint="eastAsia" w:ascii="黑体" w:hAnsi="黑体" w:eastAsia="黑体" w:cs="黑体"/>
                <w:b w:val="0"/>
                <w:bCs w:val="0"/>
                <w:color w:val="auto"/>
                <w:sz w:val="21"/>
                <w:szCs w:val="21"/>
                <w:lang w:val="en-US" w:eastAsia="zh-CN"/>
              </w:rPr>
              <w:t xml:space="preserve">   单位：m</w:t>
            </w:r>
            <w:r>
              <w:rPr>
                <w:rFonts w:hint="eastAsia" w:ascii="黑体" w:hAnsi="黑体" w:eastAsia="黑体" w:cs="黑体"/>
                <w:b w:val="0"/>
                <w:bCs w:val="0"/>
                <w:color w:val="auto"/>
                <w:sz w:val="21"/>
                <w:szCs w:val="21"/>
                <w:vertAlign w:val="superscript"/>
                <w:lang w:val="en-US" w:eastAsia="zh-CN"/>
              </w:rPr>
              <w:t>2</w:t>
            </w:r>
          </w:p>
          <w:tbl>
            <w:tblPr>
              <w:tblStyle w:val="2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140"/>
              <w:gridCol w:w="2440"/>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b/>
                      <w:bCs/>
                      <w:color w:val="auto"/>
                      <w:sz w:val="21"/>
                      <w:szCs w:val="21"/>
                    </w:rPr>
                  </w:pPr>
                  <w:r>
                    <w:rPr>
                      <w:rFonts w:hint="eastAsia"/>
                      <w:b/>
                      <w:bCs/>
                      <w:color w:val="auto"/>
                      <w:sz w:val="21"/>
                      <w:szCs w:val="21"/>
                    </w:rPr>
                    <w:t>序号</w:t>
                  </w:r>
                </w:p>
              </w:tc>
              <w:tc>
                <w:tcPr>
                  <w:tcW w:w="2140" w:type="dxa"/>
                  <w:tcBorders>
                    <w:tl2br w:val="nil"/>
                    <w:tr2bl w:val="nil"/>
                  </w:tcBorders>
                  <w:noWrap w:val="0"/>
                  <w:vAlign w:val="center"/>
                </w:tcPr>
                <w:p>
                  <w:pPr>
                    <w:jc w:val="center"/>
                    <w:rPr>
                      <w:rFonts w:hint="eastAsia" w:eastAsia="宋体"/>
                      <w:b/>
                      <w:bCs/>
                      <w:color w:val="auto"/>
                      <w:sz w:val="21"/>
                      <w:szCs w:val="21"/>
                      <w:lang w:eastAsia="zh-CN"/>
                    </w:rPr>
                  </w:pPr>
                  <w:r>
                    <w:rPr>
                      <w:rFonts w:hint="eastAsia"/>
                      <w:b/>
                      <w:bCs/>
                      <w:color w:val="auto"/>
                      <w:sz w:val="21"/>
                      <w:szCs w:val="21"/>
                      <w:lang w:val="en-US" w:eastAsia="zh-CN"/>
                    </w:rPr>
                    <w:t>项目</w:t>
                  </w:r>
                </w:p>
              </w:tc>
              <w:tc>
                <w:tcPr>
                  <w:tcW w:w="2440" w:type="dxa"/>
                  <w:tcBorders>
                    <w:tl2br w:val="nil"/>
                    <w:tr2bl w:val="nil"/>
                  </w:tcBorders>
                  <w:noWrap w:val="0"/>
                  <w:vAlign w:val="center"/>
                </w:tcPr>
                <w:p>
                  <w:pPr>
                    <w:jc w:val="center"/>
                    <w:rPr>
                      <w:b/>
                      <w:bCs/>
                      <w:color w:val="auto"/>
                      <w:sz w:val="21"/>
                      <w:szCs w:val="21"/>
                    </w:rPr>
                  </w:pPr>
                  <w:r>
                    <w:rPr>
                      <w:rFonts w:hint="eastAsia"/>
                      <w:b/>
                      <w:bCs/>
                      <w:color w:val="auto"/>
                      <w:sz w:val="21"/>
                      <w:szCs w:val="21"/>
                    </w:rPr>
                    <w:t>占地面积</w:t>
                  </w:r>
                </w:p>
              </w:tc>
              <w:tc>
                <w:tcPr>
                  <w:tcW w:w="2354" w:type="dxa"/>
                  <w:tcBorders>
                    <w:tl2br w:val="nil"/>
                    <w:tr2bl w:val="nil"/>
                  </w:tcBorders>
                  <w:noWrap w:val="0"/>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8" w:type="dxa"/>
                  <w:gridSpan w:val="4"/>
                  <w:tcBorders>
                    <w:tl2br w:val="nil"/>
                    <w:tr2bl w:val="nil"/>
                  </w:tcBorders>
                  <w:noWrap w:val="0"/>
                  <w:vAlign w:val="center"/>
                </w:tcPr>
                <w:p>
                  <w:pPr>
                    <w:jc w:val="center"/>
                    <w:rPr>
                      <w:rFonts w:hint="eastAsia"/>
                      <w:b/>
                      <w:bCs/>
                      <w:color w:val="auto"/>
                      <w:sz w:val="21"/>
                      <w:szCs w:val="21"/>
                    </w:rPr>
                  </w:pPr>
                  <w:r>
                    <w:rPr>
                      <w:rFonts w:hint="eastAsia"/>
                      <w:b/>
                      <w:bCs/>
                      <w:color w:val="auto"/>
                      <w:sz w:val="21"/>
                      <w:szCs w:val="21"/>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color w:val="auto"/>
                      <w:sz w:val="21"/>
                      <w:szCs w:val="21"/>
                    </w:rPr>
                  </w:pPr>
                  <w:r>
                    <w:rPr>
                      <w:rFonts w:hint="eastAsia"/>
                      <w:color w:val="auto"/>
                      <w:sz w:val="21"/>
                      <w:szCs w:val="21"/>
                    </w:rPr>
                    <w:t>1</w:t>
                  </w:r>
                </w:p>
              </w:tc>
              <w:tc>
                <w:tcPr>
                  <w:tcW w:w="2140" w:type="dxa"/>
                  <w:vMerge w:val="restart"/>
                  <w:tcBorders>
                    <w:tl2br w:val="nil"/>
                    <w:tr2bl w:val="nil"/>
                  </w:tcBorders>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本项目</w:t>
                  </w:r>
                </w:p>
              </w:tc>
              <w:tc>
                <w:tcPr>
                  <w:tcW w:w="2440" w:type="dxa"/>
                  <w:tcBorders>
                    <w:tl2br w:val="nil"/>
                    <w:tr2bl w:val="nil"/>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17933</w:t>
                  </w:r>
                  <w:r>
                    <w:rPr>
                      <w:rFonts w:hint="eastAsia"/>
                      <w:color w:val="auto"/>
                      <w:sz w:val="21"/>
                      <w:szCs w:val="21"/>
                    </w:rPr>
                    <w:t>m</w:t>
                  </w:r>
                  <w:r>
                    <w:rPr>
                      <w:rFonts w:hint="eastAsia"/>
                      <w:color w:val="auto"/>
                      <w:sz w:val="21"/>
                      <w:szCs w:val="21"/>
                      <w:vertAlign w:val="superscript"/>
                    </w:rPr>
                    <w:t>2</w:t>
                  </w:r>
                </w:p>
              </w:tc>
              <w:tc>
                <w:tcPr>
                  <w:tcW w:w="2354" w:type="dxa"/>
                  <w:tcBorders>
                    <w:tl2br w:val="nil"/>
                    <w:tr2bl w:val="nil"/>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2</w:t>
                  </w:r>
                </w:p>
              </w:tc>
              <w:tc>
                <w:tcPr>
                  <w:tcW w:w="2140" w:type="dxa"/>
                  <w:vMerge w:val="continue"/>
                  <w:tcBorders>
                    <w:tl2br w:val="nil"/>
                    <w:tr2bl w:val="nil"/>
                  </w:tcBorders>
                  <w:noWrap w:val="0"/>
                  <w:vAlign w:val="center"/>
                </w:tcPr>
                <w:p>
                  <w:pPr>
                    <w:jc w:val="center"/>
                    <w:rPr>
                      <w:rFonts w:hint="eastAsia"/>
                      <w:color w:val="auto"/>
                      <w:sz w:val="21"/>
                      <w:szCs w:val="21"/>
                      <w:lang w:val="en-US" w:eastAsia="zh-CN"/>
                    </w:rPr>
                  </w:pPr>
                </w:p>
              </w:tc>
              <w:tc>
                <w:tcPr>
                  <w:tcW w:w="2440"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85699</w:t>
                  </w:r>
                  <w:r>
                    <w:rPr>
                      <w:rFonts w:hint="eastAsia"/>
                      <w:color w:val="auto"/>
                      <w:sz w:val="21"/>
                      <w:szCs w:val="21"/>
                    </w:rPr>
                    <w:t>m</w:t>
                  </w:r>
                  <w:r>
                    <w:rPr>
                      <w:rFonts w:hint="eastAsia"/>
                      <w:color w:val="auto"/>
                      <w:sz w:val="21"/>
                      <w:szCs w:val="21"/>
                      <w:vertAlign w:val="superscript"/>
                    </w:rPr>
                    <w:t>2</w:t>
                  </w:r>
                </w:p>
              </w:tc>
              <w:tc>
                <w:tcPr>
                  <w:tcW w:w="2354" w:type="dxa"/>
                  <w:tcBorders>
                    <w:tl2br w:val="nil"/>
                    <w:tr2bl w:val="nil"/>
                  </w:tcBorders>
                  <w:noWrap w:val="0"/>
                  <w:vAlign w:val="center"/>
                </w:tcPr>
                <w:p>
                  <w:pPr>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3</w:t>
                  </w:r>
                </w:p>
              </w:tc>
              <w:tc>
                <w:tcPr>
                  <w:tcW w:w="2140" w:type="dxa"/>
                  <w:vMerge w:val="continue"/>
                  <w:tcBorders>
                    <w:tl2br w:val="nil"/>
                    <w:tr2bl w:val="nil"/>
                  </w:tcBorders>
                  <w:noWrap w:val="0"/>
                  <w:vAlign w:val="center"/>
                </w:tcPr>
                <w:p>
                  <w:pPr>
                    <w:jc w:val="center"/>
                    <w:rPr>
                      <w:rFonts w:hint="default"/>
                      <w:color w:val="auto"/>
                      <w:sz w:val="21"/>
                      <w:szCs w:val="21"/>
                      <w:lang w:val="en-US" w:eastAsia="zh-CN"/>
                    </w:rPr>
                  </w:pPr>
                </w:p>
              </w:tc>
              <w:tc>
                <w:tcPr>
                  <w:tcW w:w="2440" w:type="dxa"/>
                  <w:tcBorders>
                    <w:tl2br w:val="nil"/>
                    <w:tr2bl w:val="nil"/>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140002.63</w:t>
                  </w:r>
                  <w:r>
                    <w:rPr>
                      <w:rFonts w:hint="eastAsia"/>
                      <w:color w:val="auto"/>
                      <w:sz w:val="21"/>
                      <w:szCs w:val="21"/>
                    </w:rPr>
                    <w:t>m</w:t>
                  </w:r>
                  <w:r>
                    <w:rPr>
                      <w:rFonts w:hint="eastAsia"/>
                      <w:color w:val="auto"/>
                      <w:sz w:val="21"/>
                      <w:szCs w:val="21"/>
                      <w:vertAlign w:val="superscript"/>
                    </w:rPr>
                    <w:t>2</w:t>
                  </w:r>
                </w:p>
              </w:tc>
              <w:tc>
                <w:tcPr>
                  <w:tcW w:w="2354" w:type="dxa"/>
                  <w:tcBorders>
                    <w:tl2br w:val="nil"/>
                    <w:tr2bl w:val="nil"/>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其他农用地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8" w:type="dxa"/>
                  <w:gridSpan w:val="4"/>
                  <w:tcBorders>
                    <w:tl2br w:val="nil"/>
                    <w:tr2bl w:val="nil"/>
                  </w:tcBorders>
                  <w:noWrap w:val="0"/>
                  <w:vAlign w:val="center"/>
                </w:tcPr>
                <w:p>
                  <w:pPr>
                    <w:jc w:val="center"/>
                    <w:rPr>
                      <w:rFonts w:hint="eastAsia" w:eastAsia="宋体"/>
                      <w:b/>
                      <w:bCs/>
                      <w:color w:val="auto"/>
                      <w:sz w:val="21"/>
                      <w:szCs w:val="21"/>
                      <w:lang w:eastAsia="zh-CN"/>
                    </w:rPr>
                  </w:pPr>
                  <w:r>
                    <w:rPr>
                      <w:rFonts w:hint="eastAsia"/>
                      <w:b/>
                      <w:bCs/>
                      <w:color w:val="auto"/>
                      <w:sz w:val="21"/>
                      <w:szCs w:val="21"/>
                    </w:rPr>
                    <w:t>临时占地</w:t>
                  </w:r>
                  <w:r>
                    <w:rPr>
                      <w:rFonts w:hint="eastAsia"/>
                      <w:b/>
                      <w:bCs/>
                      <w:color w:val="auto"/>
                      <w:sz w:val="21"/>
                      <w:szCs w:val="21"/>
                      <w:lang w:eastAsia="zh-CN"/>
                    </w:rPr>
                    <w:t>（</w:t>
                  </w:r>
                  <w:r>
                    <w:rPr>
                      <w:rFonts w:hint="eastAsia"/>
                      <w:b/>
                      <w:bCs/>
                      <w:color w:val="auto"/>
                      <w:sz w:val="21"/>
                      <w:szCs w:val="21"/>
                      <w:lang w:val="en-US" w:eastAsia="zh-CN"/>
                    </w:rPr>
                    <w:t>用地范围内</w:t>
                  </w:r>
                  <w:r>
                    <w:rPr>
                      <w:rFonts w:hint="eastAsia"/>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color w:val="auto"/>
                      <w:sz w:val="21"/>
                      <w:szCs w:val="21"/>
                    </w:rPr>
                  </w:pPr>
                  <w:r>
                    <w:rPr>
                      <w:rFonts w:hint="eastAsia"/>
                      <w:color w:val="auto"/>
                      <w:sz w:val="21"/>
                      <w:szCs w:val="21"/>
                    </w:rPr>
                    <w:t>1</w:t>
                  </w:r>
                </w:p>
              </w:tc>
              <w:tc>
                <w:tcPr>
                  <w:tcW w:w="2140" w:type="dxa"/>
                  <w:tcBorders>
                    <w:tl2br w:val="nil"/>
                    <w:tr2bl w:val="nil"/>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施工场地</w:t>
                  </w:r>
                </w:p>
              </w:tc>
              <w:tc>
                <w:tcPr>
                  <w:tcW w:w="2440" w:type="dxa"/>
                  <w:tcBorders>
                    <w:tl2br w:val="nil"/>
                    <w:tr2bl w:val="nil"/>
                  </w:tcBorders>
                  <w:noWrap w:val="0"/>
                  <w:vAlign w:val="center"/>
                </w:tcPr>
                <w:p>
                  <w:pPr>
                    <w:jc w:val="center"/>
                    <w:rPr>
                      <w:color w:val="auto"/>
                      <w:sz w:val="21"/>
                      <w:szCs w:val="21"/>
                    </w:rPr>
                  </w:pPr>
                  <w:r>
                    <w:rPr>
                      <w:rFonts w:hint="eastAsia"/>
                      <w:color w:val="auto"/>
                      <w:sz w:val="21"/>
                      <w:szCs w:val="21"/>
                      <w:lang w:val="en-US" w:eastAsia="zh-CN"/>
                    </w:rPr>
                    <w:t>100</w:t>
                  </w:r>
                  <w:r>
                    <w:rPr>
                      <w:rFonts w:hint="eastAsia"/>
                      <w:color w:val="auto"/>
                      <w:sz w:val="21"/>
                      <w:szCs w:val="21"/>
                    </w:rPr>
                    <w:t>0m</w:t>
                  </w:r>
                  <w:r>
                    <w:rPr>
                      <w:rFonts w:hint="eastAsia"/>
                      <w:color w:val="auto"/>
                      <w:sz w:val="21"/>
                      <w:szCs w:val="21"/>
                      <w:vertAlign w:val="superscript"/>
                    </w:rPr>
                    <w:t>2</w:t>
                  </w:r>
                </w:p>
              </w:tc>
              <w:tc>
                <w:tcPr>
                  <w:tcW w:w="2354" w:type="dxa"/>
                  <w:tcBorders>
                    <w:tl2br w:val="nil"/>
                    <w:tr2bl w:val="nil"/>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其他农用地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jc w:val="center"/>
                    <w:rPr>
                      <w:color w:val="auto"/>
                      <w:sz w:val="21"/>
                      <w:szCs w:val="21"/>
                    </w:rPr>
                  </w:pPr>
                  <w:r>
                    <w:rPr>
                      <w:rFonts w:hint="eastAsia"/>
                      <w:color w:val="auto"/>
                      <w:sz w:val="21"/>
                      <w:szCs w:val="21"/>
                    </w:rPr>
                    <w:t>2</w:t>
                  </w:r>
                </w:p>
              </w:tc>
              <w:tc>
                <w:tcPr>
                  <w:tcW w:w="2140" w:type="dxa"/>
                  <w:tcBorders>
                    <w:tl2br w:val="nil"/>
                    <w:tr2bl w:val="nil"/>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临时堆土场</w:t>
                  </w:r>
                </w:p>
              </w:tc>
              <w:tc>
                <w:tcPr>
                  <w:tcW w:w="2440" w:type="dxa"/>
                  <w:tcBorders>
                    <w:tl2br w:val="nil"/>
                    <w:tr2bl w:val="nil"/>
                  </w:tcBorders>
                  <w:noWrap w:val="0"/>
                  <w:vAlign w:val="center"/>
                </w:tcPr>
                <w:p>
                  <w:pPr>
                    <w:jc w:val="center"/>
                    <w:rPr>
                      <w:color w:val="auto"/>
                      <w:sz w:val="21"/>
                      <w:szCs w:val="21"/>
                    </w:rPr>
                  </w:pPr>
                  <w:r>
                    <w:rPr>
                      <w:rFonts w:hint="eastAsia"/>
                      <w:color w:val="auto"/>
                      <w:sz w:val="21"/>
                      <w:szCs w:val="21"/>
                      <w:lang w:val="en-US" w:eastAsia="zh-CN"/>
                    </w:rPr>
                    <w:t>8</w:t>
                  </w:r>
                  <w:r>
                    <w:rPr>
                      <w:rFonts w:hint="eastAsia"/>
                      <w:color w:val="auto"/>
                      <w:sz w:val="21"/>
                      <w:szCs w:val="21"/>
                    </w:rPr>
                    <w:t>00m</w:t>
                  </w:r>
                  <w:r>
                    <w:rPr>
                      <w:rFonts w:hint="eastAsia"/>
                      <w:color w:val="auto"/>
                      <w:sz w:val="21"/>
                      <w:szCs w:val="21"/>
                      <w:vertAlign w:val="superscript"/>
                    </w:rPr>
                    <w:t>2</w:t>
                  </w:r>
                </w:p>
              </w:tc>
              <w:tc>
                <w:tcPr>
                  <w:tcW w:w="2354" w:type="dxa"/>
                  <w:tcBorders>
                    <w:tl2br w:val="nil"/>
                    <w:tr2bl w:val="nil"/>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其他农用地</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390" w:type="dxa"/>
            <w:noWrap w:val="0"/>
            <w:vAlign w:val="center"/>
          </w:tcPr>
          <w:p>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cs="宋体"/>
                <w:sz w:val="24"/>
                <w:szCs w:val="24"/>
              </w:rPr>
            </w:pPr>
            <w:r>
              <w:rPr>
                <w:rFonts w:hint="eastAsia" w:cs="宋体"/>
                <w:sz w:val="24"/>
                <w:szCs w:val="24"/>
              </w:rPr>
              <w:t>工艺流程和产排污环节</w:t>
            </w:r>
          </w:p>
        </w:tc>
        <w:tc>
          <w:tcPr>
            <w:tcW w:w="8594"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1、</w:t>
            </w:r>
            <w:r>
              <w:rPr>
                <w:rFonts w:hint="default" w:ascii="Times New Roman" w:hAnsi="Times New Roman" w:cs="Times New Roman"/>
                <w:b/>
                <w:bCs w:val="0"/>
                <w:sz w:val="24"/>
                <w:szCs w:val="24"/>
                <w:lang w:val="en-US" w:eastAsia="zh-CN"/>
              </w:rPr>
              <w:t>施工期工艺流程及产污环</w:t>
            </w:r>
            <w:r>
              <w:rPr>
                <w:rFonts w:hint="eastAsia" w:ascii="Times New Roman" w:hAnsi="Times New Roman" w:cs="Times New Roman"/>
                <w:b/>
                <w:bCs w:val="0"/>
                <w:sz w:val="24"/>
                <w:szCs w:val="24"/>
                <w:lang w:val="en-US" w:eastAsia="zh-CN"/>
              </w:rPr>
              <w:t>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（1）学校主体工程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1）工艺流程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kern w:val="0"/>
                <w:sz w:val="24"/>
                <w:szCs w:val="24"/>
                <w:lang w:eastAsia="zh-CN"/>
              </w:rPr>
            </w:pPr>
            <w:r>
              <w:rPr>
                <w:rFonts w:hint="eastAsia" w:ascii="宋体" w:hAnsi="宋体"/>
                <w:kern w:val="0"/>
                <w:sz w:val="24"/>
                <w:szCs w:val="24"/>
              </w:rPr>
              <w:t>本项目</w:t>
            </w:r>
            <w:r>
              <w:rPr>
                <w:rFonts w:hint="eastAsia" w:ascii="宋体" w:hAnsi="宋体"/>
                <w:kern w:val="0"/>
                <w:sz w:val="24"/>
                <w:szCs w:val="24"/>
                <w:lang w:val="en-US" w:eastAsia="zh-CN"/>
              </w:rPr>
              <w:t>学校主体</w:t>
            </w:r>
            <w:r>
              <w:rPr>
                <w:rFonts w:hint="eastAsia" w:ascii="宋体" w:hAnsi="宋体"/>
                <w:kern w:val="0"/>
                <w:sz w:val="24"/>
                <w:szCs w:val="24"/>
              </w:rPr>
              <w:t>工程主要为</w:t>
            </w:r>
            <w:r>
              <w:rPr>
                <w:rFonts w:hint="default" w:ascii="Times New Roman" w:hAnsi="Times New Roman" w:eastAsia="宋体" w:cs="Times New Roman"/>
                <w:sz w:val="24"/>
                <w:szCs w:val="24"/>
                <w:lang w:val="en-US" w:eastAsia="zh-CN"/>
              </w:rPr>
              <w:t>实训教学楼、综合教学楼、实训中心、博物馆、运动场地、食堂及学生活动中心、学生宿舍</w:t>
            </w:r>
            <w:r>
              <w:rPr>
                <w:rFonts w:hint="eastAsia" w:ascii="Times New Roman" w:hAnsi="Times New Roman" w:eastAsia="宋体" w:cs="Times New Roman"/>
                <w:sz w:val="24"/>
                <w:szCs w:val="24"/>
                <w:lang w:val="en-US" w:eastAsia="zh-CN"/>
              </w:rPr>
              <w:t>等</w:t>
            </w:r>
            <w:r>
              <w:rPr>
                <w:rFonts w:hint="eastAsia" w:ascii="宋体" w:hAnsi="宋体"/>
                <w:kern w:val="0"/>
                <w:sz w:val="24"/>
                <w:szCs w:val="24"/>
              </w:rPr>
              <w:t>建设。主要包含基础施工、主体工程建设、装饰工程、设备安装等</w:t>
            </w:r>
            <w:r>
              <w:rPr>
                <w:rFonts w:hint="eastAsia" w:ascii="宋体" w:hAnsi="宋体"/>
                <w:kern w:val="0"/>
                <w:sz w:val="24"/>
                <w:szCs w:val="24"/>
                <w:lang w:eastAsia="zh-CN"/>
              </w:rPr>
              <w:t>。</w:t>
            </w:r>
            <w:r>
              <w:rPr>
                <w:rFonts w:hint="eastAsia" w:ascii="宋体" w:hAnsi="宋体"/>
                <w:kern w:val="0"/>
                <w:sz w:val="24"/>
                <w:szCs w:val="24"/>
              </w:rPr>
              <w:t>其主要的环境影响为施工扬尘、噪声、施工废水、建筑垃圾等</w:t>
            </w:r>
            <w:r>
              <w:rPr>
                <w:rFonts w:hint="eastAsia" w:ascii="宋体" w:hAnsi="宋体"/>
                <w:kern w:val="0"/>
                <w:sz w:val="24"/>
                <w:szCs w:val="24"/>
                <w:lang w:eastAsia="zh-CN"/>
              </w:rPr>
              <w:t>，</w:t>
            </w:r>
            <w:r>
              <w:rPr>
                <w:rFonts w:hint="eastAsia" w:ascii="宋体" w:hAnsi="宋体"/>
                <w:kern w:val="0"/>
                <w:sz w:val="24"/>
                <w:szCs w:val="24"/>
                <w:lang w:val="en-US" w:eastAsia="zh-CN"/>
              </w:rPr>
              <w:t>其</w:t>
            </w:r>
            <w:r>
              <w:rPr>
                <w:rFonts w:hint="default" w:ascii="Times New Roman" w:hAnsi="Times New Roman" w:cs="Times New Roman"/>
                <w:color w:val="auto"/>
                <w:sz w:val="24"/>
                <w:szCs w:val="24"/>
                <w:highlight w:val="none"/>
              </w:rPr>
              <w:t>排放量随工期和施工强度不同而有所变化</w:t>
            </w:r>
            <w:r>
              <w:rPr>
                <w:rFonts w:hint="eastAsia" w:ascii="宋体" w:hAnsi="宋体"/>
                <w:kern w:val="0"/>
                <w:sz w:val="24"/>
                <w:szCs w:val="24"/>
              </w:rPr>
              <w:t>。施工期生产工艺流程及产污流程见下图</w:t>
            </w:r>
            <w:r>
              <w:rPr>
                <w:rFonts w:hint="eastAsia" w:ascii="宋体" w:hAnsi="宋体"/>
                <w:kern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cs="Times New Roman"/>
              </w:rPr>
              <w:object>
                <v:shape id="_x0000_i1025" o:spt="75" type="#_x0000_t75" style="height:228.05pt;width:392.05pt;" o:ole="t" filled="f" stroked="f" coordsize="21600,21600">
                  <v:path/>
                  <v:fill on="f" focussize="0,0"/>
                  <v:stroke on="f"/>
                  <v:imagedata r:id="rId23" o:title=""/>
                  <o:lock v:ext="edit" aspectratio="t"/>
                  <w10:wrap type="none"/>
                  <w10:anchorlock/>
                </v:shape>
                <o:OLEObject Type="Embed" ProgID="Visio.Drawing.15" ShapeID="_x0000_i1025" DrawAspect="Content" ObjectID="_1468075725" r:id="rId22">
                  <o:LockedField>false</o:LockedField>
                </o:OLEObject>
              </w:object>
            </w:r>
          </w:p>
          <w:p>
            <w:pPr>
              <w:pageBreakBefore w:val="0"/>
              <w:kinsoku/>
              <w:wordWrap/>
              <w:bidi w:val="0"/>
              <w:spacing w:line="360" w:lineRule="auto"/>
              <w:ind w:right="0"/>
              <w:jc w:val="center"/>
              <w:rPr>
                <w:rFonts w:hint="default" w:ascii="Times New Roman" w:hAnsi="Times New Roman" w:eastAsia="黑体" w:cs="Times New Roman"/>
                <w:b w:val="0"/>
                <w:bCs w:val="0"/>
                <w:color w:val="auto"/>
                <w:kern w:val="0"/>
                <w:sz w:val="21"/>
                <w:szCs w:val="21"/>
                <w:lang w:val="en-US" w:eastAsia="zh-CN" w:bidi="ar"/>
              </w:rPr>
            </w:pPr>
            <w:r>
              <w:rPr>
                <w:rFonts w:hint="default" w:ascii="Times New Roman" w:hAnsi="Times New Roman" w:eastAsia="黑体" w:cs="Times New Roman"/>
                <w:b w:val="0"/>
                <w:bCs w:val="0"/>
                <w:color w:val="auto"/>
                <w:kern w:val="0"/>
                <w:sz w:val="21"/>
                <w:szCs w:val="21"/>
                <w:lang w:val="en-US" w:eastAsia="zh-CN" w:bidi="ar"/>
              </w:rPr>
              <w:t>图2-</w:t>
            </w:r>
            <w:r>
              <w:rPr>
                <w:rFonts w:hint="eastAsia" w:ascii="Times New Roman" w:hAnsi="Times New Roman" w:eastAsia="黑体" w:cs="Times New Roman"/>
                <w:b w:val="0"/>
                <w:bCs w:val="0"/>
                <w:color w:val="auto"/>
                <w:kern w:val="0"/>
                <w:sz w:val="21"/>
                <w:szCs w:val="21"/>
                <w:lang w:val="en-US" w:eastAsia="zh-CN" w:bidi="ar"/>
              </w:rPr>
              <w:t>11</w:t>
            </w:r>
            <w:r>
              <w:rPr>
                <w:rFonts w:hint="default" w:ascii="Times New Roman" w:hAnsi="Times New Roman" w:eastAsia="黑体" w:cs="Times New Roman"/>
                <w:b w:val="0"/>
                <w:bCs w:val="0"/>
                <w:color w:val="auto"/>
                <w:kern w:val="0"/>
                <w:sz w:val="21"/>
                <w:szCs w:val="21"/>
                <w:lang w:val="en-US" w:eastAsia="zh-CN" w:bidi="ar"/>
              </w:rPr>
              <w:t xml:space="preserve"> 项目</w:t>
            </w:r>
            <w:r>
              <w:rPr>
                <w:rFonts w:hint="eastAsia" w:ascii="Times New Roman" w:hAnsi="Times New Roman" w:eastAsia="黑体" w:cs="Times New Roman"/>
                <w:b w:val="0"/>
                <w:bCs w:val="0"/>
                <w:color w:val="auto"/>
                <w:kern w:val="0"/>
                <w:sz w:val="21"/>
                <w:szCs w:val="21"/>
                <w:lang w:val="en-US" w:eastAsia="zh-CN" w:bidi="ar"/>
              </w:rPr>
              <w:t>学校主体工程</w:t>
            </w:r>
            <w:r>
              <w:rPr>
                <w:rFonts w:hint="default" w:ascii="Times New Roman" w:hAnsi="Times New Roman" w:eastAsia="黑体" w:cs="Times New Roman"/>
                <w:b w:val="0"/>
                <w:bCs w:val="0"/>
                <w:color w:val="auto"/>
                <w:kern w:val="0"/>
                <w:sz w:val="21"/>
                <w:szCs w:val="21"/>
                <w:lang w:val="en-US" w:eastAsia="zh-CN" w:bidi="ar"/>
              </w:rPr>
              <w:t>施工期工艺流程及产污位置示意图</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主要工序简述：</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①</w:t>
            </w:r>
            <w:r>
              <w:rPr>
                <w:rFonts w:hint="default" w:ascii="Times New Roman" w:hAnsi="Times New Roman" w:cs="Times New Roman"/>
                <w:b/>
                <w:color w:val="auto"/>
                <w:sz w:val="24"/>
                <w:szCs w:val="24"/>
                <w:highlight w:val="none"/>
              </w:rPr>
              <w:t>基础工程</w:t>
            </w:r>
          </w:p>
          <w:p>
            <w:pPr>
              <w:pageBreakBefore w:val="0"/>
              <w:kinsoku/>
              <w:wordWrap/>
              <w:bidi w:val="0"/>
              <w:spacing w:line="360" w:lineRule="auto"/>
              <w:ind w:left="0" w:leftChars="0" w:right="0" w:firstLine="480" w:firstLineChars="200"/>
              <w:rPr>
                <w:rFonts w:hint="default" w:ascii="Times New Roman" w:hAnsi="Times New Roman" w:cs="Times New Roman"/>
                <w:sz w:val="24"/>
              </w:rPr>
            </w:pPr>
            <w:r>
              <w:rPr>
                <w:rFonts w:hint="default" w:ascii="Times New Roman" w:hAnsi="Times New Roman" w:cs="Times New Roman"/>
                <w:color w:val="auto"/>
                <w:sz w:val="24"/>
                <w:szCs w:val="24"/>
                <w:highlight w:val="none"/>
              </w:rPr>
              <w:t>在基础开挖、地基处理与基础施工时，由于挖土机、运土卡车等施工机械的运行，将产生一定的噪声；</w:t>
            </w:r>
            <w:r>
              <w:rPr>
                <w:rFonts w:hint="default" w:ascii="Times New Roman" w:hAnsi="Times New Roman" w:cs="Times New Roman"/>
                <w:bCs/>
                <w:sz w:val="24"/>
              </w:rPr>
              <w:t>同时产生扬尘，属无组织面源排放，源强不易确定；基础开挖引起原有土地利用类型的改变，会造成生态变化并引起一定程度的水土流失。同时产生施工人员生活废水和生活垃圾。</w:t>
            </w:r>
          </w:p>
          <w:p>
            <w:pPr>
              <w:pageBreakBefore w:val="0"/>
              <w:kinsoku/>
              <w:wordWrap/>
              <w:bidi w:val="0"/>
              <w:spacing w:line="360" w:lineRule="auto"/>
              <w:ind w:left="0" w:leftChars="0" w:right="0" w:firstLine="482" w:firstLineChars="200"/>
              <w:rPr>
                <w:rFonts w:hint="default" w:ascii="Times New Roman" w:hAnsi="Times New Roman" w:cs="Times New Roman"/>
                <w:color w:val="auto"/>
                <w:sz w:val="24"/>
                <w:szCs w:val="24"/>
                <w:highlight w:val="none"/>
              </w:rPr>
            </w:pPr>
            <w:r>
              <w:rPr>
                <w:rFonts w:hint="eastAsia" w:ascii="Times New Roman" w:hAnsi="Times New Roman" w:cs="Times New Roman"/>
                <w:b/>
                <w:color w:val="auto"/>
                <w:sz w:val="24"/>
                <w:szCs w:val="24"/>
                <w:highlight w:val="none"/>
                <w:lang w:val="en-US" w:eastAsia="zh-CN"/>
              </w:rPr>
              <w:t>②</w:t>
            </w:r>
            <w:r>
              <w:rPr>
                <w:rFonts w:hint="default" w:ascii="Times New Roman" w:hAnsi="Times New Roman" w:cs="Times New Roman"/>
                <w:b/>
                <w:color w:val="auto"/>
                <w:sz w:val="24"/>
                <w:szCs w:val="24"/>
                <w:highlight w:val="none"/>
              </w:rPr>
              <w:t>主体工程</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主体施工时，挖掘机、打夯机、装载汽车等运行时会产生噪声，同时产生扬尘。此外，还有一些原材料废弃料以及生产和生活污水产生。</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③</w:t>
            </w:r>
            <w:r>
              <w:rPr>
                <w:rFonts w:hint="default" w:ascii="Times New Roman" w:hAnsi="Times New Roman" w:cs="Times New Roman"/>
                <w:b/>
                <w:color w:val="auto"/>
                <w:sz w:val="24"/>
                <w:szCs w:val="24"/>
                <w:highlight w:val="none"/>
              </w:rPr>
              <w:t>装饰工程</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在对构筑物的室内外进行装修时（如表面粉刷、喷涂、裱糊等），钻机、电锤等产生噪声，涂料产生废气、废弃物料及污水。</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④</w:t>
            </w:r>
            <w:r>
              <w:rPr>
                <w:rFonts w:hint="default" w:ascii="Times New Roman" w:hAnsi="Times New Roman" w:cs="Times New Roman"/>
                <w:b/>
                <w:color w:val="auto"/>
                <w:sz w:val="24"/>
                <w:szCs w:val="24"/>
                <w:highlight w:val="none"/>
              </w:rPr>
              <w:t>设备安装</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color w:val="auto"/>
                <w:sz w:val="24"/>
                <w:szCs w:val="24"/>
                <w:highlight w:val="none"/>
              </w:rPr>
              <w:t>主要包括</w:t>
            </w:r>
            <w:r>
              <w:rPr>
                <w:rFonts w:hint="eastAsia" w:ascii="Times New Roman" w:hAnsi="Times New Roman" w:cs="Times New Roman"/>
                <w:color w:val="auto"/>
                <w:sz w:val="24"/>
                <w:szCs w:val="24"/>
                <w:highlight w:val="none"/>
                <w:lang w:val="en-US" w:eastAsia="zh-CN"/>
              </w:rPr>
              <w:t>学校教学设备、实验设备</w:t>
            </w:r>
            <w:r>
              <w:rPr>
                <w:rFonts w:hint="default" w:ascii="Times New Roman" w:hAnsi="Times New Roman" w:cs="Times New Roman"/>
                <w:color w:val="auto"/>
                <w:sz w:val="24"/>
                <w:szCs w:val="24"/>
                <w:highlight w:val="none"/>
              </w:rPr>
              <w:t>以及配套环保设施设备安装</w:t>
            </w:r>
            <w:r>
              <w:rPr>
                <w:rFonts w:hint="default" w:ascii="Times New Roman" w:hAnsi="Times New Roman" w:cs="Times New Roman"/>
                <w:sz w:val="24"/>
              </w:rPr>
              <w:t>，其主要废物为废包装材料、设备安装及调试噪声。</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⑤</w:t>
            </w:r>
            <w:r>
              <w:rPr>
                <w:rFonts w:hint="default" w:ascii="Times New Roman" w:hAnsi="Times New Roman" w:cs="Times New Roman"/>
                <w:b/>
                <w:bCs/>
                <w:sz w:val="24"/>
                <w:szCs w:val="24"/>
                <w:lang w:val="en-US" w:eastAsia="zh-CN"/>
              </w:rPr>
              <w:t>工程验收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sz w:val="24"/>
                <w:szCs w:val="24"/>
                <w:lang w:val="en-US" w:eastAsia="zh-CN"/>
              </w:rPr>
            </w:pPr>
            <w:r>
              <w:rPr>
                <w:rFonts w:hint="default" w:ascii="Times New Roman" w:hAnsi="Times New Roman" w:cs="Times New Roman"/>
                <w:kern w:val="0"/>
                <w:sz w:val="24"/>
                <w:szCs w:val="24"/>
              </w:rPr>
              <w:t>主体工程、设备安装完成后，进入工程验收阶段，由专业的</w:t>
            </w:r>
            <w:r>
              <w:rPr>
                <w:rFonts w:hint="eastAsia" w:ascii="Times New Roman" w:hAnsi="Times New Roman" w:cs="Times New Roman"/>
                <w:kern w:val="0"/>
                <w:sz w:val="24"/>
                <w:szCs w:val="24"/>
                <w:lang w:val="en-US" w:eastAsia="zh-CN"/>
              </w:rPr>
              <w:t>机构</w:t>
            </w:r>
            <w:r>
              <w:rPr>
                <w:rFonts w:hint="default" w:ascii="Times New Roman" w:hAnsi="Times New Roman" w:cs="Times New Roman"/>
                <w:kern w:val="0"/>
                <w:sz w:val="24"/>
                <w:szCs w:val="24"/>
              </w:rPr>
              <w:t>对</w:t>
            </w:r>
            <w:r>
              <w:rPr>
                <w:rFonts w:hint="eastAsia" w:ascii="Times New Roman" w:hAnsi="Times New Roman" w:cs="Times New Roman"/>
                <w:kern w:val="0"/>
                <w:sz w:val="24"/>
                <w:szCs w:val="24"/>
                <w:lang w:val="en-US" w:eastAsia="zh-CN"/>
              </w:rPr>
              <w:t>学校</w:t>
            </w:r>
            <w:r>
              <w:rPr>
                <w:rFonts w:hint="default" w:ascii="Times New Roman" w:hAnsi="Times New Roman" w:cs="Times New Roman"/>
                <w:kern w:val="0"/>
                <w:sz w:val="24"/>
                <w:szCs w:val="24"/>
              </w:rPr>
              <w:t>各方面建设内容进行验收。验收合格后交付建设单位。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2）产污环节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①废气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color w:val="00B050"/>
                <w:sz w:val="24"/>
                <w:szCs w:val="24"/>
              </w:rPr>
            </w:pPr>
            <w:r>
              <w:rPr>
                <w:rFonts w:hint="eastAsia" w:ascii="宋体" w:hAnsi="宋体" w:eastAsia="宋体" w:cs="宋体"/>
                <w:b w:val="0"/>
                <w:bCs w:val="0"/>
                <w:color w:val="auto"/>
                <w:kern w:val="0"/>
                <w:sz w:val="24"/>
                <w:szCs w:val="24"/>
                <w:lang w:val="en-US" w:eastAsia="zh-CN" w:bidi="ar"/>
              </w:rPr>
              <w:t>本项目施工期大气污染物主要来自建设期间施工扬尘、机械尾气、装修废气。</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②废水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本项目施工期废水主要来自于施工人员产生的生活污水、施工作业产生的施工废水、车辆冲洗废水。</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③噪声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本项目施工期噪声来源于施工机械设备噪声、施工运输车辆噪声、施工人员活动噪声。</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④固废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本项目施工期间产生的固体废物主要有土方开挖产生的弃土、工程装修期间产生的建筑垃圾、施工人员产生的生活垃圾。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val="en-US" w:eastAsia="zh-CN" w:bidi="ar"/>
              </w:rPr>
              <w:t>校内桥梁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1）工艺流程</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本项目设置</w:t>
            </w:r>
            <w:r>
              <w:rPr>
                <w:rFonts w:hint="eastAsia" w:ascii="Times New Roman" w:hAnsi="Times New Roman" w:eastAsia="宋体" w:cs="Times New Roman"/>
                <w:sz w:val="26"/>
                <w:szCs w:val="28"/>
                <w:lang w:val="en-US" w:eastAsia="zh-CN"/>
              </w:rPr>
              <w:t>两座跨子槽沟桥梁，连接校外6号路。均未在河中设墩，未侵占百年一遇设计洪水行洪断面。施工期生产工艺流程及产污流程见下图。</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rPr>
                <w:rFonts w:ascii="宋体" w:hAnsi="宋体" w:eastAsia="宋体" w:cs="宋体"/>
                <w:kern w:val="0"/>
                <w:sz w:val="24"/>
                <w:szCs w:val="24"/>
                <w:lang w:val="en-US" w:eastAsia="zh-CN" w:bidi="ar"/>
              </w:rPr>
              <w:drawing>
                <wp:inline distT="0" distB="0" distL="114300" distR="114300">
                  <wp:extent cx="5311775" cy="1008380"/>
                  <wp:effectExtent l="0" t="0" r="3175" b="1270"/>
                  <wp:docPr id="20"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descr="IMG_256"/>
                          <pic:cNvPicPr>
                            <a:picLocks noChangeAspect="1"/>
                          </pic:cNvPicPr>
                        </pic:nvPicPr>
                        <pic:blipFill>
                          <a:blip r:embed="rId24"/>
                          <a:stretch>
                            <a:fillRect/>
                          </a:stretch>
                        </pic:blipFill>
                        <pic:spPr>
                          <a:xfrm>
                            <a:off x="0" y="0"/>
                            <a:ext cx="5311775" cy="10083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color w:val="auto"/>
                <w:kern w:val="0"/>
                <w:sz w:val="24"/>
                <w:szCs w:val="24"/>
                <w:lang w:val="en-US" w:eastAsia="zh-CN" w:bidi="ar"/>
              </w:rPr>
            </w:pPr>
            <w:r>
              <w:rPr>
                <w:rFonts w:hint="default" w:ascii="Times New Roman" w:hAnsi="Times New Roman" w:eastAsia="黑体" w:cs="Times New Roman"/>
                <w:b w:val="0"/>
                <w:bCs w:val="0"/>
                <w:color w:val="auto"/>
                <w:kern w:val="0"/>
                <w:sz w:val="21"/>
                <w:szCs w:val="21"/>
                <w:lang w:val="en-US" w:eastAsia="zh-CN" w:bidi="ar"/>
              </w:rPr>
              <w:t>图2-</w:t>
            </w:r>
            <w:r>
              <w:rPr>
                <w:rFonts w:hint="eastAsia" w:ascii="Times New Roman" w:hAnsi="Times New Roman" w:eastAsia="黑体" w:cs="Times New Roman"/>
                <w:b w:val="0"/>
                <w:bCs w:val="0"/>
                <w:color w:val="auto"/>
                <w:kern w:val="0"/>
                <w:sz w:val="21"/>
                <w:szCs w:val="21"/>
                <w:lang w:val="en-US" w:eastAsia="zh-CN" w:bidi="ar"/>
              </w:rPr>
              <w:t>12</w:t>
            </w:r>
            <w:r>
              <w:rPr>
                <w:rFonts w:hint="default" w:ascii="Times New Roman" w:hAnsi="Times New Roman" w:eastAsia="黑体" w:cs="Times New Roman"/>
                <w:b w:val="0"/>
                <w:bCs w:val="0"/>
                <w:color w:val="auto"/>
                <w:kern w:val="0"/>
                <w:sz w:val="21"/>
                <w:szCs w:val="21"/>
                <w:lang w:val="en-US" w:eastAsia="zh-CN" w:bidi="ar"/>
              </w:rPr>
              <w:t xml:space="preserve"> 项目</w:t>
            </w:r>
            <w:r>
              <w:rPr>
                <w:rFonts w:hint="eastAsia" w:ascii="Times New Roman" w:hAnsi="Times New Roman" w:eastAsia="黑体" w:cs="Times New Roman"/>
                <w:b w:val="0"/>
                <w:bCs w:val="0"/>
                <w:color w:val="auto"/>
                <w:kern w:val="0"/>
                <w:sz w:val="21"/>
                <w:szCs w:val="21"/>
                <w:lang w:val="en-US" w:eastAsia="zh-CN" w:bidi="ar"/>
              </w:rPr>
              <w:t>校内桥梁</w:t>
            </w:r>
            <w:r>
              <w:rPr>
                <w:rFonts w:hint="default" w:ascii="Times New Roman" w:hAnsi="Times New Roman" w:eastAsia="黑体" w:cs="Times New Roman"/>
                <w:b w:val="0"/>
                <w:bCs w:val="0"/>
                <w:color w:val="auto"/>
                <w:kern w:val="0"/>
                <w:sz w:val="21"/>
                <w:szCs w:val="21"/>
                <w:lang w:val="en-US" w:eastAsia="zh-CN" w:bidi="ar"/>
              </w:rPr>
              <w:t>施工期工艺流程及产污位置示意图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主要工艺简述：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rPr>
              <w:t>支架基础施工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用挖掘机破除岩体挖除钢管柱所需的平台和基坑，在平台及基坑内浇筑C30砼并安装钢管柱所需的预埋件。</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rPr>
              <w:t>支架施工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拱圈现浇连箱梁支架保证行洪道正常泄洪，采用支架形式（从下至上）：混凝土基础+钢管柱+工字钢+贝雷粱+14*14方木+底托+碗扣式支架+顶托+主楞（双支钢管）+方木次楞（5*10cm方木）+双面覆膜竹胶合板。</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③</w:t>
            </w:r>
            <w:r>
              <w:rPr>
                <w:rFonts w:hint="default" w:ascii="Times New Roman" w:hAnsi="Times New Roman" w:eastAsia="宋体" w:cs="Times New Roman"/>
                <w:b/>
                <w:bCs/>
                <w:color w:val="auto"/>
                <w:sz w:val="24"/>
                <w:szCs w:val="24"/>
              </w:rPr>
              <w:t>桥台施工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河道两侧岸坡采用重力式桥台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④</w:t>
            </w:r>
            <w:r>
              <w:rPr>
                <w:rFonts w:hint="default" w:ascii="Times New Roman" w:hAnsi="Times New Roman" w:eastAsia="宋体" w:cs="Times New Roman"/>
                <w:b/>
                <w:bCs/>
                <w:color w:val="auto"/>
                <w:sz w:val="24"/>
                <w:szCs w:val="24"/>
              </w:rPr>
              <w:t>拱圈施工浇筑</w:t>
            </w:r>
          </w:p>
          <w:p>
            <w:pPr>
              <w:keepNext w:val="0"/>
              <w:keepLines w:val="0"/>
              <w:pageBreakBefore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本工程为上承式拱桥浇筑，分三个阶段进行：先浇筑拱圈及拱上立柱的底座，然后浇筑拱上填充料、联结系及横梁等，最后浇筑桥面系。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前一阶段的混凝土达到设计强度的70%以上才能浇筑后一阶段的混凝土。拱架则在第二阶段或第三阶段混凝土浇筑前拆除，但必须对拆除拱架后拱圈的稳定性进行验算。</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⑤</w:t>
            </w:r>
            <w:r>
              <w:rPr>
                <w:rFonts w:hint="default" w:ascii="Times New Roman" w:hAnsi="Times New Roman" w:eastAsia="宋体" w:cs="Times New Roman"/>
                <w:b/>
                <w:bCs/>
                <w:color w:val="auto"/>
                <w:sz w:val="24"/>
                <w:szCs w:val="24"/>
              </w:rPr>
              <w:t>桥面铺装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桥梁采用沥青路面铺装，并与景观设施同步施工</w:t>
            </w:r>
            <w:r>
              <w:rPr>
                <w:rFonts w:hint="eastAsia" w:ascii="Times New Roman" w:hAnsi="Times New Roman" w:eastAsia="宋体"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b/>
                <w:bCs w:val="0"/>
                <w:sz w:val="24"/>
                <w:szCs w:val="24"/>
                <w:lang w:val="en-US" w:eastAsia="zh-CN"/>
              </w:rPr>
              <w:t>2）产污环节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同学校主体工程。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（3）河流改道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1）工艺流程</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本项目共计1处河流改道，改道河流</w:t>
            </w:r>
            <w:r>
              <w:rPr>
                <w:rFonts w:hint="default" w:ascii="Times New Roman" w:hAnsi="Times New Roman" w:cs="Times New Roman"/>
                <w:color w:val="auto"/>
                <w:sz w:val="24"/>
                <w:szCs w:val="24"/>
              </w:rPr>
              <w:t>长度4</w:t>
            </w:r>
            <w:r>
              <w:rPr>
                <w:rFonts w:hint="default" w:ascii="Times New Roman" w:hAnsi="Times New Roman" w:cs="Times New Roman"/>
                <w:color w:val="auto"/>
                <w:sz w:val="24"/>
                <w:szCs w:val="24"/>
                <w:lang w:val="en-US" w:eastAsia="zh-CN"/>
              </w:rPr>
              <w:t>84.48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。河道采用</w:t>
            </w:r>
            <w:r>
              <w:rPr>
                <w:rFonts w:hint="default" w:ascii="Times New Roman" w:hAnsi="Times New Roman" w:cs="Times New Roman"/>
                <w:color w:val="auto"/>
                <w:sz w:val="24"/>
                <w:szCs w:val="24"/>
                <w:lang w:val="en-US" w:eastAsia="zh-CN"/>
              </w:rPr>
              <w:t>梯</w:t>
            </w:r>
            <w:r>
              <w:rPr>
                <w:rFonts w:hint="default" w:ascii="Times New Roman" w:hAnsi="Times New Roman" w:cs="Times New Roman"/>
                <w:color w:val="auto"/>
                <w:sz w:val="24"/>
                <w:szCs w:val="24"/>
                <w:lang w:eastAsia="zh-CN"/>
              </w:rPr>
              <w:t>形断面，全部为明渠。河流改道工程施工工艺及产污环节见</w:t>
            </w:r>
            <w:r>
              <w:rPr>
                <w:rFonts w:hint="default"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w:t>
            </w: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654550" cy="2486660"/>
                  <wp:effectExtent l="0" t="0" r="12700" b="8890"/>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25"/>
                          <a:stretch>
                            <a:fillRect/>
                          </a:stretch>
                        </pic:blipFill>
                        <pic:spPr>
                          <a:xfrm>
                            <a:off x="0" y="0"/>
                            <a:ext cx="4654550" cy="2486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图</w:t>
            </w:r>
            <w:r>
              <w:rPr>
                <w:rFonts w:hint="default" w:ascii="Times New Roman" w:hAnsi="Times New Roman" w:eastAsia="黑体" w:cs="Times New Roman"/>
                <w:b w:val="0"/>
                <w:bCs w:val="0"/>
                <w:color w:val="auto"/>
                <w:sz w:val="21"/>
                <w:szCs w:val="21"/>
                <w:lang w:val="en-US" w:eastAsia="zh-CN"/>
              </w:rPr>
              <w:t>2</w:t>
            </w:r>
            <w:r>
              <w:rPr>
                <w:rFonts w:hint="default" w:ascii="Times New Roman" w:hAnsi="Times New Roman" w:eastAsia="黑体" w:cs="Times New Roman"/>
                <w:b w:val="0"/>
                <w:bCs w:val="0"/>
                <w:color w:val="auto"/>
                <w:sz w:val="21"/>
                <w:szCs w:val="21"/>
              </w:rPr>
              <w:t>-</w:t>
            </w:r>
            <w:r>
              <w:rPr>
                <w:rFonts w:hint="default" w:ascii="Times New Roman" w:hAnsi="Times New Roman" w:eastAsia="黑体" w:cs="Times New Roman"/>
                <w:b w:val="0"/>
                <w:bCs w:val="0"/>
                <w:color w:val="auto"/>
                <w:sz w:val="21"/>
                <w:szCs w:val="21"/>
                <w:lang w:val="en-US" w:eastAsia="zh-CN"/>
              </w:rPr>
              <w:t xml:space="preserve">13  </w:t>
            </w:r>
            <w:r>
              <w:rPr>
                <w:rFonts w:hint="default" w:ascii="Times New Roman" w:hAnsi="Times New Roman" w:eastAsia="黑体" w:cs="Times New Roman"/>
                <w:b w:val="0"/>
                <w:bCs w:val="0"/>
                <w:color w:val="auto"/>
                <w:sz w:val="21"/>
                <w:szCs w:val="21"/>
                <w:lang w:eastAsia="zh-CN"/>
              </w:rPr>
              <w:t>河道</w:t>
            </w:r>
            <w:r>
              <w:rPr>
                <w:rFonts w:hint="default" w:ascii="Times New Roman" w:hAnsi="Times New Roman" w:eastAsia="黑体" w:cs="Times New Roman"/>
                <w:b w:val="0"/>
                <w:bCs w:val="0"/>
                <w:color w:val="auto"/>
                <w:sz w:val="21"/>
                <w:szCs w:val="21"/>
              </w:rPr>
              <w:t>施工工艺</w:t>
            </w:r>
            <w:r>
              <w:rPr>
                <w:rFonts w:hint="default" w:ascii="Times New Roman" w:hAnsi="Times New Roman" w:eastAsia="黑体" w:cs="Times New Roman"/>
                <w:b w:val="0"/>
                <w:bCs w:val="0"/>
                <w:color w:val="auto"/>
                <w:sz w:val="21"/>
                <w:szCs w:val="21"/>
                <w:lang w:eastAsia="zh-CN"/>
              </w:rPr>
              <w:t>流程</w:t>
            </w:r>
            <w:r>
              <w:rPr>
                <w:rFonts w:hint="default" w:ascii="Times New Roman" w:hAnsi="Times New Roman" w:eastAsia="黑体" w:cs="Times New Roman"/>
                <w:b w:val="0"/>
                <w:bCs w:val="0"/>
                <w:color w:val="auto"/>
                <w:sz w:val="21"/>
                <w:szCs w:val="21"/>
              </w:rPr>
              <w:t>及产污</w:t>
            </w:r>
            <w:r>
              <w:rPr>
                <w:rFonts w:hint="default" w:ascii="Times New Roman" w:hAnsi="Times New Roman" w:eastAsia="黑体" w:cs="Times New Roman"/>
                <w:b w:val="0"/>
                <w:bCs w:val="0"/>
                <w:color w:val="auto"/>
                <w:sz w:val="21"/>
                <w:szCs w:val="21"/>
                <w:lang w:eastAsia="zh-CN"/>
              </w:rPr>
              <w:t>位置</w:t>
            </w:r>
            <w:r>
              <w:rPr>
                <w:rFonts w:hint="default" w:ascii="Times New Roman" w:hAnsi="Times New Roman" w:eastAsia="黑体" w:cs="Times New Roman"/>
                <w:b w:val="0"/>
                <w:bCs w:val="0"/>
                <w:color w:val="auto"/>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主要工艺简述：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000000"/>
                <w:kern w:val="0"/>
                <w:sz w:val="24"/>
                <w:szCs w:val="24"/>
                <w:lang w:val="en-US" w:eastAsia="zh-CN" w:bidi="ar"/>
              </w:rPr>
              <w:t>主体工程施工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A</w:t>
            </w:r>
            <w:r>
              <w:rPr>
                <w:rFonts w:hint="default" w:ascii="Times New Roman" w:hAnsi="Times New Roman" w:eastAsia="宋体" w:cs="Times New Roman"/>
                <w:b/>
                <w:bCs/>
                <w:color w:val="auto"/>
                <w:sz w:val="24"/>
                <w:szCs w:val="24"/>
                <w:lang w:val="en-US" w:eastAsia="zh-CN"/>
              </w:rPr>
              <w:t>.河道</w:t>
            </w:r>
            <w:r>
              <w:rPr>
                <w:rFonts w:hint="default" w:ascii="Times New Roman" w:hAnsi="Times New Roman" w:eastAsia="宋体" w:cs="Times New Roman"/>
                <w:b/>
                <w:bCs/>
                <w:color w:val="auto"/>
                <w:sz w:val="24"/>
                <w:szCs w:val="24"/>
              </w:rPr>
              <w:t>土石方开挖</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基础开挖采用1.6m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液压挖掘机挖装，部分开挖料用作围堰填筑，合格料用于堤身填筑，剩下</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采用15t自卸汽车运输至</w:t>
            </w:r>
            <w:r>
              <w:rPr>
                <w:rFonts w:hint="default" w:ascii="Times New Roman" w:hAnsi="Times New Roman" w:eastAsia="宋体" w:cs="Times New Roman"/>
                <w:color w:val="auto"/>
                <w:sz w:val="24"/>
                <w:szCs w:val="24"/>
                <w:lang w:val="en-US" w:eastAsia="zh-CN"/>
              </w:rPr>
              <w:t>废弃河道回填。无弃方产生。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B</w:t>
            </w:r>
            <w:r>
              <w:rPr>
                <w:rFonts w:hint="default" w:ascii="Times New Roman" w:hAnsi="Times New Roman" w:eastAsia="宋体" w:cs="Times New Roman"/>
                <w:b/>
                <w:bCs/>
                <w:color w:val="000000"/>
                <w:kern w:val="0"/>
                <w:sz w:val="24"/>
                <w:szCs w:val="24"/>
                <w:lang w:val="en-US" w:eastAsia="zh-CN" w:bidi="ar"/>
              </w:rPr>
              <w:t>.基础施工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堤前大块石回填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堤前砂卵石回填石渣全部在</w:t>
            </w:r>
            <w:r>
              <w:rPr>
                <w:rFonts w:hint="default" w:ascii="Times New Roman" w:hAnsi="Times New Roman" w:eastAsia="宋体" w:cs="Times New Roman"/>
                <w:color w:val="auto"/>
                <w:sz w:val="24"/>
                <w:szCs w:val="24"/>
                <w:lang w:val="en-US" w:eastAsia="zh-CN"/>
              </w:rPr>
              <w:t>新河</w:t>
            </w:r>
            <w:r>
              <w:rPr>
                <w:rFonts w:hint="default" w:ascii="Times New Roman" w:hAnsi="Times New Roman" w:eastAsia="宋体" w:cs="Times New Roman"/>
                <w:color w:val="auto"/>
                <w:sz w:val="24"/>
                <w:szCs w:val="24"/>
              </w:rPr>
              <w:t>石方开挖料中选捡即可，12～15t自卸汽车从临时堆料区运输至回填区，利用料综合运距</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00m，回填料采用进占法卸料，ZL50装载机推平填料，利用自卸汽车行走压实即可。</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石渣料填筑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堤身石渣填筑料利用新河漕段开挖合格料，采用15~18t自卸式汽车运输</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00m至填筑区，对于大区域填筑采用</w:t>
            </w:r>
            <w:r>
              <w:rPr>
                <w:rFonts w:hint="default" w:ascii="Times New Roman" w:hAnsi="Times New Roman" w:eastAsia="宋体" w:cs="Times New Roman"/>
                <w:bCs/>
                <w:color w:val="auto"/>
                <w:sz w:val="24"/>
                <w:szCs w:val="24"/>
              </w:rPr>
              <w:t>进占法摊铺，挖掘机平料，平料过程中发现超径块卵石采用反铲从铺料层中挖除，再进行振动碾碾压作业。砂卵石料从最低处的开始填筑，采用13.5t自行式振动碾进退错距法平行堤轴线方向碾压，行驶速度2～3km/h。对于趾板基础部分的小区域填筑时，采用HZ40蛙式打夯机夯实或人工夯实，小区域填筑做到与砼挡墙平起平升，以防填筑时漏填、空洞。蛙式打夯机与振动碾填筑比例为1:9。石渣料填筑略滞后与混凝土浇筑，先浇后填，但要求做到与混凝土浇筑工程同起同升，以保证填筑质量，也便于挖机运料入仓。</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砼框格梁等小积混凝土施工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各工程区砼路面、排水沟凝土采用</w:t>
            </w:r>
            <w:r>
              <w:rPr>
                <w:rFonts w:hint="eastAsia" w:ascii="Times New Roman" w:hAnsi="Times New Roman" w:eastAsia="宋体" w:cs="Times New Roman"/>
                <w:color w:val="auto"/>
                <w:sz w:val="24"/>
                <w:szCs w:val="24"/>
                <w:lang w:val="en-US" w:eastAsia="zh-CN"/>
              </w:rPr>
              <w:t>混凝土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本次均采用商品混凝土，</w:t>
            </w:r>
            <w:r>
              <w:rPr>
                <w:rFonts w:hint="default" w:ascii="Times New Roman" w:hAnsi="Times New Roman" w:eastAsia="宋体" w:cs="Times New Roman"/>
                <w:color w:val="auto"/>
                <w:sz w:val="24"/>
                <w:szCs w:val="24"/>
              </w:rPr>
              <w:t>由8~12m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混凝土运输车运至浇筑区，2t机动翻斗车运输混凝土50m至各浇筑面，人工提运混凝土入仓，1.1kW插入式振捣器辅以平板振捣器捣实；混凝土养护在砌筑结束后12小时内进行。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C</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河堤</w:t>
            </w:r>
            <w:r>
              <w:rPr>
                <w:rFonts w:hint="default" w:ascii="Times New Roman" w:hAnsi="Times New Roman" w:eastAsia="宋体" w:cs="Times New Roman"/>
                <w:b/>
                <w:bCs/>
                <w:color w:val="000000"/>
                <w:kern w:val="0"/>
                <w:sz w:val="24"/>
                <w:szCs w:val="24"/>
                <w:lang w:val="en-US" w:eastAsia="zh-CN" w:bidi="ar"/>
              </w:rPr>
              <w:t>及附属设施施工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河道右岸防护工程（临校区侧）</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K0+000～K0+120，长120m；K0+190～K0+484.49，长294.49m。整治沟渠右侧建筑场坪填方边坡采用整体现浇面板包裹式加筋土挡墙防护，挡墙高0～23.0m，挡墙由现浇面板、包裹体、面板与包裹体的连接、防排水四部分组成。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szCs w:val="24"/>
              </w:rPr>
              <w:t>河道左岸防护工程（临6号路侧）</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左侧浆砌片石墙顶平台以上建筑场坪填方边坡采用人字形截水骨架护坡防护。骨架间净距2.5m，主骨架厚0.25m，宽0.4m；次骨架厚0.25m，宽0.3m，沿沟渠线路方向每间隔50m设置一道踏步。主骨架与次骨架间空格内及边坡平台上回填种植土撒播植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Cs w:val="28"/>
              </w:rPr>
            </w:pPr>
            <w:r>
              <w:rPr>
                <w:rFonts w:hint="default" w:ascii="Times New Roman" w:hAnsi="Times New Roman" w:cs="Times New Roman"/>
                <w:color w:val="auto"/>
                <w:sz w:val="24"/>
                <w:szCs w:val="24"/>
              </w:rPr>
              <w:t>河道行洪断面防护工程</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河道行洪断面为浆砌片石整体断面，底宽7m，顶宽12m，河底铺砌厚度为1m，两侧边墙墙顶宽度为0.5m。两侧设马道。施工开挖按两侧1：1.5边坡比开挖，开挖后回填碎石土碾压密实。</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D</w:t>
            </w:r>
            <w:r>
              <w:rPr>
                <w:rFonts w:hint="default" w:ascii="Times New Roman" w:hAnsi="Times New Roman" w:eastAsia="宋体" w:cs="Times New Roman"/>
                <w:b/>
                <w:bCs/>
                <w:color w:val="000000"/>
                <w:kern w:val="0"/>
                <w:sz w:val="24"/>
                <w:szCs w:val="24"/>
                <w:lang w:val="en-US" w:eastAsia="zh-CN" w:bidi="ar"/>
              </w:rPr>
              <w:t>.废弃河道回填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先进行河道清淤，采用机械清淤和人工清淤相结合的方式。产生的河道淤泥含水率较高，直</w:t>
            </w:r>
            <w:r>
              <w:rPr>
                <w:rFonts w:hint="eastAsia" w:ascii="宋体" w:hAnsi="宋体" w:eastAsia="宋体" w:cs="宋体"/>
                <w:color w:val="auto"/>
                <w:kern w:val="0"/>
                <w:sz w:val="24"/>
                <w:szCs w:val="24"/>
                <w:lang w:val="en-US" w:eastAsia="zh-CN" w:bidi="ar"/>
              </w:rPr>
              <w:t>接密闭吸入专门罐车进行密闭运输至当地农业合作社、家庭农场等资源化利用于果树、苗圃等种植，日</w:t>
            </w:r>
            <w:r>
              <w:rPr>
                <w:rFonts w:hint="eastAsia" w:ascii="宋体" w:hAnsi="宋体" w:eastAsia="宋体" w:cs="宋体"/>
                <w:color w:val="000000"/>
                <w:kern w:val="0"/>
                <w:sz w:val="24"/>
                <w:szCs w:val="24"/>
                <w:lang w:val="en-US" w:eastAsia="zh-CN" w:bidi="ar"/>
              </w:rPr>
              <w:t>产日清，不在施工区存放。清淤施工完毕并经检验合格后，利用新河道开挖料、围堰拆除土料进行回填到相应标准。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②</w:t>
            </w:r>
            <w:r>
              <w:rPr>
                <w:rFonts w:hint="default" w:ascii="Times New Roman" w:hAnsi="Times New Roman" w:eastAsia="宋体" w:cs="Times New Roman"/>
                <w:b/>
                <w:bCs/>
                <w:color w:val="000000"/>
                <w:kern w:val="0"/>
                <w:sz w:val="24"/>
                <w:szCs w:val="24"/>
                <w:lang w:val="en-US" w:eastAsia="zh-CN" w:bidi="ar"/>
              </w:rPr>
              <w:t>施工导流</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4"/>
                <w:szCs w:val="24"/>
                <w:lang w:val="en-US" w:eastAsia="zh-CN"/>
              </w:rPr>
              <w:t>A.</w:t>
            </w:r>
            <w:r>
              <w:rPr>
                <w:rFonts w:hint="default" w:ascii="Times New Roman" w:hAnsi="Times New Roman" w:cs="Times New Roman"/>
                <w:b/>
                <w:bCs/>
                <w:color w:val="auto"/>
                <w:sz w:val="24"/>
                <w:szCs w:val="24"/>
              </w:rPr>
              <w:t>导流标准及导流时段</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a</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导流标准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本工程按照《水利水电工程施工组织设计规范》（SL303－2017），施工期临时导流建筑物为5级，相应导流设计洪水标准采用五年一遇（P=20%的洪水重现期）的洪水标准。</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b</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导流时段及流量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根据洪水的年内分布特点及工程施工要求，该工程可于枯水期施工。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1"/>
                <w:szCs w:val="21"/>
              </w:rPr>
            </w:pPr>
            <w:r>
              <w:rPr>
                <w:rFonts w:eastAsia="黑体"/>
                <w:color w:val="auto"/>
                <w:sz w:val="21"/>
                <w:szCs w:val="21"/>
              </w:rPr>
              <w:t>表</w:t>
            </w:r>
            <w:r>
              <w:rPr>
                <w:rFonts w:hint="eastAsia" w:eastAsia="黑体"/>
                <w:color w:val="auto"/>
                <w:sz w:val="21"/>
                <w:szCs w:val="21"/>
                <w:lang w:val="en-US" w:eastAsia="zh-CN"/>
              </w:rPr>
              <w:t>2-10</w:t>
            </w:r>
            <w:r>
              <w:rPr>
                <w:rFonts w:eastAsia="黑体"/>
                <w:color w:val="auto"/>
                <w:sz w:val="21"/>
                <w:szCs w:val="21"/>
              </w:rPr>
              <w:t xml:space="preserve"> 工程河段分期洪水成果表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53"/>
              <w:gridCol w:w="2485"/>
              <w:gridCol w:w="216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vMerge w:val="restart"/>
                  <w:tcBorders>
                    <w:top w:val="single" w:color="auto" w:sz="4" w:space="0"/>
                    <w:left w:val="single" w:color="auto" w:sz="4" w:space="0"/>
                    <w:right w:val="single" w:color="auto" w:sz="4" w:space="0"/>
                    <w:tl2br w:val="single" w:color="auto" w:sz="4" w:space="0"/>
                  </w:tcBorders>
                  <w:noWrap w:val="0"/>
                  <w:vAlign w:val="center"/>
                </w:tcPr>
                <w:p>
                  <w:pPr>
                    <w:keepNext/>
                    <w:wordWrap/>
                    <w:spacing w:line="240" w:lineRule="exact"/>
                    <w:jc w:val="right"/>
                    <w:rPr>
                      <w:bCs/>
                      <w:color w:val="auto"/>
                      <w:sz w:val="21"/>
                      <w:szCs w:val="21"/>
                    </w:rPr>
                  </w:pPr>
                  <w:r>
                    <w:rPr>
                      <w:bCs/>
                      <w:color w:val="auto"/>
                      <w:sz w:val="21"/>
                      <w:szCs w:val="21"/>
                    </w:rPr>
                    <w:t xml:space="preserve">    项目</w:t>
                  </w:r>
                </w:p>
                <w:p>
                  <w:pPr>
                    <w:keepNext/>
                    <w:wordWrap/>
                    <w:spacing w:line="240" w:lineRule="exact"/>
                    <w:jc w:val="left"/>
                    <w:rPr>
                      <w:bCs/>
                      <w:color w:val="auto"/>
                      <w:sz w:val="21"/>
                      <w:szCs w:val="21"/>
                    </w:rPr>
                  </w:pPr>
                  <w:r>
                    <w:rPr>
                      <w:bCs/>
                      <w:color w:val="auto"/>
                      <w:sz w:val="21"/>
                      <w:szCs w:val="21"/>
                    </w:rPr>
                    <w:t>时段</w:t>
                  </w:r>
                </w:p>
              </w:tc>
              <w:tc>
                <w:tcPr>
                  <w:tcW w:w="4072" w:type="pct"/>
                  <w:gridSpan w:val="3"/>
                  <w:tcBorders>
                    <w:top w:val="single" w:color="auto" w:sz="4" w:space="0"/>
                    <w:left w:val="single" w:color="auto" w:sz="4" w:space="0"/>
                    <w:right w:val="single" w:color="auto" w:sz="4" w:space="0"/>
                  </w:tcBorders>
                  <w:noWrap w:val="0"/>
                  <w:vAlign w:val="center"/>
                </w:tcPr>
                <w:p>
                  <w:pPr>
                    <w:keepNext/>
                    <w:wordWrap/>
                    <w:spacing w:line="240" w:lineRule="exact"/>
                    <w:jc w:val="center"/>
                    <w:rPr>
                      <w:bCs/>
                      <w:color w:val="auto"/>
                      <w:sz w:val="21"/>
                      <w:szCs w:val="21"/>
                    </w:rPr>
                  </w:pPr>
                  <w:r>
                    <w:rPr>
                      <w:bCs/>
                      <w:color w:val="auto"/>
                      <w:sz w:val="21"/>
                      <w:szCs w:val="21"/>
                    </w:rPr>
                    <w:t>设计洪峰流量（m</w:t>
                  </w:r>
                  <w:r>
                    <w:rPr>
                      <w:bCs/>
                      <w:color w:val="auto"/>
                      <w:sz w:val="21"/>
                      <w:szCs w:val="21"/>
                      <w:vertAlign w:val="superscript"/>
                    </w:rPr>
                    <w:t>3</w:t>
                  </w:r>
                  <w:r>
                    <w:rPr>
                      <w:bCs/>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vMerge w:val="continue"/>
                  <w:tcBorders>
                    <w:left w:val="single" w:color="auto" w:sz="4" w:space="0"/>
                    <w:tl2br w:val="single" w:color="auto" w:sz="4" w:space="0"/>
                  </w:tcBorders>
                  <w:noWrap w:val="0"/>
                  <w:vAlign w:val="center"/>
                </w:tcPr>
                <w:p>
                  <w:pPr>
                    <w:keepNext/>
                    <w:wordWrap/>
                    <w:spacing w:line="240" w:lineRule="exact"/>
                    <w:jc w:val="center"/>
                    <w:rPr>
                      <w:bCs/>
                      <w:color w:val="auto"/>
                      <w:sz w:val="21"/>
                      <w:szCs w:val="21"/>
                    </w:rPr>
                  </w:pPr>
                </w:p>
              </w:tc>
              <w:tc>
                <w:tcPr>
                  <w:tcW w:w="1485" w:type="pct"/>
                  <w:noWrap w:val="0"/>
                  <w:vAlign w:val="center"/>
                </w:tcPr>
                <w:p>
                  <w:pPr>
                    <w:keepNext/>
                    <w:wordWrap/>
                    <w:spacing w:line="240" w:lineRule="exact"/>
                    <w:jc w:val="center"/>
                    <w:rPr>
                      <w:bCs/>
                      <w:color w:val="auto"/>
                      <w:sz w:val="21"/>
                      <w:szCs w:val="21"/>
                    </w:rPr>
                  </w:pPr>
                  <w:r>
                    <w:rPr>
                      <w:bCs/>
                      <w:color w:val="auto"/>
                      <w:sz w:val="21"/>
                      <w:szCs w:val="21"/>
                    </w:rPr>
                    <w:t>P=10%</w:t>
                  </w:r>
                </w:p>
              </w:tc>
              <w:tc>
                <w:tcPr>
                  <w:tcW w:w="1294" w:type="pct"/>
                  <w:noWrap w:val="0"/>
                  <w:vAlign w:val="center"/>
                </w:tcPr>
                <w:p>
                  <w:pPr>
                    <w:keepNext/>
                    <w:wordWrap/>
                    <w:spacing w:line="240" w:lineRule="exact"/>
                    <w:jc w:val="center"/>
                    <w:rPr>
                      <w:bCs/>
                      <w:color w:val="auto"/>
                      <w:sz w:val="21"/>
                      <w:szCs w:val="21"/>
                    </w:rPr>
                  </w:pPr>
                  <w:r>
                    <w:rPr>
                      <w:bCs/>
                      <w:color w:val="auto"/>
                      <w:sz w:val="21"/>
                      <w:szCs w:val="21"/>
                    </w:rPr>
                    <w:t>P=20%</w:t>
                  </w:r>
                </w:p>
              </w:tc>
              <w:tc>
                <w:tcPr>
                  <w:tcW w:w="1294" w:type="pct"/>
                  <w:tcBorders>
                    <w:right w:val="single" w:color="auto" w:sz="4" w:space="0"/>
                  </w:tcBorders>
                  <w:noWrap w:val="0"/>
                  <w:vAlign w:val="center"/>
                </w:tcPr>
                <w:p>
                  <w:pPr>
                    <w:keepNext/>
                    <w:wordWrap/>
                    <w:spacing w:line="240" w:lineRule="exact"/>
                    <w:jc w:val="center"/>
                    <w:rPr>
                      <w:bCs/>
                      <w:color w:val="auto"/>
                      <w:sz w:val="21"/>
                      <w:szCs w:val="21"/>
                    </w:rPr>
                  </w:pPr>
                  <w:r>
                    <w:rPr>
                      <w:bCs/>
                      <w:color w:val="auto"/>
                      <w:sz w:val="21"/>
                      <w:szCs w:val="21"/>
                    </w:rPr>
                    <w:t>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tcBorders>
                    <w:left w:val="single" w:color="auto" w:sz="4" w:space="0"/>
                  </w:tcBorders>
                  <w:noWrap w:val="0"/>
                  <w:vAlign w:val="center"/>
                </w:tcPr>
                <w:p>
                  <w:pPr>
                    <w:wordWrap/>
                    <w:spacing w:line="240" w:lineRule="exact"/>
                    <w:jc w:val="center"/>
                    <w:rPr>
                      <w:color w:val="auto"/>
                      <w:sz w:val="21"/>
                      <w:szCs w:val="21"/>
                    </w:rPr>
                  </w:pPr>
                  <w:r>
                    <w:rPr>
                      <w:color w:val="auto"/>
                      <w:sz w:val="21"/>
                      <w:szCs w:val="21"/>
                    </w:rPr>
                    <w:t>3月</w:t>
                  </w:r>
                </w:p>
              </w:tc>
              <w:tc>
                <w:tcPr>
                  <w:tcW w:w="1485" w:type="pct"/>
                  <w:noWrap w:val="0"/>
                  <w:vAlign w:val="center"/>
                </w:tcPr>
                <w:p>
                  <w:pPr>
                    <w:wordWrap/>
                    <w:spacing w:line="240" w:lineRule="exact"/>
                    <w:jc w:val="center"/>
                    <w:rPr>
                      <w:color w:val="auto"/>
                      <w:sz w:val="21"/>
                      <w:szCs w:val="21"/>
                    </w:rPr>
                  </w:pPr>
                  <w:r>
                    <w:rPr>
                      <w:color w:val="auto"/>
                      <w:sz w:val="21"/>
                      <w:szCs w:val="21"/>
                    </w:rPr>
                    <w:t xml:space="preserve">2.47 </w:t>
                  </w:r>
                </w:p>
              </w:tc>
              <w:tc>
                <w:tcPr>
                  <w:tcW w:w="1294" w:type="pct"/>
                  <w:noWrap w:val="0"/>
                  <w:vAlign w:val="center"/>
                </w:tcPr>
                <w:p>
                  <w:pPr>
                    <w:wordWrap/>
                    <w:spacing w:line="240" w:lineRule="exact"/>
                    <w:jc w:val="center"/>
                    <w:rPr>
                      <w:color w:val="auto"/>
                      <w:sz w:val="21"/>
                      <w:szCs w:val="21"/>
                    </w:rPr>
                  </w:pPr>
                  <w:r>
                    <w:rPr>
                      <w:color w:val="auto"/>
                      <w:sz w:val="21"/>
                      <w:szCs w:val="21"/>
                    </w:rPr>
                    <w:t xml:space="preserve">0.657 </w:t>
                  </w:r>
                </w:p>
              </w:tc>
              <w:tc>
                <w:tcPr>
                  <w:tcW w:w="1294" w:type="pct"/>
                  <w:tcBorders>
                    <w:right w:val="single" w:color="auto" w:sz="4" w:space="0"/>
                  </w:tcBorders>
                  <w:noWrap w:val="0"/>
                  <w:vAlign w:val="center"/>
                </w:tcPr>
                <w:p>
                  <w:pPr>
                    <w:wordWrap/>
                    <w:spacing w:line="240" w:lineRule="exact"/>
                    <w:jc w:val="center"/>
                    <w:rPr>
                      <w:color w:val="auto"/>
                      <w:sz w:val="21"/>
                      <w:szCs w:val="21"/>
                    </w:rPr>
                  </w:pPr>
                  <w:r>
                    <w:rPr>
                      <w:color w:val="auto"/>
                      <w:sz w:val="21"/>
                      <w:szCs w:val="21"/>
                    </w:rPr>
                    <w:t xml:space="preserve">0.240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tcBorders>
                    <w:left w:val="single" w:color="auto" w:sz="4" w:space="0"/>
                  </w:tcBorders>
                  <w:noWrap w:val="0"/>
                  <w:vAlign w:val="center"/>
                </w:tcPr>
                <w:p>
                  <w:pPr>
                    <w:wordWrap/>
                    <w:spacing w:line="240" w:lineRule="exact"/>
                    <w:jc w:val="center"/>
                    <w:rPr>
                      <w:color w:val="auto"/>
                      <w:sz w:val="21"/>
                      <w:szCs w:val="21"/>
                    </w:rPr>
                  </w:pPr>
                  <w:r>
                    <w:rPr>
                      <w:color w:val="auto"/>
                      <w:sz w:val="21"/>
                      <w:szCs w:val="21"/>
                    </w:rPr>
                    <w:t>4月</w:t>
                  </w:r>
                </w:p>
              </w:tc>
              <w:tc>
                <w:tcPr>
                  <w:tcW w:w="1485" w:type="pct"/>
                  <w:noWrap w:val="0"/>
                  <w:vAlign w:val="center"/>
                </w:tcPr>
                <w:p>
                  <w:pPr>
                    <w:wordWrap/>
                    <w:spacing w:line="240" w:lineRule="exact"/>
                    <w:jc w:val="center"/>
                    <w:rPr>
                      <w:color w:val="auto"/>
                      <w:sz w:val="21"/>
                      <w:szCs w:val="21"/>
                    </w:rPr>
                  </w:pPr>
                  <w:r>
                    <w:rPr>
                      <w:color w:val="auto"/>
                      <w:sz w:val="21"/>
                      <w:szCs w:val="21"/>
                    </w:rPr>
                    <w:t xml:space="preserve">10.5 </w:t>
                  </w:r>
                </w:p>
              </w:tc>
              <w:tc>
                <w:tcPr>
                  <w:tcW w:w="1294" w:type="pct"/>
                  <w:noWrap w:val="0"/>
                  <w:vAlign w:val="center"/>
                </w:tcPr>
                <w:p>
                  <w:pPr>
                    <w:wordWrap/>
                    <w:spacing w:line="240" w:lineRule="exact"/>
                    <w:jc w:val="center"/>
                    <w:rPr>
                      <w:color w:val="auto"/>
                      <w:sz w:val="21"/>
                      <w:szCs w:val="21"/>
                    </w:rPr>
                  </w:pPr>
                  <w:r>
                    <w:rPr>
                      <w:color w:val="auto"/>
                      <w:sz w:val="21"/>
                      <w:szCs w:val="21"/>
                    </w:rPr>
                    <w:t xml:space="preserve">5.49 </w:t>
                  </w:r>
                </w:p>
              </w:tc>
              <w:tc>
                <w:tcPr>
                  <w:tcW w:w="1294" w:type="pct"/>
                  <w:tcBorders>
                    <w:right w:val="single" w:color="auto" w:sz="4" w:space="0"/>
                  </w:tcBorders>
                  <w:noWrap w:val="0"/>
                  <w:vAlign w:val="center"/>
                </w:tcPr>
                <w:p>
                  <w:pPr>
                    <w:wordWrap/>
                    <w:spacing w:line="240" w:lineRule="exact"/>
                    <w:jc w:val="center"/>
                    <w:rPr>
                      <w:color w:val="auto"/>
                      <w:sz w:val="21"/>
                      <w:szCs w:val="21"/>
                    </w:rPr>
                  </w:pPr>
                  <w:r>
                    <w:rPr>
                      <w:color w:val="auto"/>
                      <w:sz w:val="21"/>
                      <w:szCs w:val="21"/>
                    </w:rPr>
                    <w:t xml:space="preserve">0.910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tcBorders>
                    <w:left w:val="single" w:color="auto" w:sz="4" w:space="0"/>
                  </w:tcBorders>
                  <w:noWrap w:val="0"/>
                  <w:vAlign w:val="center"/>
                </w:tcPr>
                <w:p>
                  <w:pPr>
                    <w:wordWrap/>
                    <w:spacing w:line="240" w:lineRule="exact"/>
                    <w:jc w:val="center"/>
                    <w:rPr>
                      <w:color w:val="auto"/>
                      <w:sz w:val="21"/>
                      <w:szCs w:val="21"/>
                    </w:rPr>
                  </w:pPr>
                  <w:r>
                    <w:rPr>
                      <w:color w:val="auto"/>
                      <w:sz w:val="21"/>
                      <w:szCs w:val="21"/>
                    </w:rPr>
                    <w:t>5～10月</w:t>
                  </w:r>
                </w:p>
              </w:tc>
              <w:tc>
                <w:tcPr>
                  <w:tcW w:w="1485" w:type="pct"/>
                  <w:noWrap w:val="0"/>
                  <w:vAlign w:val="center"/>
                </w:tcPr>
                <w:p>
                  <w:pPr>
                    <w:wordWrap/>
                    <w:spacing w:line="240" w:lineRule="exact"/>
                    <w:jc w:val="center"/>
                    <w:rPr>
                      <w:color w:val="auto"/>
                      <w:sz w:val="21"/>
                      <w:szCs w:val="21"/>
                    </w:rPr>
                  </w:pPr>
                  <w:r>
                    <w:rPr>
                      <w:color w:val="auto"/>
                      <w:sz w:val="21"/>
                      <w:szCs w:val="21"/>
                    </w:rPr>
                    <w:t>122</w:t>
                  </w:r>
                </w:p>
              </w:tc>
              <w:tc>
                <w:tcPr>
                  <w:tcW w:w="1294" w:type="pct"/>
                  <w:noWrap w:val="0"/>
                  <w:vAlign w:val="center"/>
                </w:tcPr>
                <w:p>
                  <w:pPr>
                    <w:wordWrap/>
                    <w:spacing w:line="240" w:lineRule="exact"/>
                    <w:jc w:val="center"/>
                    <w:rPr>
                      <w:color w:val="auto"/>
                      <w:sz w:val="21"/>
                      <w:szCs w:val="21"/>
                    </w:rPr>
                  </w:pPr>
                  <w:r>
                    <w:rPr>
                      <w:color w:val="auto"/>
                      <w:sz w:val="21"/>
                      <w:szCs w:val="21"/>
                    </w:rPr>
                    <w:t>97.0</w:t>
                  </w:r>
                </w:p>
              </w:tc>
              <w:tc>
                <w:tcPr>
                  <w:tcW w:w="1294" w:type="pct"/>
                  <w:tcBorders>
                    <w:right w:val="single" w:color="auto" w:sz="4" w:space="0"/>
                  </w:tcBorders>
                  <w:noWrap w:val="0"/>
                  <w:vAlign w:val="center"/>
                </w:tcPr>
                <w:p>
                  <w:pPr>
                    <w:wordWrap/>
                    <w:spacing w:line="240" w:lineRule="exact"/>
                    <w:jc w:val="center"/>
                    <w:rPr>
                      <w:color w:val="auto"/>
                      <w:sz w:val="21"/>
                      <w:szCs w:val="21"/>
                    </w:rPr>
                  </w:pPr>
                  <w:r>
                    <w:rPr>
                      <w:color w:val="auto"/>
                      <w:sz w:val="21"/>
                      <w:szCs w:val="21"/>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tcBorders>
                    <w:left w:val="single" w:color="auto" w:sz="4" w:space="0"/>
                  </w:tcBorders>
                  <w:noWrap w:val="0"/>
                  <w:vAlign w:val="center"/>
                </w:tcPr>
                <w:p>
                  <w:pPr>
                    <w:wordWrap/>
                    <w:spacing w:line="240" w:lineRule="exact"/>
                    <w:jc w:val="center"/>
                    <w:rPr>
                      <w:color w:val="auto"/>
                      <w:sz w:val="21"/>
                      <w:szCs w:val="21"/>
                    </w:rPr>
                  </w:pPr>
                  <w:r>
                    <w:rPr>
                      <w:color w:val="auto"/>
                      <w:sz w:val="21"/>
                      <w:szCs w:val="21"/>
                    </w:rPr>
                    <w:t>11月</w:t>
                  </w:r>
                </w:p>
              </w:tc>
              <w:tc>
                <w:tcPr>
                  <w:tcW w:w="1485" w:type="pct"/>
                  <w:noWrap w:val="0"/>
                  <w:vAlign w:val="center"/>
                </w:tcPr>
                <w:p>
                  <w:pPr>
                    <w:wordWrap/>
                    <w:spacing w:line="240" w:lineRule="exact"/>
                    <w:jc w:val="center"/>
                    <w:rPr>
                      <w:color w:val="auto"/>
                      <w:sz w:val="21"/>
                      <w:szCs w:val="21"/>
                    </w:rPr>
                  </w:pPr>
                  <w:r>
                    <w:rPr>
                      <w:color w:val="auto"/>
                      <w:sz w:val="21"/>
                      <w:szCs w:val="21"/>
                    </w:rPr>
                    <w:t xml:space="preserve">8.15 </w:t>
                  </w:r>
                </w:p>
              </w:tc>
              <w:tc>
                <w:tcPr>
                  <w:tcW w:w="1294" w:type="pct"/>
                  <w:noWrap w:val="0"/>
                  <w:vAlign w:val="center"/>
                </w:tcPr>
                <w:p>
                  <w:pPr>
                    <w:wordWrap/>
                    <w:spacing w:line="240" w:lineRule="exact"/>
                    <w:jc w:val="center"/>
                    <w:rPr>
                      <w:color w:val="auto"/>
                      <w:sz w:val="21"/>
                      <w:szCs w:val="21"/>
                    </w:rPr>
                  </w:pPr>
                  <w:r>
                    <w:rPr>
                      <w:color w:val="auto"/>
                      <w:sz w:val="21"/>
                      <w:szCs w:val="21"/>
                    </w:rPr>
                    <w:t xml:space="preserve">3.59 </w:t>
                  </w:r>
                </w:p>
              </w:tc>
              <w:tc>
                <w:tcPr>
                  <w:tcW w:w="1294" w:type="pct"/>
                  <w:tcBorders>
                    <w:right w:val="single" w:color="auto" w:sz="4" w:space="0"/>
                  </w:tcBorders>
                  <w:noWrap w:val="0"/>
                  <w:vAlign w:val="center"/>
                </w:tcPr>
                <w:p>
                  <w:pPr>
                    <w:wordWrap/>
                    <w:spacing w:line="240" w:lineRule="exact"/>
                    <w:jc w:val="center"/>
                    <w:rPr>
                      <w:color w:val="auto"/>
                      <w:sz w:val="21"/>
                      <w:szCs w:val="21"/>
                    </w:rPr>
                  </w:pPr>
                  <w:r>
                    <w:rPr>
                      <w:color w:val="auto"/>
                      <w:sz w:val="21"/>
                      <w:szCs w:val="21"/>
                    </w:rPr>
                    <w:t xml:space="preserve">0.474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pct"/>
                  <w:tcBorders>
                    <w:left w:val="single" w:color="auto" w:sz="4" w:space="0"/>
                  </w:tcBorders>
                  <w:noWrap w:val="0"/>
                  <w:vAlign w:val="center"/>
                </w:tcPr>
                <w:p>
                  <w:pPr>
                    <w:wordWrap/>
                    <w:spacing w:line="240" w:lineRule="exact"/>
                    <w:jc w:val="center"/>
                    <w:rPr>
                      <w:color w:val="auto"/>
                      <w:sz w:val="21"/>
                      <w:szCs w:val="21"/>
                    </w:rPr>
                  </w:pPr>
                  <w:r>
                    <w:rPr>
                      <w:color w:val="auto"/>
                      <w:sz w:val="21"/>
                      <w:szCs w:val="21"/>
                    </w:rPr>
                    <w:t>12～2月</w:t>
                  </w:r>
                </w:p>
              </w:tc>
              <w:tc>
                <w:tcPr>
                  <w:tcW w:w="1485" w:type="pct"/>
                  <w:noWrap w:val="0"/>
                  <w:vAlign w:val="center"/>
                </w:tcPr>
                <w:p>
                  <w:pPr>
                    <w:wordWrap/>
                    <w:spacing w:line="240" w:lineRule="exact"/>
                    <w:jc w:val="center"/>
                    <w:rPr>
                      <w:color w:val="auto"/>
                      <w:sz w:val="21"/>
                      <w:szCs w:val="21"/>
                    </w:rPr>
                  </w:pPr>
                  <w:r>
                    <w:rPr>
                      <w:color w:val="auto"/>
                      <w:sz w:val="21"/>
                      <w:szCs w:val="21"/>
                    </w:rPr>
                    <w:t xml:space="preserve">0.111 </w:t>
                  </w:r>
                </w:p>
              </w:tc>
              <w:tc>
                <w:tcPr>
                  <w:tcW w:w="1294" w:type="pct"/>
                  <w:noWrap w:val="0"/>
                  <w:vAlign w:val="center"/>
                </w:tcPr>
                <w:p>
                  <w:pPr>
                    <w:wordWrap/>
                    <w:spacing w:line="240" w:lineRule="exact"/>
                    <w:jc w:val="center"/>
                    <w:rPr>
                      <w:color w:val="auto"/>
                      <w:sz w:val="21"/>
                      <w:szCs w:val="21"/>
                    </w:rPr>
                  </w:pPr>
                  <w:r>
                    <w:rPr>
                      <w:color w:val="auto"/>
                      <w:sz w:val="21"/>
                      <w:szCs w:val="21"/>
                    </w:rPr>
                    <w:t xml:space="preserve">0.069 </w:t>
                  </w:r>
                </w:p>
              </w:tc>
              <w:tc>
                <w:tcPr>
                  <w:tcW w:w="1294" w:type="pct"/>
                  <w:tcBorders>
                    <w:right w:val="single" w:color="auto" w:sz="4" w:space="0"/>
                  </w:tcBorders>
                  <w:noWrap w:val="0"/>
                  <w:vAlign w:val="center"/>
                </w:tcPr>
                <w:p>
                  <w:pPr>
                    <w:wordWrap/>
                    <w:spacing w:line="240" w:lineRule="exact"/>
                    <w:jc w:val="center"/>
                    <w:rPr>
                      <w:color w:val="auto"/>
                      <w:sz w:val="21"/>
                      <w:szCs w:val="21"/>
                    </w:rPr>
                  </w:pPr>
                  <w:r>
                    <w:rPr>
                      <w:color w:val="auto"/>
                      <w:sz w:val="21"/>
                      <w:szCs w:val="21"/>
                    </w:rPr>
                    <w:t xml:space="preserve">0.024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rPr>
            </w:pPr>
            <w:r>
              <w:rPr>
                <w:color w:val="auto"/>
                <w:sz w:val="24"/>
                <w:szCs w:val="24"/>
              </w:rPr>
              <w:t>根据水文资料分析，12月～次年2月最大流量很小且稳定，3月为汛前过渡期，年最大流量出现在5月～10月，11月为汛后过渡期。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根据上表，不同时段流量差别较大，相应围堰工程量差别也较大，由于本工程分段施工，施工强度并不高，为了不增加临时工程量，所以根据洪水年内分布特点和施工要求，本工程导流时段选为12月～次年2月，相应导流流量为0.069m</w:t>
            </w:r>
            <w:r>
              <w:rPr>
                <w:color w:val="auto"/>
                <w:sz w:val="24"/>
                <w:szCs w:val="24"/>
                <w:vertAlign w:val="superscript"/>
              </w:rPr>
              <w:t>3</w:t>
            </w:r>
            <w:r>
              <w:rPr>
                <w:color w:val="auto"/>
                <w:sz w:val="24"/>
                <w:szCs w:val="24"/>
              </w:rPr>
              <w:t>/s。</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B.</w:t>
            </w:r>
            <w:r>
              <w:rPr>
                <w:b/>
                <w:bCs/>
                <w:color w:val="auto"/>
                <w:sz w:val="24"/>
                <w:szCs w:val="24"/>
              </w:rPr>
              <w:t>导流方式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根据轴线布置情况及总进度安排，基础施工安排在枯水期的第12月～2月；由于河道流量小、河道窄，且河道有大量清淤及开挖，故采用全段围堰，PE管过水并配水泵抽水放水导流。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C.</w:t>
            </w:r>
            <w:r>
              <w:rPr>
                <w:b/>
                <w:bCs/>
                <w:color w:val="auto"/>
                <w:sz w:val="24"/>
                <w:szCs w:val="24"/>
              </w:rPr>
              <w:t>导流建筑物设计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val="en-US" w:eastAsia="zh-CN"/>
              </w:rPr>
              <w:t>子槽</w:t>
            </w:r>
            <w:r>
              <w:rPr>
                <w:color w:val="auto"/>
                <w:sz w:val="24"/>
                <w:szCs w:val="24"/>
              </w:rPr>
              <w:t>沟段枯期流量较小，枯水期相应导流流量仅为0.069m</w:t>
            </w:r>
            <w:r>
              <w:rPr>
                <w:color w:val="auto"/>
                <w:sz w:val="24"/>
                <w:szCs w:val="24"/>
                <w:vertAlign w:val="superscript"/>
              </w:rPr>
              <w:t>3</w:t>
            </w:r>
            <w:r>
              <w:rPr>
                <w:color w:val="auto"/>
                <w:sz w:val="24"/>
                <w:szCs w:val="24"/>
              </w:rPr>
              <w:t>/s，由于局部段河道较窄，最窄处仅为6m左右，若采用岸边分段导流方式，则围堰根本无法布置，故本次设计采用分段填筑横向围堰，PE管过水并配水泵抽水放水导流。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D.</w:t>
            </w:r>
            <w:r>
              <w:rPr>
                <w:b/>
                <w:bCs/>
                <w:color w:val="auto"/>
                <w:sz w:val="24"/>
                <w:szCs w:val="24"/>
              </w:rPr>
              <w:t>导流围堰施工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围堰施工：围堰利用堤基开挖的渣料填筑，采用1.6m</w:t>
            </w:r>
            <w:r>
              <w:rPr>
                <w:color w:val="auto"/>
                <w:sz w:val="24"/>
                <w:szCs w:val="24"/>
                <w:vertAlign w:val="superscript"/>
              </w:rPr>
              <w:t>3</w:t>
            </w:r>
            <w:r>
              <w:rPr>
                <w:color w:val="auto"/>
                <w:sz w:val="24"/>
                <w:szCs w:val="24"/>
              </w:rPr>
              <w:t>反铲挖装、压实；迎水面采用开挖土料填筑，1.6m</w:t>
            </w:r>
            <w:r>
              <w:rPr>
                <w:color w:val="auto"/>
                <w:sz w:val="24"/>
                <w:szCs w:val="24"/>
                <w:vertAlign w:val="superscript"/>
              </w:rPr>
              <w:t>3</w:t>
            </w:r>
            <w:r>
              <w:rPr>
                <w:color w:val="auto"/>
                <w:sz w:val="24"/>
                <w:szCs w:val="24"/>
              </w:rPr>
              <w:t>反铲挖装、压实，防渗土工膜采用人工铺设。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color w:val="auto"/>
                <w:sz w:val="24"/>
                <w:szCs w:val="24"/>
              </w:rPr>
              <w:t>围堰拆除先下游围堰，再上游围堰。采用2.0m</w:t>
            </w:r>
            <w:r>
              <w:rPr>
                <w:color w:val="auto"/>
                <w:sz w:val="24"/>
                <w:szCs w:val="24"/>
                <w:vertAlign w:val="superscript"/>
              </w:rPr>
              <w:t>3</w:t>
            </w:r>
            <w:r>
              <w:rPr>
                <w:color w:val="auto"/>
                <w:sz w:val="24"/>
                <w:szCs w:val="24"/>
              </w:rPr>
              <w:t>挖掘机挖装，</w:t>
            </w:r>
            <w:r>
              <w:rPr>
                <w:rFonts w:hint="eastAsia"/>
                <w:color w:val="auto"/>
                <w:sz w:val="24"/>
                <w:szCs w:val="24"/>
              </w:rPr>
              <w:t>拆除后的土料采用自卸汽车运往</w:t>
            </w:r>
            <w:r>
              <w:rPr>
                <w:rFonts w:hint="eastAsia"/>
                <w:color w:val="auto"/>
                <w:sz w:val="24"/>
                <w:szCs w:val="24"/>
                <w:lang w:val="en-US" w:eastAsia="zh-CN"/>
              </w:rPr>
              <w:t>废弃河道回填</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E.</w:t>
            </w:r>
            <w:r>
              <w:rPr>
                <w:b/>
                <w:bCs/>
                <w:color w:val="auto"/>
                <w:sz w:val="24"/>
                <w:szCs w:val="24"/>
              </w:rPr>
              <w:t>基坑排水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根据施工情况和基岩渗漏情况，采用初期排水和经常性排水两种方式，排出基坑内的积水和渗水，以保持基坑干燥，保证施工进度。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每一施工段初期排水设离心泵40-200I（5.5kW）1～2台，采用浮式排水，抽排出基坑内的积水；经常性排水设离心泵40-200（I）B（3kW）1～2台。</w:t>
            </w:r>
            <w:bookmarkStart w:id="5" w:name="_Ref425677741"/>
          </w:p>
          <w:bookmarkEnd w:id="5"/>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b/>
                <w:bCs w:val="0"/>
                <w:sz w:val="24"/>
                <w:szCs w:val="24"/>
                <w:lang w:val="en-US" w:eastAsia="zh-CN"/>
              </w:rPr>
              <w:t>2）产污环节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color w:val="auto"/>
                <w:sz w:val="24"/>
                <w:szCs w:val="24"/>
                <w:lang w:val="en-US" w:eastAsia="zh-CN"/>
              </w:rPr>
              <w:t>同学校主体工程。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2、营运期</w:t>
            </w:r>
            <w:r>
              <w:rPr>
                <w:rFonts w:hint="default" w:ascii="Times New Roman" w:hAnsi="Times New Roman" w:cs="Times New Roman"/>
                <w:b/>
                <w:bCs/>
                <w:sz w:val="24"/>
                <w:szCs w:val="24"/>
                <w:lang w:val="en-US" w:eastAsia="zh-CN"/>
              </w:rPr>
              <w:t>工</w:t>
            </w:r>
            <w:r>
              <w:rPr>
                <w:rFonts w:hint="default" w:ascii="Times New Roman" w:hAnsi="Times New Roman" w:cs="Times New Roman"/>
                <w:b/>
                <w:bCs w:val="0"/>
                <w:sz w:val="24"/>
                <w:szCs w:val="24"/>
                <w:lang w:val="en-US" w:eastAsia="zh-CN"/>
              </w:rPr>
              <w:t>艺流程及产污环</w:t>
            </w:r>
            <w:r>
              <w:rPr>
                <w:rFonts w:hint="eastAsia" w:ascii="Times New Roman" w:hAnsi="Times New Roman" w:cs="Times New Roman"/>
                <w:b/>
                <w:bCs w:val="0"/>
                <w:sz w:val="24"/>
                <w:szCs w:val="24"/>
                <w:lang w:val="en-US" w:eastAsia="zh-CN"/>
              </w:rPr>
              <w:t>节</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val="0"/>
                <w:color w:val="000000"/>
                <w:kern w:val="0"/>
                <w:sz w:val="24"/>
                <w:szCs w:val="24"/>
                <w:lang w:val="en-US" w:eastAsia="zh-CN" w:bidi="ar"/>
              </w:rPr>
              <w:t>本项目为教育设施工程，是集学生教学、行政办公、学生生活居住活动为一体的综合机构，营运期主要是教学区、生活区、</w:t>
            </w:r>
            <w:r>
              <w:rPr>
                <w:rFonts w:hint="eastAsia" w:ascii="Times New Roman" w:hAnsi="Times New Roman" w:eastAsia="宋体" w:cs="Times New Roman"/>
                <w:b w:val="0"/>
                <w:bCs w:val="0"/>
                <w:color w:val="000000"/>
                <w:kern w:val="0"/>
                <w:sz w:val="24"/>
                <w:szCs w:val="24"/>
                <w:lang w:val="en-US" w:eastAsia="zh-CN" w:bidi="ar"/>
              </w:rPr>
              <w:t>运动区、</w:t>
            </w:r>
            <w:r>
              <w:rPr>
                <w:rFonts w:hint="default" w:ascii="Times New Roman" w:hAnsi="Times New Roman" w:eastAsia="宋体" w:cs="Times New Roman"/>
                <w:b w:val="0"/>
                <w:bCs w:val="0"/>
                <w:color w:val="000000"/>
                <w:kern w:val="0"/>
                <w:sz w:val="24"/>
                <w:szCs w:val="24"/>
                <w:lang w:val="en-US" w:eastAsia="zh-CN" w:bidi="ar"/>
              </w:rPr>
              <w:t>食堂</w:t>
            </w:r>
            <w:r>
              <w:rPr>
                <w:rFonts w:hint="eastAsia" w:ascii="Times New Roman" w:hAnsi="Times New Roman" w:eastAsia="宋体" w:cs="Times New Roman"/>
                <w:b w:val="0"/>
                <w:bCs w:val="0"/>
                <w:color w:val="000000"/>
                <w:kern w:val="0"/>
                <w:sz w:val="24"/>
                <w:szCs w:val="24"/>
                <w:lang w:val="en-US" w:eastAsia="zh-CN" w:bidi="ar"/>
              </w:rPr>
              <w:t>等产生</w:t>
            </w:r>
            <w:r>
              <w:rPr>
                <w:rFonts w:hint="default" w:ascii="Times New Roman" w:hAnsi="Times New Roman" w:eastAsia="宋体" w:cs="Times New Roman"/>
                <w:b w:val="0"/>
                <w:bCs w:val="0"/>
                <w:color w:val="000000"/>
                <w:kern w:val="0"/>
                <w:sz w:val="24"/>
                <w:szCs w:val="24"/>
                <w:lang w:val="en-US" w:eastAsia="zh-CN" w:bidi="ar"/>
              </w:rPr>
              <w:t>的生活污染</w:t>
            </w:r>
            <w:r>
              <w:rPr>
                <w:rFonts w:hint="eastAsia" w:ascii="Times New Roman" w:hAnsi="Times New Roman" w:eastAsia="宋体" w:cs="Times New Roman"/>
                <w:b w:val="0"/>
                <w:bCs w:val="0"/>
                <w:color w:val="000000"/>
                <w:kern w:val="0"/>
                <w:sz w:val="24"/>
                <w:szCs w:val="24"/>
                <w:lang w:val="en-US" w:eastAsia="zh-CN" w:bidi="ar"/>
              </w:rPr>
              <w:t>物</w:t>
            </w:r>
            <w:r>
              <w:rPr>
                <w:rFonts w:hint="default" w:ascii="Times New Roman" w:hAnsi="Times New Roman" w:eastAsia="宋体" w:cs="Times New Roman"/>
                <w:b w:val="0"/>
                <w:bCs w:val="0"/>
                <w:color w:val="000000"/>
                <w:kern w:val="0"/>
                <w:sz w:val="24"/>
                <w:szCs w:val="24"/>
                <w:lang w:val="en-US" w:eastAsia="zh-CN" w:bidi="ar"/>
              </w:rPr>
              <w:t>和实验</w:t>
            </w:r>
            <w:r>
              <w:rPr>
                <w:rFonts w:hint="eastAsia" w:ascii="Times New Roman" w:hAnsi="Times New Roman" w:eastAsia="宋体" w:cs="Times New Roman"/>
                <w:b w:val="0"/>
                <w:bCs w:val="0"/>
                <w:color w:val="000000"/>
                <w:kern w:val="0"/>
                <w:sz w:val="24"/>
                <w:szCs w:val="24"/>
                <w:lang w:val="en-US" w:eastAsia="zh-CN" w:bidi="ar"/>
              </w:rPr>
              <w:t>室产生的</w:t>
            </w:r>
            <w:r>
              <w:rPr>
                <w:rFonts w:hint="default" w:ascii="Times New Roman" w:hAnsi="Times New Roman" w:eastAsia="宋体" w:cs="Times New Roman"/>
                <w:b w:val="0"/>
                <w:bCs w:val="0"/>
                <w:color w:val="000000"/>
                <w:kern w:val="0"/>
                <w:sz w:val="24"/>
                <w:szCs w:val="24"/>
                <w:lang w:val="en-US" w:eastAsia="zh-CN" w:bidi="ar"/>
              </w:rPr>
              <w:t>实验污染</w:t>
            </w:r>
            <w:r>
              <w:rPr>
                <w:rFonts w:hint="eastAsia" w:ascii="Times New Roman" w:hAnsi="Times New Roman" w:eastAsia="宋体" w:cs="Times New Roman"/>
                <w:b w:val="0"/>
                <w:bCs w:val="0"/>
                <w:color w:val="000000"/>
                <w:kern w:val="0"/>
                <w:sz w:val="24"/>
                <w:szCs w:val="24"/>
                <w:lang w:val="en-US" w:eastAsia="zh-CN" w:bidi="ar"/>
              </w:rPr>
              <w:t>物</w:t>
            </w:r>
            <w:r>
              <w:rPr>
                <w:rFonts w:hint="default" w:ascii="Times New Roman" w:hAnsi="Times New Roman" w:eastAsia="宋体" w:cs="Times New Roman"/>
                <w:b w:val="0"/>
                <w:bCs w:val="0"/>
                <w:color w:val="000000"/>
                <w:kern w:val="0"/>
                <w:sz w:val="24"/>
                <w:szCs w:val="24"/>
                <w:lang w:val="en-US" w:eastAsia="zh-CN" w:bidi="ar"/>
              </w:rPr>
              <w:t>。项目营运期的工艺流程及产污位置</w:t>
            </w:r>
            <w:r>
              <w:rPr>
                <w:rFonts w:hint="eastAsia" w:ascii="Times New Roman" w:hAnsi="Times New Roman" w:eastAsia="宋体" w:cs="Times New Roman"/>
                <w:b w:val="0"/>
                <w:bCs w:val="0"/>
                <w:color w:val="000000"/>
                <w:kern w:val="0"/>
                <w:sz w:val="24"/>
                <w:szCs w:val="24"/>
                <w:lang w:val="en-US" w:eastAsia="zh-CN" w:bidi="ar"/>
              </w:rPr>
              <w:t>见下图</w:t>
            </w:r>
            <w:r>
              <w:rPr>
                <w:rFonts w:hint="default"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rPr>
                <w:rFonts w:ascii="宋体" w:hAnsi="宋体" w:eastAsia="宋体" w:cs="宋体"/>
                <w:kern w:val="0"/>
                <w:sz w:val="24"/>
                <w:szCs w:val="24"/>
                <w:lang w:val="en-US" w:eastAsia="zh-CN" w:bidi="ar"/>
              </w:rPr>
              <w:drawing>
                <wp:inline distT="0" distB="0" distL="114300" distR="114300">
                  <wp:extent cx="3505200" cy="3952875"/>
                  <wp:effectExtent l="0" t="0" r="0" b="9525"/>
                  <wp:docPr id="22"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IMG_256"/>
                          <pic:cNvPicPr>
                            <a:picLocks noChangeAspect="1"/>
                          </pic:cNvPicPr>
                        </pic:nvPicPr>
                        <pic:blipFill>
                          <a:blip r:embed="rId26"/>
                          <a:stretch>
                            <a:fillRect/>
                          </a:stretch>
                        </pic:blipFill>
                        <pic:spPr>
                          <a:xfrm>
                            <a:off x="0" y="0"/>
                            <a:ext cx="3505200" cy="3952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Times New Roman" w:hAnsi="Times New Roman" w:eastAsia="黑体" w:cs="Times New Roman"/>
                <w:b w:val="0"/>
                <w:bCs w:val="0"/>
                <w:color w:val="000000"/>
                <w:kern w:val="0"/>
                <w:sz w:val="21"/>
                <w:szCs w:val="21"/>
                <w:lang w:val="en-US" w:eastAsia="zh-CN" w:bidi="ar"/>
              </w:rPr>
            </w:pPr>
            <w:r>
              <w:rPr>
                <w:rFonts w:hint="default" w:ascii="Times New Roman" w:hAnsi="Times New Roman" w:eastAsia="黑体" w:cs="Times New Roman"/>
                <w:b w:val="0"/>
                <w:bCs w:val="0"/>
                <w:color w:val="000000"/>
                <w:kern w:val="0"/>
                <w:sz w:val="21"/>
                <w:szCs w:val="21"/>
                <w:lang w:val="en-US" w:eastAsia="zh-CN" w:bidi="ar"/>
              </w:rPr>
              <w:t>图</w:t>
            </w:r>
            <w:r>
              <w:rPr>
                <w:rFonts w:hint="eastAsia" w:ascii="Times New Roman" w:hAnsi="Times New Roman" w:eastAsia="黑体" w:cs="Times New Roman"/>
                <w:b w:val="0"/>
                <w:bCs w:val="0"/>
                <w:color w:val="000000"/>
                <w:kern w:val="0"/>
                <w:sz w:val="21"/>
                <w:szCs w:val="21"/>
                <w:lang w:val="en-US" w:eastAsia="zh-CN" w:bidi="ar"/>
              </w:rPr>
              <w:t>2-14</w:t>
            </w:r>
            <w:r>
              <w:rPr>
                <w:rFonts w:hint="default" w:ascii="Times New Roman" w:hAnsi="Times New Roman" w:eastAsia="黑体" w:cs="Times New Roman"/>
                <w:b w:val="0"/>
                <w:bCs w:val="0"/>
                <w:color w:val="000000"/>
                <w:kern w:val="0"/>
                <w:sz w:val="21"/>
                <w:szCs w:val="21"/>
                <w:lang w:val="en-US" w:eastAsia="zh-CN" w:bidi="ar"/>
              </w:rPr>
              <w:t xml:space="preserve"> 项目</w:t>
            </w:r>
            <w:r>
              <w:rPr>
                <w:rFonts w:hint="eastAsia" w:ascii="Times New Roman" w:hAnsi="Times New Roman" w:eastAsia="黑体" w:cs="Times New Roman"/>
                <w:b w:val="0"/>
                <w:bCs w:val="0"/>
                <w:color w:val="000000"/>
                <w:kern w:val="0"/>
                <w:sz w:val="21"/>
                <w:szCs w:val="21"/>
                <w:lang w:val="en-US" w:eastAsia="zh-CN" w:bidi="ar"/>
              </w:rPr>
              <w:t>运营</w:t>
            </w:r>
            <w:r>
              <w:rPr>
                <w:rFonts w:hint="default" w:ascii="Times New Roman" w:hAnsi="Times New Roman" w:eastAsia="黑体" w:cs="Times New Roman"/>
                <w:b w:val="0"/>
                <w:bCs w:val="0"/>
                <w:color w:val="000000"/>
                <w:kern w:val="0"/>
                <w:sz w:val="21"/>
                <w:szCs w:val="21"/>
                <w:lang w:val="en-US" w:eastAsia="zh-CN" w:bidi="ar"/>
              </w:rPr>
              <w:t>期工艺流程及产污位置示意图</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主要工序简述：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bCs w:val="0"/>
                <w:sz w:val="24"/>
                <w:szCs w:val="24"/>
                <w:lang w:val="en-US" w:eastAsia="zh-CN"/>
              </w:rPr>
              <w:t>①</w:t>
            </w:r>
            <w:r>
              <w:rPr>
                <w:rFonts w:hint="default" w:ascii="Times New Roman" w:hAnsi="Times New Roman" w:cs="Times New Roman"/>
                <w:b/>
                <w:bCs w:val="0"/>
                <w:sz w:val="24"/>
                <w:szCs w:val="24"/>
                <w:lang w:val="en-US" w:eastAsia="zh-CN"/>
              </w:rPr>
              <w:t>教学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本项目建成师生入校后学习、办公，在过程中会产生一定量的</w:t>
            </w:r>
            <w:r>
              <w:rPr>
                <w:rFonts w:hint="eastAsia" w:ascii="Times New Roman" w:hAnsi="Times New Roman" w:cs="Times New Roman"/>
                <w:b w:val="0"/>
                <w:bCs/>
                <w:sz w:val="24"/>
                <w:szCs w:val="24"/>
                <w:lang w:val="en-US" w:eastAsia="zh-CN"/>
              </w:rPr>
              <w:t>办公</w:t>
            </w:r>
            <w:r>
              <w:rPr>
                <w:rFonts w:hint="default" w:ascii="Times New Roman" w:hAnsi="Times New Roman" w:cs="Times New Roman"/>
                <w:b w:val="0"/>
                <w:bCs/>
                <w:sz w:val="24"/>
                <w:szCs w:val="24"/>
                <w:lang w:val="en-US" w:eastAsia="zh-CN"/>
              </w:rPr>
              <w:t>垃圾、生活污水以及噪声。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②</w:t>
            </w:r>
            <w:r>
              <w:rPr>
                <w:rFonts w:hint="default" w:ascii="Times New Roman" w:hAnsi="Times New Roman" w:cs="Times New Roman"/>
                <w:b/>
                <w:bCs w:val="0"/>
                <w:sz w:val="24"/>
                <w:szCs w:val="24"/>
                <w:lang w:val="en-US" w:eastAsia="zh-CN"/>
              </w:rPr>
              <w:t>生活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学校内设有食堂，为教职员工及学生提供用餐</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在炒菜过程中会产生食堂油烟，蔬菜、就餐工具的洗涤过程中会产生有机物、油脂、悬浮物都较高的清洗废水</w:t>
            </w:r>
            <w:r>
              <w:rPr>
                <w:rFonts w:hint="eastAsia" w:ascii="Times New Roman" w:hAnsi="Times New Roman" w:cs="Times New Roman"/>
                <w:b w:val="0"/>
                <w:bCs/>
                <w:sz w:val="24"/>
                <w:szCs w:val="24"/>
                <w:lang w:val="en-US" w:eastAsia="zh-CN"/>
              </w:rPr>
              <w:t>（食堂废水）</w:t>
            </w:r>
            <w:r>
              <w:rPr>
                <w:rFonts w:hint="default" w:ascii="Times New Roman" w:hAnsi="Times New Roman" w:cs="Times New Roman"/>
                <w:b w:val="0"/>
                <w:bCs/>
                <w:sz w:val="24"/>
                <w:szCs w:val="24"/>
                <w:lang w:val="en-US" w:eastAsia="zh-CN"/>
              </w:rPr>
              <w:t>，以及就餐过程中产生的少量餐厨垃圾</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烹饪过程中会产生噪声等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师生其他生活产生的生活垃圾和生活污水。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③</w:t>
            </w:r>
            <w:r>
              <w:rPr>
                <w:rFonts w:hint="default" w:ascii="Times New Roman" w:hAnsi="Times New Roman" w:cs="Times New Roman"/>
                <w:b/>
                <w:bCs w:val="0"/>
                <w:sz w:val="24"/>
                <w:szCs w:val="24"/>
                <w:lang w:val="en-US" w:eastAsia="zh-CN"/>
              </w:rPr>
              <w:t>实验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cs="Times New Roman"/>
                <w:b w:val="0"/>
                <w:bCs/>
                <w:sz w:val="24"/>
                <w:szCs w:val="24"/>
                <w:lang w:val="en-US" w:eastAsia="zh-CN"/>
              </w:rPr>
              <w:t>学校设有实验室，</w:t>
            </w:r>
            <w:r>
              <w:rPr>
                <w:rFonts w:hint="eastAsia" w:ascii="Times New Roman" w:hAnsi="Times New Roman" w:eastAsia="宋体" w:cs="Times New Roman"/>
                <w:color w:val="auto"/>
                <w:sz w:val="24"/>
                <w:szCs w:val="24"/>
                <w:lang w:val="en-US" w:eastAsia="zh-CN"/>
              </w:rPr>
              <w:t>主要进行中药研究实验，包括药学实验、分子生物学实验、细胞学实验、动物解剖实验、有机及无机化学实验等，</w:t>
            </w:r>
            <w:r>
              <w:rPr>
                <w:rFonts w:hint="eastAsia" w:ascii="Times New Roman" w:hAnsi="Times New Roman" w:eastAsia="宋体" w:cs="Times New Roman"/>
                <w:sz w:val="24"/>
                <w:szCs w:val="24"/>
                <w:lang w:val="en-US" w:eastAsia="zh-CN"/>
              </w:rPr>
              <w:t>主要面向部分老师和学生用于科研、创新等基础研究。</w:t>
            </w:r>
            <w:r>
              <w:rPr>
                <w:rFonts w:hint="default" w:ascii="Times New Roman" w:hAnsi="Times New Roman" w:eastAsia="宋体" w:cs="Times New Roman"/>
                <w:b/>
                <w:bCs/>
                <w:color w:val="000000"/>
                <w:kern w:val="0"/>
                <w:sz w:val="24"/>
                <w:szCs w:val="24"/>
                <w:lang w:val="en-US" w:eastAsia="zh-CN" w:bidi="ar"/>
              </w:rPr>
              <w:t>不涉及中试及以上规模的研发；</w:t>
            </w:r>
            <w:r>
              <w:rPr>
                <w:rFonts w:hint="eastAsia" w:ascii="Times New Roman" w:hAnsi="Times New Roman" w:eastAsia="宋体" w:cs="Times New Roman"/>
                <w:b/>
                <w:bCs/>
                <w:sz w:val="24"/>
                <w:szCs w:val="24"/>
                <w:lang w:val="en-US" w:eastAsia="zh-CN"/>
              </w:rPr>
              <w:t>不涉及合成药实验、重金属类实验；</w:t>
            </w:r>
            <w:r>
              <w:rPr>
                <w:rFonts w:hint="default" w:ascii="Times New Roman" w:hAnsi="Times New Roman" w:eastAsia="宋体" w:cs="Times New Roman"/>
                <w:b/>
                <w:bCs/>
                <w:color w:val="000000"/>
                <w:kern w:val="0"/>
                <w:sz w:val="24"/>
                <w:szCs w:val="24"/>
                <w:lang w:val="en-US" w:eastAsia="zh-CN" w:bidi="ar"/>
              </w:rPr>
              <w:t>不涉及 P3、P4 级生物安全实验和转基因实验；不涉及氰化物及有严重恶臭、异味物质产生的实验。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药学实验</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主要进行中药有效成分的分析和检验检测、药效活性分析，研究药物的毒理、药效实验，进而研发中医药大健康产品。实验过程一般包括样品前处理(一般在学科实验室完成)、仪器预热或预运行、样品分析、仪器清洗与复原等步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分子生物学实验</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主要针对蛋白质、核酸分子等进行常规的分子生物学实验，实验内容包括核酸和蛋白提取分离鉴定、免疫沉淀等。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细胞学实验</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主要对生物安全级别一级未受病毒感染的原代细胞及细胞系进行细胞培养，实验内容包括细胞复苏、传代、转染、细胞冻存等。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sz w:val="24"/>
                <w:szCs w:val="24"/>
                <w:lang w:val="en-US" w:eastAsia="zh-CN"/>
              </w:rPr>
              <w:t>动物解剖实验：</w:t>
            </w:r>
            <w:r>
              <w:rPr>
                <w:rFonts w:hint="eastAsia" w:ascii="Times New Roman" w:hAnsi="Times New Roman" w:eastAsia="宋体" w:cs="Times New Roman"/>
                <w:b w:val="0"/>
                <w:bCs w:val="0"/>
                <w:color w:val="auto"/>
                <w:sz w:val="24"/>
                <w:szCs w:val="24"/>
                <w:lang w:val="en-US" w:eastAsia="zh-CN"/>
              </w:rPr>
              <w:t>实验动物主要为小白兔、小白鼠、蟾蜍，对其进行简单的</w:t>
            </w:r>
            <w:r>
              <w:rPr>
                <w:rFonts w:hint="eastAsia" w:ascii="Times New Roman" w:hAnsi="Times New Roman" w:eastAsia="宋体" w:cs="Times New Roman"/>
                <w:color w:val="auto"/>
                <w:sz w:val="24"/>
                <w:szCs w:val="24"/>
                <w:lang w:val="en-US" w:eastAsia="zh-CN"/>
              </w:rPr>
              <w:t>解剖观察，不涉及化学试剂使用。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bCs w:val="0"/>
                <w:sz w:val="24"/>
                <w:szCs w:val="24"/>
                <w:lang w:val="en-US" w:eastAsia="zh-CN"/>
              </w:rPr>
              <w:t>有机及无机化学实验</w:t>
            </w:r>
            <w:r>
              <w:rPr>
                <w:rFonts w:hint="eastAsia" w:ascii="Times New Roman" w:hAnsi="Times New Roman" w:cs="Times New Roman"/>
                <w:b w:val="0"/>
                <w:bCs/>
                <w:sz w:val="24"/>
                <w:szCs w:val="24"/>
                <w:lang w:val="en-US" w:eastAsia="zh-CN"/>
              </w:rPr>
              <w:t>：主要为有机合成实验、理化分析实验，其中理化分析实验主要为利用分析天平、电导率仪等仪器设备对样品进行分析检测。有机合成实验主要为乙酸乙酯、乙酸正丁酯、乙酰苯胺等简单有机物的合成制备实验，主要原料为乙醇、乙酸、丁醇、苯胺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主要产生实验废水﹑实验废气</w:t>
            </w:r>
            <w:r>
              <w:rPr>
                <w:rFonts w:hint="eastAsia" w:ascii="Times New Roman" w:hAnsi="Times New Roman" w:cs="Times New Roman"/>
                <w:b w:val="0"/>
                <w:bCs/>
                <w:sz w:val="24"/>
                <w:szCs w:val="24"/>
                <w:lang w:val="en-US" w:eastAsia="zh-CN"/>
              </w:rPr>
              <w:t>、实验固废</w:t>
            </w:r>
            <w:r>
              <w:rPr>
                <w:rFonts w:hint="default" w:ascii="Times New Roman" w:hAnsi="Times New Roman" w:cs="Times New Roman"/>
                <w:b w:val="0"/>
                <w:bCs/>
                <w:sz w:val="24"/>
                <w:szCs w:val="24"/>
                <w:lang w:val="en-US" w:eastAsia="zh-CN"/>
              </w:rPr>
              <w:t>以及噪声。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④</w:t>
            </w:r>
            <w:r>
              <w:rPr>
                <w:rFonts w:hint="default" w:ascii="Times New Roman" w:hAnsi="Times New Roman" w:cs="Times New Roman"/>
                <w:b/>
                <w:bCs w:val="0"/>
                <w:sz w:val="24"/>
                <w:szCs w:val="24"/>
                <w:lang w:val="en-US" w:eastAsia="zh-CN"/>
              </w:rPr>
              <w:t>公辅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bCs w:val="0"/>
                <w:sz w:val="24"/>
                <w:szCs w:val="24"/>
                <w:lang w:val="en-US" w:eastAsia="zh-CN"/>
              </w:rPr>
            </w:pPr>
            <w:r>
              <w:rPr>
                <w:rFonts w:hint="default" w:ascii="Times New Roman" w:hAnsi="Times New Roman" w:cs="Times New Roman"/>
                <w:b w:val="0"/>
                <w:bCs/>
                <w:sz w:val="24"/>
                <w:szCs w:val="24"/>
                <w:lang w:val="en-US" w:eastAsia="zh-CN"/>
              </w:rPr>
              <w:t>主要包括停车场、化粪池、垃圾收集点</w:t>
            </w:r>
            <w:r>
              <w:rPr>
                <w:rFonts w:hint="eastAsia" w:ascii="Times New Roman" w:hAnsi="Times New Roman" w:cs="Times New Roman"/>
                <w:b w:val="0"/>
                <w:bCs/>
                <w:sz w:val="24"/>
                <w:szCs w:val="24"/>
                <w:lang w:val="en-US" w:eastAsia="zh-CN"/>
              </w:rPr>
              <w:t>、备用柴油发电机</w:t>
            </w:r>
            <w:r>
              <w:rPr>
                <w:rFonts w:hint="default" w:ascii="Times New Roman" w:hAnsi="Times New Roman" w:cs="Times New Roman"/>
                <w:b w:val="0"/>
                <w:bCs/>
                <w:sz w:val="24"/>
                <w:szCs w:val="24"/>
                <w:lang w:val="en-US" w:eastAsia="zh-CN"/>
              </w:rPr>
              <w:t>等。车辆在进出停车场时及启动的时候会产生噪声及汽车尾气</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化粪池运行一段时间后会产生一定量的污泥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垃圾收集点恶臭</w:t>
            </w:r>
            <w:r>
              <w:rPr>
                <w:rFonts w:hint="eastAsia" w:ascii="Times New Roman" w:hAnsi="Times New Roman" w:cs="Times New Roman"/>
                <w:b w:val="0"/>
                <w:bCs/>
                <w:sz w:val="24"/>
                <w:szCs w:val="24"/>
                <w:lang w:val="en-US" w:eastAsia="zh-CN"/>
              </w:rPr>
              <w:t>；柴油发电机废气</w:t>
            </w:r>
            <w:r>
              <w:rPr>
                <w:rFonts w:hint="default" w:ascii="Times New Roman" w:hAnsi="Times New Roman" w:cs="Times New Roman"/>
                <w:b w:val="0"/>
                <w:bCs/>
                <w:sz w:val="24"/>
                <w:szCs w:val="24"/>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（2）产污环节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①废气</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项目运行期的废气主要为实验废气、食堂油烟、汽车尾气、柴油发电机废气、垃圾收集点恶臭。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val="0"/>
                <w:bCs/>
                <w:sz w:val="24"/>
                <w:szCs w:val="24"/>
                <w:lang w:val="en-US" w:eastAsia="zh-CN"/>
              </w:rPr>
              <w:t xml:space="preserve">    </w:t>
            </w:r>
            <w:r>
              <w:rPr>
                <w:rFonts w:hint="eastAsia" w:ascii="Times New Roman" w:hAnsi="Times New Roman" w:cs="Times New Roman"/>
                <w:b/>
                <w:bCs w:val="0"/>
                <w:sz w:val="24"/>
                <w:szCs w:val="24"/>
                <w:lang w:val="en-US" w:eastAsia="zh-CN"/>
              </w:rPr>
              <w:t>②废水</w:t>
            </w:r>
          </w:p>
          <w:p>
            <w:pPr>
              <w:adjustRightInd w:val="0"/>
              <w:snapToGrid w:val="0"/>
              <w:spacing w:line="360" w:lineRule="auto"/>
              <w:ind w:firstLine="480" w:firstLineChars="200"/>
              <w:rPr>
                <w:sz w:val="24"/>
                <w:szCs w:val="24"/>
              </w:rPr>
            </w:pPr>
            <w:r>
              <w:rPr>
                <w:rFonts w:hint="eastAsia"/>
                <w:sz w:val="24"/>
                <w:szCs w:val="24"/>
                <w:lang w:val="en-US" w:eastAsia="zh-CN"/>
              </w:rPr>
              <w:t>项目</w:t>
            </w:r>
            <w:r>
              <w:rPr>
                <w:rFonts w:hint="eastAsia" w:ascii="宋体" w:hAnsi="宋体" w:eastAsia="宋体" w:cs="宋体"/>
                <w:color w:val="000000"/>
                <w:kern w:val="0"/>
                <w:sz w:val="24"/>
                <w:szCs w:val="24"/>
                <w:lang w:val="en-US" w:eastAsia="zh-CN" w:bidi="ar"/>
              </w:rPr>
              <w:t>运行期的</w:t>
            </w:r>
            <w:r>
              <w:rPr>
                <w:rFonts w:hint="eastAsia"/>
                <w:sz w:val="24"/>
                <w:szCs w:val="24"/>
                <w:lang w:val="en-US" w:eastAsia="zh-CN"/>
              </w:rPr>
              <w:t>废水</w:t>
            </w:r>
            <w:r>
              <w:rPr>
                <w:rFonts w:hint="eastAsia"/>
                <w:sz w:val="24"/>
                <w:szCs w:val="24"/>
              </w:rPr>
              <w:t>主要为生活污水</w:t>
            </w:r>
            <w:r>
              <w:rPr>
                <w:rFonts w:hint="eastAsia"/>
                <w:sz w:val="24"/>
                <w:szCs w:val="24"/>
                <w:lang w:eastAsia="zh-CN"/>
              </w:rPr>
              <w:t>、</w:t>
            </w:r>
            <w:r>
              <w:rPr>
                <w:rFonts w:hint="eastAsia"/>
                <w:sz w:val="24"/>
                <w:szCs w:val="24"/>
              </w:rPr>
              <w:t>实验废水</w:t>
            </w:r>
            <w:r>
              <w:rPr>
                <w:rFonts w:hint="eastAsia"/>
                <w:sz w:val="24"/>
                <w:szCs w:val="24"/>
                <w:lang w:eastAsia="zh-CN"/>
              </w:rPr>
              <w:t>、</w:t>
            </w:r>
            <w:r>
              <w:rPr>
                <w:rFonts w:hint="eastAsia"/>
                <w:sz w:val="24"/>
                <w:szCs w:val="24"/>
                <w:lang w:val="en-US" w:eastAsia="zh-CN"/>
              </w:rPr>
              <w:t>食堂废水</w:t>
            </w:r>
            <w:r>
              <w:rPr>
                <w:rFonts w:hint="eastAsia"/>
                <w:sz w:val="24"/>
                <w:szCs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③噪声</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项目运行期的噪声主要为设备噪声、车辆交通噪声、社会生活噪声。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④固废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bCs/>
                <w:sz w:val="24"/>
                <w:szCs w:val="24"/>
                <w:lang w:val="en-US" w:eastAsia="zh-CN"/>
              </w:rPr>
            </w:pPr>
            <w:r>
              <w:rPr>
                <w:rFonts w:hint="eastAsia" w:ascii="宋体" w:hAnsi="宋体" w:eastAsia="宋体" w:cs="宋体"/>
                <w:color w:val="000000"/>
                <w:kern w:val="0"/>
                <w:sz w:val="24"/>
                <w:szCs w:val="24"/>
                <w:lang w:val="en-US" w:eastAsia="zh-CN" w:bidi="ar"/>
              </w:rPr>
              <w:t>项目运行期的固废主要有：</w:t>
            </w:r>
            <w:r>
              <w:rPr>
                <w:rFonts w:hint="eastAsia" w:ascii="宋体" w:hAnsi="宋体" w:eastAsia="宋体" w:cs="宋体"/>
                <w:b w:val="0"/>
                <w:bCs w:val="0"/>
                <w:color w:val="000000"/>
                <w:kern w:val="0"/>
                <w:sz w:val="24"/>
                <w:szCs w:val="24"/>
                <w:lang w:val="en-US" w:eastAsia="zh-CN" w:bidi="ar"/>
              </w:rPr>
              <w:t>危险废物：实验废弃物（实验废液、废药品试剂、废试剂瓶等）、</w:t>
            </w:r>
            <w:r>
              <w:rPr>
                <w:rFonts w:hint="eastAsia" w:ascii="宋体" w:hAnsi="宋体" w:eastAsia="宋体" w:cs="宋体"/>
                <w:color w:val="000000"/>
                <w:kern w:val="0"/>
                <w:sz w:val="24"/>
                <w:szCs w:val="24"/>
                <w:lang w:val="en-US" w:eastAsia="zh-CN" w:bidi="ar"/>
              </w:rPr>
              <w:t>废活性炭</w:t>
            </w:r>
            <w:r>
              <w:rPr>
                <w:rFonts w:hint="eastAsia" w:eastAsia="宋体"/>
                <w:color w:val="000000"/>
                <w:kern w:val="0"/>
                <w:sz w:val="24"/>
                <w:szCs w:val="24"/>
                <w:lang w:eastAsia="zh-CN"/>
              </w:rPr>
              <w:t>；</w:t>
            </w:r>
            <w:r>
              <w:rPr>
                <w:rFonts w:hint="eastAsia" w:eastAsia="宋体"/>
                <w:color w:val="000000"/>
                <w:kern w:val="0"/>
                <w:sz w:val="24"/>
                <w:szCs w:val="24"/>
                <w:lang w:val="en-US" w:eastAsia="zh-CN"/>
              </w:rPr>
              <w:t>一般固体废物：</w:t>
            </w:r>
            <w:r>
              <w:rPr>
                <w:rFonts w:hint="eastAsia" w:ascii="宋体" w:hAnsi="宋体" w:eastAsia="宋体" w:cs="宋体"/>
                <w:color w:val="000000"/>
                <w:kern w:val="0"/>
                <w:sz w:val="24"/>
                <w:szCs w:val="24"/>
                <w:lang w:val="en-US" w:eastAsia="zh-CN" w:bidi="ar"/>
              </w:rPr>
              <w:t xml:space="preserve">生活垃圾、餐厨垃圾、化粪池污泥、动物尸体。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cs="宋体"/>
                <w:sz w:val="24"/>
                <w:szCs w:val="24"/>
              </w:rPr>
            </w:pPr>
            <w:r>
              <w:rPr>
                <w:rFonts w:hint="eastAsia" w:cs="宋体"/>
                <w:bCs/>
                <w:kern w:val="2"/>
                <w:sz w:val="24"/>
                <w:szCs w:val="24"/>
              </w:rPr>
              <w:t>与项目有关的原有环境污染问题</w:t>
            </w:r>
          </w:p>
        </w:tc>
        <w:tc>
          <w:tcPr>
            <w:tcW w:w="859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color w:val="auto"/>
                <w:sz w:val="24"/>
                <w:szCs w:val="24"/>
                <w:lang w:val="en-US" w:eastAsia="zh-CN"/>
              </w:rPr>
            </w:pPr>
            <w:r>
              <w:rPr>
                <w:rFonts w:hint="eastAsia" w:cs="Times New Roman"/>
                <w:color w:val="auto"/>
                <w:sz w:val="24"/>
                <w:szCs w:val="24"/>
              </w:rPr>
              <w:t>本项目为新建项目，</w:t>
            </w:r>
            <w:r>
              <w:rPr>
                <w:rFonts w:hint="eastAsia" w:cs="Times New Roman"/>
                <w:color w:val="auto"/>
                <w:sz w:val="24"/>
                <w:szCs w:val="24"/>
                <w:lang w:val="en-US" w:eastAsia="zh-CN"/>
              </w:rPr>
              <w:t>位于</w:t>
            </w:r>
            <w:r>
              <w:rPr>
                <w:rFonts w:hint="eastAsia" w:ascii="宋体" w:hAnsi="宋体" w:eastAsia="宋体" w:cs="宋体"/>
                <w:b w:val="0"/>
                <w:bCs w:val="0"/>
                <w:color w:val="000000"/>
                <w:kern w:val="0"/>
                <w:sz w:val="24"/>
                <w:szCs w:val="24"/>
                <w:lang w:val="en-US" w:eastAsia="zh-CN" w:bidi="ar"/>
              </w:rPr>
              <w:t>达州市通川区西南职教园区</w:t>
            </w:r>
            <w:r>
              <w:rPr>
                <w:rFonts w:hint="eastAsia"/>
                <w:sz w:val="26"/>
                <w:szCs w:val="28"/>
                <w:lang w:eastAsia="zh-CN"/>
              </w:rPr>
              <w:t>，</w:t>
            </w:r>
            <w:r>
              <w:rPr>
                <w:rFonts w:hint="eastAsia" w:cs="Times New Roman"/>
                <w:color w:val="auto"/>
                <w:sz w:val="24"/>
                <w:szCs w:val="24"/>
              </w:rPr>
              <w:t>拟建地块</w:t>
            </w:r>
            <w:r>
              <w:rPr>
                <w:rFonts w:hint="eastAsia" w:cs="Times New Roman"/>
                <w:color w:val="auto"/>
                <w:sz w:val="24"/>
                <w:szCs w:val="24"/>
                <w:lang w:val="en-US" w:eastAsia="zh-CN"/>
              </w:rPr>
              <w:t>为规划的</w:t>
            </w:r>
            <w:r>
              <w:rPr>
                <w:rFonts w:hint="eastAsia" w:ascii="Times New Roman" w:hAnsi="Times New Roman" w:eastAsia="宋体" w:cs="Times New Roman"/>
                <w:b w:val="0"/>
                <w:bCs w:val="0"/>
                <w:color w:val="auto"/>
                <w:sz w:val="24"/>
                <w:szCs w:val="24"/>
                <w:lang w:val="en-US" w:eastAsia="zh-CN"/>
              </w:rPr>
              <w:t>职业教育用地、防护</w:t>
            </w:r>
            <w:r>
              <w:rPr>
                <w:rFonts w:hint="default" w:ascii="Times New Roman" w:hAnsi="Times New Roman" w:eastAsia="宋体" w:cs="Times New Roman"/>
                <w:b w:val="0"/>
                <w:bCs w:val="0"/>
                <w:color w:val="auto"/>
                <w:sz w:val="24"/>
                <w:szCs w:val="24"/>
                <w:lang w:val="en-US" w:eastAsia="zh-CN"/>
              </w:rPr>
              <w:t>绿地</w:t>
            </w:r>
            <w:r>
              <w:rPr>
                <w:rFonts w:hint="eastAsia" w:ascii="Times New Roman" w:hAnsi="Times New Roman" w:cs="Times New Roman"/>
                <w:b w:val="0"/>
                <w:bCs w:val="0"/>
                <w:color w:val="auto"/>
                <w:kern w:val="2"/>
                <w:sz w:val="24"/>
                <w:szCs w:val="24"/>
                <w:highlight w:val="none"/>
                <w:lang w:val="en-US" w:eastAsia="zh-CN" w:bidi="ar-SA"/>
              </w:rPr>
              <w:t>，均为净地，</w:t>
            </w:r>
            <w:r>
              <w:rPr>
                <w:rFonts w:hint="eastAsia" w:cs="Times New Roman"/>
                <w:color w:val="auto"/>
                <w:sz w:val="24"/>
                <w:szCs w:val="24"/>
                <w:lang w:val="en-US" w:eastAsia="zh-CN"/>
              </w:rPr>
              <w:t>项目</w:t>
            </w:r>
            <w:r>
              <w:rPr>
                <w:rFonts w:hint="eastAsia" w:cs="Times New Roman"/>
                <w:color w:val="auto"/>
                <w:sz w:val="24"/>
                <w:szCs w:val="24"/>
              </w:rPr>
              <w:t>不存在遗留环境问题</w:t>
            </w:r>
            <w:r>
              <w:rPr>
                <w:rFonts w:hint="eastAsia"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eastAsia" w:cs="Times New Roman"/>
                <w:color w:val="auto"/>
                <w:sz w:val="24"/>
                <w:szCs w:val="24"/>
              </w:rPr>
            </w:pP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cs="Times New Roman"/>
                <w:color w:val="auto"/>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Cs/>
                <w:color w:val="auto"/>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Cs/>
                <w:color w:val="auto"/>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bCs/>
                <w:sz w:val="24"/>
                <w:szCs w:val="24"/>
              </w:rPr>
            </w:pPr>
          </w:p>
        </w:tc>
      </w:tr>
    </w:tbl>
    <w:p>
      <w:pPr>
        <w:pStyle w:val="22"/>
        <w:jc w:val="both"/>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3"/>
        <w:gridCol w:w="86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36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627"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一、大气环境质量现状</w:t>
            </w:r>
          </w:p>
          <w:p>
            <w:pPr>
              <w:adjustRightInd w:val="0"/>
              <w:snapToGrid w:val="0"/>
              <w:spacing w:line="360" w:lineRule="auto"/>
              <w:ind w:firstLine="482" w:firstLineChars="200"/>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1、</w:t>
            </w:r>
            <w:r>
              <w:rPr>
                <w:rFonts w:hint="eastAsia" w:ascii="Times New Roman" w:hAnsi="Times New Roman" w:eastAsia="宋体" w:cs="Times New Roman"/>
                <w:b/>
                <w:sz w:val="24"/>
                <w:szCs w:val="24"/>
                <w:lang w:val="en-US" w:eastAsia="zh-CN"/>
              </w:rPr>
              <w:t>基本污染物环境质量现状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根据《环境影响评价技术导则</w:t>
            </w:r>
            <w:r>
              <w:rPr>
                <w:rFonts w:hint="eastAsia"/>
                <w:sz w:val="24"/>
                <w:szCs w:val="24"/>
              </w:rPr>
              <w:t xml:space="preserve"> </w:t>
            </w:r>
            <w:r>
              <w:rPr>
                <w:sz w:val="24"/>
                <w:szCs w:val="24"/>
              </w:rPr>
              <w:t>大气环境》（HJ2.2-2018）中</w:t>
            </w:r>
            <w:r>
              <w:rPr>
                <w:rFonts w:ascii="宋体" w:hAnsi="宋体"/>
                <w:sz w:val="24"/>
                <w:szCs w:val="24"/>
              </w:rPr>
              <w:t>“</w:t>
            </w:r>
            <w:r>
              <w:rPr>
                <w:sz w:val="24"/>
                <w:szCs w:val="24"/>
              </w:rPr>
              <w:t>6.2.1.1，项目所在区域达标判定，优先采用国家或地方生态环境主管部门公开发布的评价基准年环境质量公告或环境质量报告中的数据或结论</w:t>
            </w:r>
            <w:r>
              <w:rPr>
                <w:rFonts w:ascii="宋体" w:hAnsi="宋体"/>
                <w:sz w:val="24"/>
                <w:szCs w:val="24"/>
              </w:rPr>
              <w:t>”</w:t>
            </w:r>
            <w:r>
              <w:rPr>
                <w:sz w:val="24"/>
                <w:szCs w:val="24"/>
              </w:rPr>
              <w:t>，本项目</w:t>
            </w:r>
            <w:r>
              <w:rPr>
                <w:rFonts w:hint="eastAsia"/>
                <w:sz w:val="24"/>
                <w:szCs w:val="24"/>
              </w:rPr>
              <w:t>SO</w:t>
            </w:r>
            <w:r>
              <w:rPr>
                <w:rFonts w:hint="eastAsia"/>
                <w:sz w:val="24"/>
                <w:szCs w:val="24"/>
                <w:vertAlign w:val="subscript"/>
              </w:rPr>
              <w:t>2</w:t>
            </w:r>
            <w:r>
              <w:rPr>
                <w:rFonts w:hint="eastAsia"/>
                <w:sz w:val="24"/>
                <w:szCs w:val="24"/>
              </w:rPr>
              <w:t>、CO、NO</w:t>
            </w:r>
            <w:r>
              <w:rPr>
                <w:rFonts w:hint="eastAsia"/>
                <w:sz w:val="24"/>
                <w:szCs w:val="24"/>
                <w:vertAlign w:val="subscript"/>
              </w:rPr>
              <w:t>2</w:t>
            </w:r>
            <w:r>
              <w:rPr>
                <w:rFonts w:hint="eastAsia"/>
                <w:sz w:val="24"/>
                <w:szCs w:val="24"/>
              </w:rPr>
              <w:t>、PM</w:t>
            </w:r>
            <w:r>
              <w:rPr>
                <w:rFonts w:hint="eastAsia"/>
                <w:sz w:val="24"/>
                <w:szCs w:val="24"/>
                <w:vertAlign w:val="subscript"/>
              </w:rPr>
              <w:t>2.5</w:t>
            </w:r>
            <w:r>
              <w:rPr>
                <w:rFonts w:hint="eastAsia"/>
                <w:sz w:val="24"/>
                <w:szCs w:val="24"/>
              </w:rPr>
              <w:t>、PM</w:t>
            </w:r>
            <w:r>
              <w:rPr>
                <w:rFonts w:hint="eastAsia"/>
                <w:sz w:val="24"/>
                <w:szCs w:val="24"/>
                <w:vertAlign w:val="subscript"/>
              </w:rPr>
              <w:t>10</w:t>
            </w:r>
            <w:r>
              <w:rPr>
                <w:rFonts w:hint="eastAsia"/>
                <w:sz w:val="24"/>
                <w:szCs w:val="24"/>
              </w:rPr>
              <w:t>、O</w:t>
            </w:r>
            <w:r>
              <w:rPr>
                <w:rFonts w:hint="eastAsia"/>
                <w:sz w:val="24"/>
                <w:szCs w:val="24"/>
                <w:vertAlign w:val="subscript"/>
              </w:rPr>
              <w:t>3</w:t>
            </w:r>
            <w:r>
              <w:rPr>
                <w:rFonts w:hint="eastAsia"/>
                <w:sz w:val="24"/>
                <w:szCs w:val="24"/>
              </w:rPr>
              <w:t>引用达州市生态环境局2023年1月18日公布的《达州市2022年环境空气质量状况》中相关数据和结论。</w:t>
            </w:r>
          </w:p>
          <w:p>
            <w:pPr>
              <w:adjustRightInd w:val="0"/>
              <w:snapToGrid w:val="0"/>
              <w:spacing w:line="360" w:lineRule="auto"/>
              <w:ind w:firstLine="480" w:firstLineChars="200"/>
              <w:rPr>
                <w:rFonts w:hint="eastAsia"/>
                <w:sz w:val="24"/>
                <w:szCs w:val="24"/>
              </w:rPr>
            </w:pPr>
            <w:r>
              <w:rPr>
                <w:rFonts w:hint="eastAsia"/>
                <w:sz w:val="24"/>
                <w:szCs w:val="24"/>
              </w:rPr>
              <w:t>2022年达州市主城区环境空气质量达标率为94.0%，同比上升5.2%，达标天数全年343天，同比增加19天。其中空气质量优162天、良181天、轻度污染17天、中度污染5天。</w:t>
            </w:r>
          </w:p>
          <w:p>
            <w:pPr>
              <w:adjustRightInd w:val="0"/>
              <w:snapToGrid w:val="0"/>
              <w:spacing w:line="360" w:lineRule="auto"/>
              <w:ind w:firstLine="480" w:firstLineChars="200"/>
              <w:rPr>
                <w:rFonts w:hint="eastAsia"/>
                <w:sz w:val="24"/>
                <w:szCs w:val="24"/>
              </w:rPr>
            </w:pPr>
            <w:r>
              <w:rPr>
                <w:rFonts w:hint="eastAsia"/>
                <w:sz w:val="24"/>
                <w:szCs w:val="24"/>
              </w:rPr>
              <w:t>2022年达州市主城区SO</w:t>
            </w:r>
            <w:r>
              <w:rPr>
                <w:rFonts w:hint="eastAsia"/>
                <w:sz w:val="24"/>
                <w:szCs w:val="24"/>
                <w:vertAlign w:val="subscript"/>
              </w:rPr>
              <w:t>2</w:t>
            </w:r>
            <w:r>
              <w:rPr>
                <w:rFonts w:hint="eastAsia"/>
                <w:sz w:val="24"/>
                <w:szCs w:val="24"/>
              </w:rPr>
              <w:t>平均浓度为</w:t>
            </w:r>
            <w:r>
              <w:rPr>
                <w:rFonts w:hint="eastAsia" w:ascii="Times New Roman" w:hAnsi="Times New Roman" w:eastAsia="宋体" w:cs="Times New Roman"/>
                <w:sz w:val="24"/>
                <w:szCs w:val="24"/>
              </w:rPr>
              <w:t>8</w:t>
            </w:r>
            <w:r>
              <w:rPr>
                <w:rFonts w:hint="default" w:ascii="Times New Roman" w:hAnsi="Times New Roman" w:eastAsia="宋体" w:cs="Times New Roman"/>
                <w:sz w:val="24"/>
                <w:szCs w:val="24"/>
              </w:rPr>
              <w:t>μ</w:t>
            </w:r>
            <w:r>
              <w:rPr>
                <w:rFonts w:hint="eastAsia" w:ascii="Times New Roman" w:hAnsi="Times New Roman" w:eastAsia="宋体" w:cs="Times New Roman"/>
                <w:sz w:val="24"/>
                <w:szCs w:val="24"/>
              </w:rPr>
              <w:t>g</w:t>
            </w:r>
            <w:r>
              <w:rPr>
                <w:rFonts w:hint="eastAsia"/>
                <w:sz w:val="24"/>
                <w:szCs w:val="24"/>
              </w:rPr>
              <w:t>/m</w:t>
            </w:r>
            <w:r>
              <w:rPr>
                <w:rFonts w:hint="eastAsia"/>
                <w:sz w:val="24"/>
                <w:szCs w:val="24"/>
                <w:vertAlign w:val="superscript"/>
              </w:rPr>
              <w:t>3</w:t>
            </w:r>
            <w:r>
              <w:rPr>
                <w:rFonts w:hint="eastAsia"/>
                <w:sz w:val="24"/>
                <w:szCs w:val="24"/>
              </w:rPr>
              <w:t>，同比下降1</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，下降幅度为11.1%；NO</w:t>
            </w:r>
            <w:r>
              <w:rPr>
                <w:rFonts w:hint="eastAsia"/>
                <w:sz w:val="24"/>
                <w:szCs w:val="24"/>
                <w:vertAlign w:val="subscript"/>
              </w:rPr>
              <w:t>2</w:t>
            </w:r>
            <w:r>
              <w:rPr>
                <w:rFonts w:hint="eastAsia"/>
                <w:sz w:val="24"/>
                <w:szCs w:val="24"/>
              </w:rPr>
              <w:t>平均浓度为35</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，同比上升4</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，上升幅度为12.9%；CO平均浓度为1.2mg/m</w:t>
            </w:r>
            <w:r>
              <w:rPr>
                <w:rFonts w:hint="eastAsia"/>
                <w:sz w:val="24"/>
                <w:szCs w:val="24"/>
                <w:vertAlign w:val="superscript"/>
              </w:rPr>
              <w:t>3</w:t>
            </w:r>
            <w:r>
              <w:rPr>
                <w:rFonts w:hint="eastAsia"/>
                <w:sz w:val="24"/>
                <w:szCs w:val="24"/>
              </w:rPr>
              <w:t>，同比下降0.2mg/m</w:t>
            </w:r>
            <w:r>
              <w:rPr>
                <w:rFonts w:hint="eastAsia"/>
                <w:sz w:val="24"/>
                <w:szCs w:val="24"/>
                <w:vertAlign w:val="superscript"/>
              </w:rPr>
              <w:t>3</w:t>
            </w:r>
            <w:r>
              <w:rPr>
                <w:rFonts w:hint="eastAsia"/>
                <w:sz w:val="24"/>
                <w:szCs w:val="24"/>
              </w:rPr>
              <w:t>，下降幅度为14.3%；O</w:t>
            </w:r>
            <w:r>
              <w:rPr>
                <w:rFonts w:hint="eastAsia"/>
                <w:sz w:val="24"/>
                <w:szCs w:val="24"/>
                <w:vertAlign w:val="subscript"/>
              </w:rPr>
              <w:t>3</w:t>
            </w:r>
            <w:r>
              <w:rPr>
                <w:rFonts w:hint="eastAsia"/>
                <w:sz w:val="24"/>
                <w:szCs w:val="24"/>
              </w:rPr>
              <w:t>平均浓度为117</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，同比上升21</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，上升幅度为21.9%；PM</w:t>
            </w:r>
            <w:r>
              <w:rPr>
                <w:rFonts w:hint="eastAsia"/>
                <w:sz w:val="24"/>
                <w:szCs w:val="24"/>
                <w:vertAlign w:val="subscript"/>
              </w:rPr>
              <w:t>2.5</w:t>
            </w:r>
            <w:r>
              <w:rPr>
                <w:rFonts w:hint="eastAsia"/>
                <w:sz w:val="24"/>
                <w:szCs w:val="24"/>
              </w:rPr>
              <w:t>平均浓度为30</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，同比下降8</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，下降幅度为21.1%；PM10平均浓度为49</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，同比下降 11</w:t>
            </w:r>
            <w:r>
              <w:rPr>
                <w:rFonts w:hint="default" w:ascii="Times New Roman" w:hAnsi="Times New Roman" w:cs="Times New Roman"/>
                <w:sz w:val="24"/>
                <w:szCs w:val="24"/>
              </w:rPr>
              <w:t>μ</w:t>
            </w:r>
            <w:r>
              <w:rPr>
                <w:rFonts w:hint="eastAsia"/>
                <w:sz w:val="24"/>
                <w:szCs w:val="24"/>
              </w:rPr>
              <w:t>g/m</w:t>
            </w:r>
            <w:r>
              <w:rPr>
                <w:rFonts w:hint="eastAsia"/>
                <w:sz w:val="24"/>
                <w:szCs w:val="24"/>
                <w:vertAlign w:val="superscript"/>
              </w:rPr>
              <w:t>3</w:t>
            </w:r>
            <w:r>
              <w:rPr>
                <w:rFonts w:hint="eastAsia"/>
                <w:sz w:val="24"/>
                <w:szCs w:val="24"/>
              </w:rPr>
              <w:t>，下降幅度为18.3%。</w:t>
            </w:r>
          </w:p>
          <w:p>
            <w:pPr>
              <w:pageBreakBefore w:val="0"/>
              <w:kinsoku/>
              <w:wordWrap/>
              <w:bidi w:val="0"/>
              <w:spacing w:line="360" w:lineRule="auto"/>
              <w:ind w:left="0" w:leftChars="0" w:right="0" w:firstLine="470" w:firstLineChars="19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根据《环境影响评价技术导则大气环境》（HJ2.2-2018），城市环境空气质量达标情况评价指标为SO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，六项污染物全部达标即为城市环境空气质量达标。</w:t>
            </w:r>
          </w:p>
          <w:p>
            <w:pPr>
              <w:pageBreakBefore w:val="0"/>
              <w:kinsoku/>
              <w:wordWrap/>
              <w:bidi w:val="0"/>
              <w:spacing w:line="360" w:lineRule="auto"/>
              <w:ind w:left="0" w:leftChars="0" w:right="0" w:firstLine="470" w:firstLineChars="196"/>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本项目位于</w:t>
            </w:r>
            <w:r>
              <w:rPr>
                <w:rFonts w:hint="eastAsia" w:cs="Times New Roman"/>
                <w:color w:val="auto"/>
                <w:sz w:val="24"/>
                <w:szCs w:val="24"/>
                <w:highlight w:val="none"/>
                <w:lang w:val="en-US" w:eastAsia="zh-CN"/>
              </w:rPr>
              <w:t>通川区</w:t>
            </w:r>
            <w:r>
              <w:rPr>
                <w:rFonts w:hint="default" w:ascii="Times New Roman" w:hAnsi="Times New Roman" w:cs="Times New Roman"/>
                <w:color w:val="auto"/>
                <w:sz w:val="24"/>
                <w:szCs w:val="24"/>
                <w:highlight w:val="none"/>
              </w:rPr>
              <w:t>，由</w:t>
            </w:r>
            <w:r>
              <w:rPr>
                <w:rFonts w:hint="eastAsia"/>
                <w:sz w:val="24"/>
                <w:szCs w:val="24"/>
              </w:rPr>
              <w:t>《达州市2022年环境空气质量状况》</w:t>
            </w:r>
            <w:r>
              <w:rPr>
                <w:rFonts w:hint="default" w:ascii="Times New Roman" w:hAnsi="Times New Roman" w:cs="Times New Roman"/>
                <w:color w:val="auto"/>
                <w:sz w:val="24"/>
                <w:szCs w:val="24"/>
                <w:highlight w:val="none"/>
              </w:rPr>
              <w:t>可知，</w:t>
            </w:r>
            <w:r>
              <w:rPr>
                <w:rFonts w:hint="eastAsia" w:cs="Times New Roman"/>
                <w:color w:val="auto"/>
                <w:sz w:val="24"/>
                <w:szCs w:val="24"/>
                <w:highlight w:val="none"/>
                <w:lang w:val="en-US" w:eastAsia="zh-CN"/>
              </w:rPr>
              <w:t>通川区</w:t>
            </w:r>
            <w:r>
              <w:rPr>
                <w:rFonts w:hint="default" w:ascii="Times New Roman" w:hAnsi="Times New Roman" w:cs="Times New Roman"/>
                <w:color w:val="auto"/>
                <w:sz w:val="24"/>
                <w:szCs w:val="24"/>
                <w:highlight w:val="none"/>
              </w:rPr>
              <w:t>环境空气SO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六项基本指标均达标。</w:t>
            </w:r>
            <w:r>
              <w:rPr>
                <w:rFonts w:hint="default" w:ascii="Times New Roman" w:hAnsi="Times New Roman" w:cs="Times New Roman"/>
                <w:b/>
                <w:bCs/>
                <w:color w:val="auto"/>
                <w:sz w:val="24"/>
                <w:szCs w:val="24"/>
                <w:highlight w:val="none"/>
              </w:rPr>
              <w:t>因此，本项目所在区域属于达标区。</w:t>
            </w:r>
          </w:p>
          <w:p>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w:t>
            </w:r>
            <w:r>
              <w:rPr>
                <w:rFonts w:hint="eastAsia" w:ascii="Times New Roman" w:hAnsi="Times New Roman"/>
                <w:b/>
                <w:bCs/>
                <w:color w:val="auto"/>
                <w:sz w:val="24"/>
                <w:szCs w:val="24"/>
              </w:rPr>
              <w:t>其他污染物环境质量现状</w:t>
            </w:r>
          </w:p>
          <w:p>
            <w:pPr>
              <w:spacing w:line="360" w:lineRule="auto"/>
              <w:ind w:firstLine="482" w:firstLineChars="200"/>
              <w:rPr>
                <w:rFonts w:hint="eastAsia"/>
                <w:b/>
                <w:color w:val="auto"/>
                <w:sz w:val="24"/>
                <w:szCs w:val="24"/>
                <w:lang w:eastAsia="zh-CN"/>
              </w:rPr>
            </w:pPr>
            <w:r>
              <w:rPr>
                <w:rFonts w:hint="default" w:ascii="Times New Roman" w:hAnsi="Times New Roman" w:cs="Times New Roman"/>
                <w:b/>
                <w:bCs/>
                <w:color w:val="auto"/>
                <w:sz w:val="24"/>
                <w:szCs w:val="24"/>
                <w:highlight w:val="none"/>
              </w:rPr>
              <w:t>（1）</w:t>
            </w:r>
            <w:r>
              <w:rPr>
                <w:rFonts w:hint="eastAsia" w:ascii="Times New Roman" w:hAnsi="Times New Roman" w:cs="Times New Roman"/>
                <w:b/>
                <w:bCs/>
                <w:color w:val="auto"/>
                <w:sz w:val="24"/>
                <w:szCs w:val="24"/>
                <w:highlight w:val="none"/>
                <w:lang w:val="en-US" w:eastAsia="zh-CN"/>
              </w:rPr>
              <w:t>其他</w:t>
            </w:r>
            <w:r>
              <w:rPr>
                <w:rFonts w:hint="default" w:ascii="Times New Roman" w:hAnsi="Times New Roman" w:cs="Times New Roman"/>
                <w:b/>
                <w:color w:val="auto"/>
                <w:sz w:val="24"/>
                <w:szCs w:val="24"/>
                <w:highlight w:val="none"/>
              </w:rPr>
              <w:t>污染物现状监测</w:t>
            </w:r>
          </w:p>
          <w:p>
            <w:pPr>
              <w:spacing w:line="360" w:lineRule="auto"/>
              <w:ind w:firstLine="482" w:firstLineChars="200"/>
              <w:rPr>
                <w:b/>
                <w:color w:val="auto"/>
                <w:sz w:val="24"/>
                <w:szCs w:val="24"/>
              </w:rPr>
            </w:pPr>
            <w:r>
              <w:rPr>
                <w:b/>
                <w:color w:val="auto"/>
                <w:sz w:val="24"/>
                <w:szCs w:val="24"/>
              </w:rPr>
              <w:t>①</w:t>
            </w:r>
            <w:r>
              <w:rPr>
                <w:rFonts w:hint="default" w:ascii="Times New Roman" w:hAnsi="Times New Roman" w:cs="Times New Roman"/>
                <w:b/>
                <w:bCs/>
                <w:color w:val="auto"/>
                <w:sz w:val="24"/>
                <w:szCs w:val="24"/>
                <w:highlight w:val="none"/>
              </w:rPr>
              <w:t>监测点位基本信息</w:t>
            </w:r>
          </w:p>
          <w:p>
            <w:pPr>
              <w:spacing w:line="360" w:lineRule="auto"/>
              <w:ind w:firstLine="480" w:firstLineChars="200"/>
              <w:rPr>
                <w:color w:val="auto"/>
                <w:sz w:val="24"/>
                <w:szCs w:val="24"/>
              </w:rPr>
            </w:pPr>
            <w:r>
              <w:rPr>
                <w:color w:val="auto"/>
                <w:sz w:val="24"/>
                <w:szCs w:val="24"/>
              </w:rPr>
              <w:t>本次环评</w:t>
            </w:r>
            <w:r>
              <w:rPr>
                <w:rFonts w:hint="eastAsia"/>
                <w:color w:val="auto"/>
                <w:sz w:val="24"/>
                <w:szCs w:val="24"/>
              </w:rPr>
              <w:t>设置</w:t>
            </w:r>
            <w:r>
              <w:rPr>
                <w:color w:val="auto"/>
                <w:sz w:val="24"/>
                <w:szCs w:val="24"/>
              </w:rPr>
              <w:t>环境空气监测点1个，监测点位基本信息见表3-1。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rPr>
            </w:pPr>
            <w:r>
              <w:rPr>
                <w:rFonts w:eastAsia="黑体"/>
                <w:color w:val="auto"/>
              </w:rPr>
              <w:t>表3-1 其他污染物监测点位基本信息</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2126"/>
              <w:gridCol w:w="2126"/>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2" w:type="pct"/>
                  <w:noWrap w:val="0"/>
                  <w:vAlign w:val="center"/>
                </w:tcPr>
                <w:p>
                  <w:pPr>
                    <w:jc w:val="center"/>
                    <w:rPr>
                      <w:b/>
                      <w:bCs/>
                      <w:color w:val="auto"/>
                    </w:rPr>
                  </w:pPr>
                  <w:r>
                    <w:rPr>
                      <w:b/>
                      <w:bCs/>
                      <w:color w:val="auto"/>
                      <w:kern w:val="0"/>
                    </w:rPr>
                    <w:t>编号</w:t>
                  </w:r>
                </w:p>
              </w:tc>
              <w:tc>
                <w:tcPr>
                  <w:tcW w:w="1265" w:type="pct"/>
                  <w:noWrap w:val="0"/>
                  <w:vAlign w:val="center"/>
                </w:tcPr>
                <w:p>
                  <w:pPr>
                    <w:jc w:val="center"/>
                    <w:rPr>
                      <w:b/>
                      <w:bCs/>
                      <w:color w:val="auto"/>
                    </w:rPr>
                  </w:pPr>
                  <w:r>
                    <w:rPr>
                      <w:b/>
                      <w:bCs/>
                      <w:color w:val="auto"/>
                      <w:kern w:val="0"/>
                    </w:rPr>
                    <w:t>监测点位置</w:t>
                  </w:r>
                </w:p>
              </w:tc>
              <w:tc>
                <w:tcPr>
                  <w:tcW w:w="1265" w:type="pct"/>
                  <w:noWrap w:val="0"/>
                  <w:vAlign w:val="center"/>
                </w:tcPr>
                <w:p>
                  <w:pPr>
                    <w:jc w:val="center"/>
                    <w:rPr>
                      <w:rFonts w:hint="default" w:eastAsia="宋体"/>
                      <w:b/>
                      <w:bCs/>
                      <w:color w:val="auto"/>
                      <w:kern w:val="0"/>
                      <w:lang w:val="en-US" w:eastAsia="zh-CN"/>
                    </w:rPr>
                  </w:pPr>
                  <w:r>
                    <w:rPr>
                      <w:rFonts w:hint="eastAsia"/>
                      <w:b/>
                      <w:bCs/>
                      <w:color w:val="auto"/>
                      <w:kern w:val="0"/>
                      <w:lang w:val="en-US" w:eastAsia="zh-CN"/>
                    </w:rPr>
                    <w:t>监测项目</w:t>
                  </w:r>
                </w:p>
              </w:tc>
              <w:tc>
                <w:tcPr>
                  <w:tcW w:w="1266" w:type="pct"/>
                  <w:noWrap w:val="0"/>
                  <w:vAlign w:val="center"/>
                </w:tcPr>
                <w:p>
                  <w:pPr>
                    <w:jc w:val="center"/>
                    <w:rPr>
                      <w:b/>
                      <w:bCs/>
                      <w:color w:val="auto"/>
                      <w:kern w:val="0"/>
                    </w:rPr>
                  </w:pPr>
                  <w:r>
                    <w:rPr>
                      <w:rFonts w:hint="eastAsia"/>
                      <w:b/>
                      <w:bCs/>
                      <w:color w:val="auto"/>
                      <w:kern w:val="0"/>
                      <w:lang w:val="en-US"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noWrap w:val="0"/>
                  <w:vAlign w:val="center"/>
                </w:tcPr>
                <w:p>
                  <w:pPr>
                    <w:jc w:val="center"/>
                    <w:rPr>
                      <w:rFonts w:hint="default" w:eastAsia="宋体"/>
                      <w:color w:val="auto"/>
                      <w:lang w:val="en-US" w:eastAsia="zh-CN"/>
                    </w:rPr>
                  </w:pPr>
                  <w:r>
                    <w:rPr>
                      <w:rFonts w:hint="eastAsia"/>
                      <w:color w:val="auto"/>
                      <w:lang w:val="en-US" w:eastAsia="zh-CN"/>
                    </w:rPr>
                    <w:t>1#</w:t>
                  </w:r>
                </w:p>
              </w:tc>
              <w:tc>
                <w:tcPr>
                  <w:tcW w:w="1265" w:type="pct"/>
                  <w:noWrap w:val="0"/>
                  <w:vAlign w:val="center"/>
                </w:tcPr>
                <w:p>
                  <w:pPr>
                    <w:jc w:val="center"/>
                    <w:rPr>
                      <w:color w:val="auto"/>
                    </w:rPr>
                  </w:pPr>
                  <w:r>
                    <w:rPr>
                      <w:color w:val="auto"/>
                    </w:rPr>
                    <w:t>项目所在地下风向</w:t>
                  </w:r>
                </w:p>
              </w:tc>
              <w:tc>
                <w:tcPr>
                  <w:tcW w:w="1265" w:type="pct"/>
                  <w:noWrap w:val="0"/>
                  <w:vAlign w:val="center"/>
                </w:tcPr>
                <w:p>
                  <w:pPr>
                    <w:jc w:val="center"/>
                    <w:rPr>
                      <w:rFonts w:hint="default" w:eastAsia="宋体"/>
                      <w:color w:val="auto"/>
                      <w:lang w:val="en-US" w:eastAsia="zh-CN"/>
                    </w:rPr>
                  </w:pPr>
                  <w:r>
                    <w:rPr>
                      <w:rFonts w:hint="eastAsia"/>
                      <w:color w:val="auto"/>
                      <w:lang w:val="en-US" w:eastAsia="zh-CN"/>
                    </w:rPr>
                    <w:t>TVOC</w:t>
                  </w:r>
                </w:p>
              </w:tc>
              <w:tc>
                <w:tcPr>
                  <w:tcW w:w="1266" w:type="pct"/>
                  <w:noWrap w:val="0"/>
                  <w:vAlign w:val="center"/>
                </w:tcPr>
                <w:p>
                  <w:pPr>
                    <w:jc w:val="center"/>
                    <w:rPr>
                      <w:color w:val="auto"/>
                    </w:rPr>
                  </w:pPr>
                  <w:r>
                    <w:rPr>
                      <w:rFonts w:hint="eastAsia" w:ascii="Times New Roman" w:hAnsi="Times New Roman" w:cs="Times New Roman"/>
                      <w:color w:val="auto"/>
                      <w:sz w:val="21"/>
                      <w:szCs w:val="21"/>
                      <w:lang w:val="en-US" w:eastAsia="zh-CN"/>
                    </w:rPr>
                    <w:t>监测3天，测8h均值</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color w:val="auto"/>
                <w:sz w:val="24"/>
                <w:szCs w:val="24"/>
              </w:rPr>
            </w:pPr>
            <w:r>
              <w:rPr>
                <w:rFonts w:hint="eastAsia"/>
                <w:b/>
                <w:color w:val="auto"/>
                <w:sz w:val="24"/>
                <w:szCs w:val="24"/>
                <w:lang w:val="en-US" w:eastAsia="zh-CN"/>
              </w:rPr>
              <w:t>②</w:t>
            </w:r>
            <w:r>
              <w:rPr>
                <w:b/>
                <w:color w:val="auto"/>
                <w:sz w:val="24"/>
                <w:szCs w:val="24"/>
              </w:rPr>
              <w:t>监测结果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lang w:val="en-US" w:eastAsia="zh-CN"/>
              </w:rPr>
            </w:pPr>
            <w:r>
              <w:rPr>
                <w:rFonts w:eastAsia="黑体"/>
                <w:color w:val="auto"/>
              </w:rPr>
              <w:t>表3-</w:t>
            </w:r>
            <w:r>
              <w:rPr>
                <w:rFonts w:hint="eastAsia" w:eastAsia="黑体"/>
                <w:color w:val="auto"/>
                <w:lang w:val="en-US" w:eastAsia="zh-CN"/>
              </w:rPr>
              <w:t>2</w:t>
            </w:r>
            <w:r>
              <w:rPr>
                <w:rFonts w:eastAsia="黑体"/>
                <w:color w:val="auto"/>
              </w:rPr>
              <w:t xml:space="preserve"> 其他污染物监测</w:t>
            </w:r>
            <w:r>
              <w:rPr>
                <w:rFonts w:hint="eastAsia" w:eastAsia="黑体"/>
                <w:color w:val="auto"/>
                <w:lang w:val="en-US" w:eastAsia="zh-CN"/>
              </w:rPr>
              <w:t>结果表</w:t>
            </w:r>
          </w:p>
          <w:tbl>
            <w:tblPr>
              <w:tblStyle w:val="26"/>
              <w:tblW w:w="494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10"/>
              <w:gridCol w:w="1148"/>
              <w:gridCol w:w="1814"/>
              <w:gridCol w:w="1814"/>
              <w:gridCol w:w="18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0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vertAlign w:val="baseline"/>
                    </w:rPr>
                  </w:pPr>
                  <w:r>
                    <w:rPr>
                      <w:rFonts w:hint="default" w:ascii="Times New Roman" w:hAnsi="Times New Roman" w:cs="Times New Roman"/>
                      <w:b/>
                      <w:bCs/>
                      <w:sz w:val="21"/>
                      <w:szCs w:val="21"/>
                    </w:rPr>
                    <w:t>检测点编号及位置</w:t>
                  </w:r>
                </w:p>
              </w:tc>
              <w:tc>
                <w:tcPr>
                  <w:tcW w:w="6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rPr>
                    <w:t>检测因子</w:t>
                  </w:r>
                </w:p>
              </w:tc>
              <w:tc>
                <w:tcPr>
                  <w:tcW w:w="327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lang w:eastAsia="zh-CN"/>
                    </w:rPr>
                    <w:t>采样日期及检测结果</w:t>
                  </w:r>
                  <w:r>
                    <w:rPr>
                      <w:b/>
                      <w:bCs/>
                      <w:color w:val="auto"/>
                    </w:rPr>
                    <w:t>（mg/m</w:t>
                  </w:r>
                  <w:r>
                    <w:rPr>
                      <w:b/>
                      <w:bCs/>
                      <w:color w:val="auto"/>
                      <w:vertAlign w:val="superscript"/>
                    </w:rPr>
                    <w:t>3</w:t>
                  </w:r>
                  <w:r>
                    <w:rPr>
                      <w:b/>
                      <w:bCs/>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1029" w:type="pct"/>
                  <w:vMerge w:val="continue"/>
                  <w:tcBorders>
                    <w:tl2br w:val="nil"/>
                    <w:tr2bl w:val="nil"/>
                  </w:tcBorders>
                  <w:noWrap w:val="0"/>
                  <w:vAlign w:val="center"/>
                </w:tcPr>
                <w:p>
                  <w:pPr>
                    <w:pStyle w:val="3"/>
                    <w:keepNext w:val="0"/>
                    <w:keepLines w:val="0"/>
                    <w:pageBreakBefore w:val="0"/>
                    <w:numPr>
                      <w:ilvl w:val="0"/>
                      <w:numId w:val="0"/>
                    </w:numPr>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sz w:val="21"/>
                      <w:szCs w:val="21"/>
                      <w:vertAlign w:val="baseline"/>
                    </w:rPr>
                  </w:pPr>
                </w:p>
              </w:tc>
              <w:tc>
                <w:tcPr>
                  <w:tcW w:w="6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vertAlign w:val="baseline"/>
                    </w:rPr>
                  </w:pPr>
                </w:p>
              </w:tc>
              <w:tc>
                <w:tcPr>
                  <w:tcW w:w="10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vertAlign w:val="baseline"/>
                      <w:lang w:val="en-US"/>
                    </w:rPr>
                  </w:pPr>
                  <w:r>
                    <w:rPr>
                      <w:rFonts w:hint="default" w:ascii="Times New Roman" w:hAnsi="Times New Roman" w:cs="Times New Roman"/>
                      <w:b/>
                      <w:bCs/>
                      <w:snapToGrid w:val="0"/>
                      <w:color w:val="auto"/>
                      <w:sz w:val="21"/>
                      <w:szCs w:val="21"/>
                    </w:rPr>
                    <w:t>202</w:t>
                  </w:r>
                  <w:r>
                    <w:rPr>
                      <w:rFonts w:hint="default" w:ascii="Times New Roman" w:hAnsi="Times New Roman" w:cs="Times New Roman"/>
                      <w:b/>
                      <w:bCs/>
                      <w:snapToGrid w:val="0"/>
                      <w:color w:val="auto"/>
                      <w:sz w:val="21"/>
                      <w:szCs w:val="21"/>
                      <w:lang w:val="en-US" w:eastAsia="zh-CN"/>
                    </w:rPr>
                    <w:t>3</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05</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19</w:t>
                  </w:r>
                </w:p>
              </w:tc>
              <w:tc>
                <w:tcPr>
                  <w:tcW w:w="10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vertAlign w:val="baseline"/>
                      <w:lang w:eastAsia="zh-CN"/>
                    </w:rPr>
                  </w:pPr>
                  <w:r>
                    <w:rPr>
                      <w:rFonts w:hint="default" w:ascii="Times New Roman" w:hAnsi="Times New Roman" w:cs="Times New Roman"/>
                      <w:b/>
                      <w:bCs/>
                      <w:snapToGrid w:val="0"/>
                      <w:color w:val="auto"/>
                      <w:sz w:val="21"/>
                      <w:szCs w:val="21"/>
                    </w:rPr>
                    <w:t>202</w:t>
                  </w:r>
                  <w:r>
                    <w:rPr>
                      <w:rFonts w:hint="default" w:ascii="Times New Roman" w:hAnsi="Times New Roman" w:cs="Times New Roman"/>
                      <w:b/>
                      <w:bCs/>
                      <w:snapToGrid w:val="0"/>
                      <w:color w:val="auto"/>
                      <w:sz w:val="21"/>
                      <w:szCs w:val="21"/>
                      <w:lang w:val="en-US" w:eastAsia="zh-CN"/>
                    </w:rPr>
                    <w:t>3</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05</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20</w:t>
                  </w:r>
                </w:p>
              </w:tc>
              <w:tc>
                <w:tcPr>
                  <w:tcW w:w="10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cs="Times New Roman"/>
                      <w:b/>
                      <w:bCs/>
                      <w:snapToGrid w:val="0"/>
                      <w:color w:val="auto"/>
                      <w:sz w:val="21"/>
                      <w:szCs w:val="21"/>
                    </w:rPr>
                    <w:t>202</w:t>
                  </w:r>
                  <w:r>
                    <w:rPr>
                      <w:rFonts w:hint="default" w:ascii="Times New Roman" w:hAnsi="Times New Roman" w:cs="Times New Roman"/>
                      <w:b/>
                      <w:bCs/>
                      <w:snapToGrid w:val="0"/>
                      <w:color w:val="auto"/>
                      <w:sz w:val="21"/>
                      <w:szCs w:val="21"/>
                      <w:lang w:val="en-US" w:eastAsia="zh-CN"/>
                    </w:rPr>
                    <w:t>3</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05</w:t>
                  </w:r>
                  <w:r>
                    <w:rPr>
                      <w:rFonts w:hint="default" w:ascii="Times New Roman" w:hAnsi="Times New Roman" w:cs="Times New Roman"/>
                      <w:b/>
                      <w:bCs/>
                      <w:snapToGrid w:val="0"/>
                      <w:color w:val="auto"/>
                      <w:sz w:val="21"/>
                      <w:szCs w:val="21"/>
                    </w:rPr>
                    <w:t>.</w:t>
                  </w:r>
                  <w:r>
                    <w:rPr>
                      <w:rFonts w:hint="default" w:ascii="Times New Roman" w:hAnsi="Times New Roman" w:cs="Times New Roman"/>
                      <w:b/>
                      <w:bCs/>
                      <w:snapToGrid w:val="0"/>
                      <w:color w:val="auto"/>
                      <w:sz w:val="21"/>
                      <w:szCs w:val="21"/>
                      <w:lang w:val="en-US" w:eastAsia="zh-CN"/>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cs="Times New Roman"/>
                      <w:color w:val="auto"/>
                      <w:sz w:val="21"/>
                      <w:szCs w:val="21"/>
                      <w:lang w:val="en-US" w:eastAsia="zh-CN"/>
                    </w:rPr>
                    <w:t>项目下风向</w:t>
                  </w:r>
                </w:p>
              </w:tc>
              <w:tc>
                <w:tcPr>
                  <w:tcW w:w="691" w:type="pct"/>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sz w:val="21"/>
                      <w:szCs w:val="21"/>
                      <w:lang w:eastAsia="zh-CN"/>
                    </w:rPr>
                  </w:pPr>
                  <w:r>
                    <w:rPr>
                      <w:rFonts w:hint="default" w:ascii="Times New Roman" w:hAnsi="Times New Roman" w:eastAsia="宋体" w:cs="Times New Roman"/>
                      <w:b w:val="0"/>
                      <w:bCs/>
                      <w:color w:val="auto"/>
                      <w:sz w:val="21"/>
                      <w:szCs w:val="21"/>
                      <w:lang w:val="en-US" w:eastAsia="zh-CN"/>
                    </w:rPr>
                    <w:t>TVOC</w:t>
                  </w:r>
                </w:p>
              </w:tc>
              <w:tc>
                <w:tcPr>
                  <w:tcW w:w="1092" w:type="pct"/>
                  <w:tcBorders>
                    <w:tl2br w:val="nil"/>
                    <w:tr2bl w:val="nil"/>
                  </w:tcBorders>
                  <w:noWrap w:val="0"/>
                  <w:vAlign w:val="center"/>
                </w:tcPr>
                <w:p>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0.0047</w:t>
                  </w:r>
                </w:p>
              </w:tc>
              <w:tc>
                <w:tcPr>
                  <w:tcW w:w="1092" w:type="pct"/>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0.0042</w:t>
                  </w:r>
                </w:p>
              </w:tc>
              <w:tc>
                <w:tcPr>
                  <w:tcW w:w="1095" w:type="pct"/>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0.0048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b/>
                <w:color w:val="auto"/>
                <w:sz w:val="24"/>
                <w:szCs w:val="24"/>
                <w:lang w:val="en-US" w:eastAsia="zh-CN"/>
              </w:rPr>
            </w:pPr>
            <w:r>
              <w:rPr>
                <w:rFonts w:hint="eastAsia"/>
                <w:b/>
                <w:color w:val="auto"/>
                <w:sz w:val="24"/>
                <w:szCs w:val="24"/>
                <w:lang w:val="en-US" w:eastAsia="zh-CN"/>
              </w:rPr>
              <w:t>（2）</w:t>
            </w:r>
            <w:r>
              <w:rPr>
                <w:b/>
                <w:color w:val="auto"/>
                <w:sz w:val="24"/>
                <w:szCs w:val="24"/>
              </w:rPr>
              <w:t>其他污染物现状评价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rFonts w:hint="eastAsia"/>
                <w:b/>
                <w:color w:val="auto"/>
                <w:sz w:val="24"/>
                <w:szCs w:val="24"/>
                <w:lang w:val="en-US" w:eastAsia="zh-CN"/>
              </w:rPr>
              <w:t>①</w:t>
            </w:r>
            <w:r>
              <w:rPr>
                <w:b/>
                <w:color w:val="auto"/>
                <w:sz w:val="24"/>
                <w:szCs w:val="24"/>
              </w:rPr>
              <w:t>评价因子</w:t>
            </w:r>
          </w:p>
          <w:p>
            <w:pPr>
              <w:spacing w:line="360" w:lineRule="auto"/>
              <w:ind w:firstLine="480" w:firstLineChars="200"/>
              <w:rPr>
                <w:color w:val="auto"/>
                <w:sz w:val="24"/>
                <w:szCs w:val="24"/>
              </w:rPr>
            </w:pPr>
            <w:r>
              <w:rPr>
                <w:rFonts w:hint="eastAsia"/>
                <w:color w:val="auto"/>
                <w:sz w:val="24"/>
                <w:szCs w:val="24"/>
                <w:lang w:val="en-US" w:eastAsia="zh-CN"/>
              </w:rPr>
              <w:t>TVOC</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rFonts w:hint="eastAsia"/>
                <w:b/>
                <w:color w:val="auto"/>
                <w:sz w:val="24"/>
                <w:szCs w:val="24"/>
                <w:lang w:val="en-US" w:eastAsia="zh-CN"/>
              </w:rPr>
              <w:t>②</w:t>
            </w:r>
            <w:r>
              <w:rPr>
                <w:b/>
                <w:color w:val="auto"/>
                <w:sz w:val="24"/>
                <w:szCs w:val="24"/>
              </w:rPr>
              <w:t>评价标准</w:t>
            </w:r>
          </w:p>
          <w:p>
            <w:pPr>
              <w:spacing w:line="360" w:lineRule="auto"/>
              <w:ind w:firstLine="480" w:firstLineChars="200"/>
              <w:rPr>
                <w:color w:val="auto"/>
                <w:sz w:val="24"/>
                <w:szCs w:val="24"/>
              </w:rPr>
            </w:pPr>
            <w:r>
              <w:rPr>
                <w:color w:val="auto"/>
                <w:sz w:val="24"/>
                <w:szCs w:val="24"/>
              </w:rPr>
              <w:t>执行《环境影响评价技术导则 大气环境》（HJ2.2-2018）附录D。</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rFonts w:hint="eastAsia"/>
                <w:b/>
                <w:color w:val="auto"/>
                <w:sz w:val="24"/>
                <w:szCs w:val="24"/>
                <w:lang w:val="en-US" w:eastAsia="zh-CN"/>
              </w:rPr>
              <w:t>③</w:t>
            </w:r>
            <w:r>
              <w:rPr>
                <w:b/>
                <w:color w:val="auto"/>
                <w:sz w:val="24"/>
                <w:szCs w:val="24"/>
              </w:rPr>
              <w:t>评价方法</w:t>
            </w:r>
          </w:p>
          <w:p>
            <w:pPr>
              <w:spacing w:line="360" w:lineRule="auto"/>
              <w:ind w:firstLine="480" w:firstLineChars="200"/>
              <w:rPr>
                <w:color w:val="auto"/>
                <w:sz w:val="24"/>
                <w:szCs w:val="24"/>
              </w:rPr>
            </w:pPr>
            <w:r>
              <w:rPr>
                <w:color w:val="auto"/>
                <w:sz w:val="24"/>
                <w:szCs w:val="24"/>
              </w:rPr>
              <w:t>采用单项质量指数法，公式为：</w:t>
            </w:r>
          </w:p>
          <w:p>
            <w:pPr>
              <w:spacing w:line="360" w:lineRule="auto"/>
              <w:jc w:val="center"/>
              <w:rPr>
                <w:i/>
                <w:color w:val="auto"/>
                <w:sz w:val="24"/>
                <w:szCs w:val="24"/>
              </w:rPr>
            </w:pPr>
            <w:r>
              <w:rPr>
                <w:i/>
                <w:color w:val="auto"/>
                <w:sz w:val="24"/>
                <w:szCs w:val="24"/>
              </w:rPr>
              <w:t>P</w:t>
            </w:r>
            <w:r>
              <w:rPr>
                <w:i/>
                <w:color w:val="auto"/>
                <w:sz w:val="24"/>
                <w:szCs w:val="24"/>
                <w:vertAlign w:val="subscript"/>
              </w:rPr>
              <w:t>i</w:t>
            </w:r>
            <w:r>
              <w:rPr>
                <w:color w:val="auto"/>
                <w:sz w:val="24"/>
                <w:szCs w:val="24"/>
              </w:rPr>
              <w:t xml:space="preserve"> = </w:t>
            </w:r>
            <w:r>
              <w:rPr>
                <w:i/>
                <w:color w:val="auto"/>
                <w:sz w:val="24"/>
                <w:szCs w:val="24"/>
              </w:rPr>
              <w:t>C</w:t>
            </w:r>
            <w:r>
              <w:rPr>
                <w:i/>
                <w:color w:val="auto"/>
                <w:sz w:val="24"/>
                <w:szCs w:val="24"/>
                <w:vertAlign w:val="subscript"/>
              </w:rPr>
              <w:t>i</w:t>
            </w:r>
            <w:r>
              <w:rPr>
                <w:color w:val="auto"/>
                <w:sz w:val="24"/>
                <w:szCs w:val="24"/>
              </w:rPr>
              <w:t xml:space="preserve"> / </w:t>
            </w:r>
            <w:r>
              <w:rPr>
                <w:i/>
                <w:color w:val="auto"/>
                <w:sz w:val="24"/>
                <w:szCs w:val="24"/>
              </w:rPr>
              <w:t>S</w:t>
            </w:r>
            <w:r>
              <w:rPr>
                <w:i/>
                <w:color w:val="auto"/>
                <w:sz w:val="24"/>
                <w:szCs w:val="24"/>
                <w:vertAlign w:val="subscript"/>
              </w:rPr>
              <w:t>i</w:t>
            </w:r>
          </w:p>
          <w:p>
            <w:pPr>
              <w:pStyle w:val="9"/>
              <w:spacing w:after="0" w:line="360" w:lineRule="auto"/>
              <w:ind w:firstLine="480" w:firstLineChars="200"/>
              <w:rPr>
                <w:color w:val="auto"/>
                <w:sz w:val="24"/>
              </w:rPr>
            </w:pPr>
            <w:r>
              <w:rPr>
                <w:color w:val="auto"/>
                <w:sz w:val="24"/>
              </w:rPr>
              <w:t>式中，</w:t>
            </w:r>
            <w:r>
              <w:rPr>
                <w:i/>
                <w:color w:val="auto"/>
                <w:sz w:val="24"/>
              </w:rPr>
              <w:t>P</w:t>
            </w:r>
            <w:r>
              <w:rPr>
                <w:i/>
                <w:color w:val="auto"/>
                <w:sz w:val="24"/>
                <w:vertAlign w:val="subscript"/>
              </w:rPr>
              <w:t>i</w:t>
            </w:r>
            <w:r>
              <w:rPr>
                <w:color w:val="auto"/>
                <w:sz w:val="24"/>
              </w:rPr>
              <w:t>——第</w:t>
            </w:r>
            <w:r>
              <w:rPr>
                <w:i/>
                <w:color w:val="auto"/>
                <w:sz w:val="24"/>
              </w:rPr>
              <w:t>i</w:t>
            </w:r>
            <w:r>
              <w:rPr>
                <w:color w:val="auto"/>
                <w:sz w:val="24"/>
              </w:rPr>
              <w:t>个污染物标准指数值；</w:t>
            </w:r>
          </w:p>
          <w:p>
            <w:pPr>
              <w:pStyle w:val="9"/>
              <w:spacing w:after="0" w:line="360" w:lineRule="auto"/>
              <w:ind w:firstLine="1200" w:firstLineChars="500"/>
              <w:rPr>
                <w:color w:val="auto"/>
                <w:sz w:val="24"/>
              </w:rPr>
            </w:pPr>
            <w:r>
              <w:rPr>
                <w:i/>
                <w:color w:val="auto"/>
                <w:sz w:val="24"/>
              </w:rPr>
              <w:t>C</w:t>
            </w:r>
            <w:r>
              <w:rPr>
                <w:i/>
                <w:color w:val="auto"/>
                <w:sz w:val="24"/>
                <w:vertAlign w:val="subscript"/>
              </w:rPr>
              <w:t>i</w:t>
            </w:r>
            <w:r>
              <w:rPr>
                <w:color w:val="auto"/>
                <w:sz w:val="24"/>
              </w:rPr>
              <w:t>——第</w:t>
            </w:r>
            <w:r>
              <w:rPr>
                <w:i/>
                <w:color w:val="auto"/>
                <w:sz w:val="24"/>
              </w:rPr>
              <w:t>i</w:t>
            </w:r>
            <w:r>
              <w:rPr>
                <w:color w:val="auto"/>
                <w:sz w:val="24"/>
              </w:rPr>
              <w:t>个污染物实测浓度值，mg/m</w:t>
            </w:r>
            <w:r>
              <w:rPr>
                <w:color w:val="auto"/>
                <w:sz w:val="24"/>
                <w:vertAlign w:val="superscript"/>
              </w:rPr>
              <w:t>3</w:t>
            </w:r>
            <w:r>
              <w:rPr>
                <w:color w:val="auto"/>
                <w:sz w:val="24"/>
              </w:rPr>
              <w:t>；</w:t>
            </w:r>
          </w:p>
          <w:p>
            <w:pPr>
              <w:pStyle w:val="9"/>
              <w:spacing w:after="0" w:line="360" w:lineRule="auto"/>
              <w:ind w:firstLine="1200" w:firstLineChars="500"/>
              <w:rPr>
                <w:color w:val="auto"/>
                <w:sz w:val="24"/>
              </w:rPr>
            </w:pPr>
            <w:r>
              <w:rPr>
                <w:i/>
                <w:color w:val="auto"/>
                <w:sz w:val="24"/>
              </w:rPr>
              <w:t>S</w:t>
            </w:r>
            <w:r>
              <w:rPr>
                <w:i/>
                <w:color w:val="auto"/>
                <w:sz w:val="24"/>
                <w:vertAlign w:val="subscript"/>
              </w:rPr>
              <w:t>i</w:t>
            </w:r>
            <w:r>
              <w:rPr>
                <w:color w:val="auto"/>
                <w:sz w:val="24"/>
              </w:rPr>
              <w:t>——第</w:t>
            </w:r>
            <w:r>
              <w:rPr>
                <w:i/>
                <w:color w:val="auto"/>
                <w:sz w:val="24"/>
              </w:rPr>
              <w:t>i</w:t>
            </w:r>
            <w:r>
              <w:rPr>
                <w:color w:val="auto"/>
                <w:sz w:val="24"/>
              </w:rPr>
              <w:t>个污染物评价标准限值，mg/m</w:t>
            </w:r>
            <w:r>
              <w:rPr>
                <w:color w:val="auto"/>
                <w:sz w:val="24"/>
                <w:vertAlign w:val="superscript"/>
              </w:rPr>
              <w:t>3</w:t>
            </w:r>
            <w:r>
              <w:rPr>
                <w:color w:val="auto"/>
                <w:sz w:val="24"/>
              </w:rPr>
              <w:t>。</w:t>
            </w:r>
          </w:p>
          <w:p>
            <w:pPr>
              <w:pStyle w:val="9"/>
              <w:spacing w:after="0" w:line="360" w:lineRule="auto"/>
              <w:ind w:firstLine="480" w:firstLineChars="200"/>
              <w:rPr>
                <w:rFonts w:hint="eastAsia"/>
                <w:b w:val="0"/>
                <w:bCs/>
                <w:color w:val="auto"/>
                <w:sz w:val="24"/>
                <w:szCs w:val="24"/>
                <w:lang w:eastAsia="zh-CN"/>
              </w:rPr>
            </w:pPr>
            <w:r>
              <w:rPr>
                <w:color w:val="auto"/>
                <w:sz w:val="24"/>
              </w:rPr>
              <w:t>当</w:t>
            </w:r>
            <w:r>
              <w:rPr>
                <w:i/>
                <w:color w:val="auto"/>
                <w:sz w:val="24"/>
              </w:rPr>
              <w:t>P</w:t>
            </w:r>
            <w:r>
              <w:rPr>
                <w:i/>
                <w:color w:val="auto"/>
                <w:sz w:val="24"/>
                <w:vertAlign w:val="subscript"/>
              </w:rPr>
              <w:t>i</w:t>
            </w:r>
            <w:r>
              <w:rPr>
                <w:color w:val="auto"/>
                <w:sz w:val="24"/>
              </w:rPr>
              <w:t>值大于1.0时，表明大气环境已受到该项评价因子所表征的污染物的污染。</w:t>
            </w:r>
            <w:r>
              <w:rPr>
                <w:i/>
                <w:color w:val="auto"/>
                <w:sz w:val="24"/>
              </w:rPr>
              <w:t>P</w:t>
            </w:r>
            <w:r>
              <w:rPr>
                <w:i/>
                <w:color w:val="auto"/>
                <w:sz w:val="24"/>
                <w:vertAlign w:val="subscript"/>
              </w:rPr>
              <w:t>i</w:t>
            </w:r>
            <w:r>
              <w:rPr>
                <w:color w:val="auto"/>
                <w:sz w:val="24"/>
              </w:rPr>
              <w:t>值越大，受污染程度越重；</w:t>
            </w:r>
            <w:r>
              <w:rPr>
                <w:i/>
                <w:color w:val="auto"/>
                <w:sz w:val="24"/>
              </w:rPr>
              <w:t>P</w:t>
            </w:r>
            <w:r>
              <w:rPr>
                <w:i/>
                <w:color w:val="auto"/>
                <w:sz w:val="24"/>
                <w:vertAlign w:val="subscript"/>
              </w:rPr>
              <w:t>i</w:t>
            </w:r>
            <w:r>
              <w:rPr>
                <w:color w:val="auto"/>
                <w:sz w:val="24"/>
              </w:rPr>
              <w:t>值越小，受污染程度越轻。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rFonts w:hint="eastAsia"/>
                <w:b/>
                <w:color w:val="auto"/>
                <w:sz w:val="24"/>
                <w:szCs w:val="24"/>
                <w:lang w:val="en-US" w:eastAsia="zh-CN"/>
              </w:rPr>
              <w:t>④</w:t>
            </w:r>
            <w:r>
              <w:rPr>
                <w:b/>
                <w:color w:val="auto"/>
                <w:sz w:val="24"/>
                <w:szCs w:val="24"/>
              </w:rPr>
              <w:t>评价结果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区域环境空气其他污染物现状评价结果见</w:t>
            </w:r>
            <w:r>
              <w:rPr>
                <w:rFonts w:hint="eastAsia"/>
                <w:color w:val="auto"/>
                <w:sz w:val="24"/>
                <w:szCs w:val="24"/>
                <w:lang w:val="en-US" w:eastAsia="zh-CN"/>
              </w:rPr>
              <w:t>下表</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rPr>
            </w:pPr>
            <w:r>
              <w:rPr>
                <w:rFonts w:hint="default" w:ascii="Times New Roman" w:hAnsi="Times New Roman" w:eastAsia="黑体" w:cs="Times New Roman"/>
                <w:b w:val="0"/>
                <w:bCs w:val="0"/>
                <w:color w:val="auto"/>
              </w:rPr>
              <w:t>表3-</w:t>
            </w:r>
            <w:r>
              <w:rPr>
                <w:rFonts w:hint="eastAsia" w:ascii="Times New Roman" w:hAnsi="Times New Roman" w:eastAsia="黑体" w:cs="Times New Roman"/>
                <w:b w:val="0"/>
                <w:bCs w:val="0"/>
                <w:color w:val="auto"/>
                <w:lang w:val="en-US" w:eastAsia="zh-CN"/>
              </w:rPr>
              <w:t>3</w:t>
            </w:r>
            <w:r>
              <w:rPr>
                <w:rFonts w:hint="default" w:ascii="Times New Roman" w:hAnsi="Times New Roman" w:eastAsia="黑体" w:cs="Times New Roman"/>
                <w:b w:val="0"/>
                <w:bCs w:val="0"/>
                <w:color w:val="auto"/>
                <w:lang w:val="en-US" w:eastAsia="zh-CN"/>
              </w:rPr>
              <w:t xml:space="preserve"> </w:t>
            </w:r>
            <w:r>
              <w:rPr>
                <w:rFonts w:hint="default" w:ascii="Times New Roman" w:hAnsi="Times New Roman" w:eastAsia="黑体" w:cs="Times New Roman"/>
                <w:b w:val="0"/>
                <w:bCs w:val="0"/>
                <w:color w:val="auto"/>
              </w:rPr>
              <w:t>环境空气质量现状监测及评价结果表</w:t>
            </w:r>
          </w:p>
          <w:tbl>
            <w:tblPr>
              <w:tblStyle w:val="26"/>
              <w:tblW w:w="4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170"/>
              <w:gridCol w:w="1247"/>
              <w:gridCol w:w="1499"/>
              <w:gridCol w:w="1286"/>
              <w:gridCol w:w="1006"/>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污染物</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平均时间</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评价标准（mg/m</w:t>
                  </w:r>
                  <w:r>
                    <w:rPr>
                      <w:b/>
                      <w:bCs/>
                      <w:color w:val="auto"/>
                      <w:vertAlign w:val="superscript"/>
                    </w:rPr>
                    <w:t>3</w:t>
                  </w:r>
                  <w:r>
                    <w:rPr>
                      <w:b/>
                      <w:bCs/>
                      <w:color w:val="auto"/>
                    </w:rPr>
                    <w:t>）</w:t>
                  </w:r>
                </w:p>
              </w:tc>
              <w:tc>
                <w:tcPr>
                  <w:tcW w:w="9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监测浓度范围（mg/m</w:t>
                  </w:r>
                  <w:r>
                    <w:rPr>
                      <w:b/>
                      <w:bCs/>
                      <w:color w:val="auto"/>
                      <w:vertAlign w:val="superscript"/>
                    </w:rPr>
                    <w:t>3</w:t>
                  </w:r>
                  <w:r>
                    <w:rPr>
                      <w:b/>
                      <w:bCs/>
                      <w:color w:val="auto"/>
                    </w:rPr>
                    <w:t>）</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最大浓度占标率（%）</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超标率（%）</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TVOC</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lang w:val="en-US" w:eastAsia="zh-CN"/>
                    </w:rPr>
                    <w:t>8</w:t>
                  </w:r>
                  <w:r>
                    <w:rPr>
                      <w:color w:val="auto"/>
                    </w:rPr>
                    <w:t>h平均</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val="en-US" w:eastAsia="zh-CN"/>
                    </w:rPr>
                  </w:pPr>
                  <w:r>
                    <w:rPr>
                      <w:rFonts w:hint="eastAsia"/>
                      <w:color w:val="auto"/>
                    </w:rPr>
                    <w:t>0.</w:t>
                  </w:r>
                  <w:r>
                    <w:rPr>
                      <w:rFonts w:hint="eastAsia"/>
                      <w:color w:val="auto"/>
                      <w:lang w:val="en-US" w:eastAsia="zh-CN"/>
                    </w:rPr>
                    <w:t>6</w:t>
                  </w:r>
                </w:p>
              </w:tc>
              <w:tc>
                <w:tcPr>
                  <w:tcW w:w="9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rPr>
                    <w:t>0.</w:t>
                  </w:r>
                  <w:r>
                    <w:rPr>
                      <w:rFonts w:hint="eastAsia"/>
                      <w:color w:val="auto"/>
                      <w:lang w:val="en-US" w:eastAsia="zh-CN"/>
                    </w:rPr>
                    <w:t>0042</w:t>
                  </w:r>
                  <w:r>
                    <w:rPr>
                      <w:rFonts w:hint="eastAsia"/>
                      <w:color w:val="auto"/>
                    </w:rPr>
                    <w:t>~0.</w:t>
                  </w:r>
                  <w:r>
                    <w:rPr>
                      <w:rFonts w:hint="eastAsia"/>
                      <w:color w:val="auto"/>
                      <w:lang w:val="en-US" w:eastAsia="zh-CN"/>
                    </w:rPr>
                    <w:t>0048</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0.8</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b/>
                <w:bCs/>
                <w:color w:val="auto"/>
                <w:kern w:val="0"/>
                <w:sz w:val="24"/>
                <w:szCs w:val="24"/>
                <w:lang w:val="en-US" w:eastAsia="zh-CN" w:bidi="ar"/>
              </w:rPr>
            </w:pPr>
            <w:r>
              <w:rPr>
                <w:rFonts w:hint="eastAsia"/>
                <w:color w:val="auto"/>
                <w:sz w:val="24"/>
                <w:szCs w:val="24"/>
                <w:lang w:val="en-US" w:eastAsia="zh-CN"/>
              </w:rPr>
              <w:t>结果表明，</w:t>
            </w:r>
            <w:r>
              <w:rPr>
                <w:color w:val="auto"/>
                <w:sz w:val="24"/>
                <w:szCs w:val="24"/>
              </w:rPr>
              <w:t>现状监测期间，评价区域环境空气中</w:t>
            </w:r>
            <w:r>
              <w:rPr>
                <w:rFonts w:hint="eastAsia" w:ascii="Times New Roman" w:hAnsi="Times New Roman"/>
                <w:b w:val="0"/>
                <w:bCs w:val="0"/>
                <w:color w:val="auto"/>
                <w:sz w:val="24"/>
                <w:szCs w:val="24"/>
              </w:rPr>
              <w:t>TVOC满足《环境影响评价技术导则 大气环境》 （HJ2.2-2018）附录D</w:t>
            </w:r>
            <w:r>
              <w:rPr>
                <w:color w:val="auto"/>
                <w:sz w:val="24"/>
                <w:szCs w:val="24"/>
              </w:rPr>
              <w:t>中的浓度限值标准要求</w:t>
            </w:r>
            <w:r>
              <w:rPr>
                <w:rFonts w:hint="eastAsia" w:ascii="Times New Roman" w:hAnsi="Times New Roman"/>
                <w:b w:val="0"/>
                <w:bCs w:val="0"/>
                <w:color w:val="auto"/>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二、地表水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项目所在地地表水环境质量现状</w:t>
            </w:r>
          </w:p>
          <w:p>
            <w:pPr>
              <w:adjustRightInd w:val="0"/>
              <w:snapToGrid w:val="0"/>
              <w:spacing w:line="360" w:lineRule="auto"/>
              <w:ind w:firstLine="480" w:firstLineChars="200"/>
              <w:rPr>
                <w:rFonts w:ascii="宋体" w:hAnsi="宋体" w:eastAsia="宋体"/>
                <w:b/>
                <w:sz w:val="24"/>
                <w:szCs w:val="24"/>
              </w:rPr>
            </w:pPr>
            <w:r>
              <w:rPr>
                <w:rFonts w:hint="eastAsia"/>
                <w:sz w:val="24"/>
                <w:szCs w:val="24"/>
              </w:rPr>
              <w:t>根据《环境影响评价导则 地表水环境》（HJ2.3-2018）中有关水环境质量现状调查的规定：应优先采用国务院生态环境保护主管部门统一发布的水环境状况信息。</w:t>
            </w:r>
            <w:r>
              <w:rPr>
                <w:rFonts w:hint="default" w:ascii="Times New Roman" w:hAnsi="Times New Roman" w:eastAsia="宋体" w:cs="Times New Roman"/>
                <w:kern w:val="2"/>
                <w:sz w:val="24"/>
                <w:szCs w:val="24"/>
                <w:lang w:val="en-US" w:eastAsia="zh-CN" w:bidi="ar"/>
              </w:rPr>
              <w:t>本次环评引用</w:t>
            </w:r>
            <w:r>
              <w:rPr>
                <w:rFonts w:hint="eastAsia" w:cs="Times New Roman"/>
                <w:bCs/>
                <w:kern w:val="2"/>
                <w:sz w:val="24"/>
                <w:szCs w:val="24"/>
                <w:lang w:val="en-US" w:eastAsia="zh-CN" w:bidi="ar"/>
              </w:rPr>
              <w:t>达州</w:t>
            </w:r>
            <w:r>
              <w:rPr>
                <w:rFonts w:hint="default" w:ascii="Times New Roman" w:hAnsi="Times New Roman" w:eastAsia="宋体" w:cs="Times New Roman"/>
                <w:bCs/>
                <w:kern w:val="2"/>
                <w:sz w:val="24"/>
                <w:szCs w:val="24"/>
                <w:lang w:val="en-US" w:eastAsia="zh-CN" w:bidi="ar"/>
              </w:rPr>
              <w:t>市生态环境局</w:t>
            </w:r>
            <w:r>
              <w:rPr>
                <w:rFonts w:hint="eastAsia" w:ascii="Times New Roman" w:hAnsi="Times New Roman" w:eastAsia="宋体" w:cs="Times New Roman"/>
                <w:bCs/>
                <w:kern w:val="2"/>
                <w:sz w:val="24"/>
                <w:szCs w:val="24"/>
                <w:lang w:val="en-US" w:eastAsia="zh-CN" w:bidi="ar"/>
              </w:rPr>
              <w:t>2023年4月14日</w:t>
            </w:r>
            <w:r>
              <w:rPr>
                <w:rFonts w:hint="default" w:ascii="Times New Roman" w:hAnsi="Times New Roman" w:eastAsia="宋体" w:cs="Times New Roman"/>
                <w:bCs/>
                <w:kern w:val="2"/>
                <w:sz w:val="24"/>
                <w:szCs w:val="24"/>
                <w:lang w:val="en-US" w:eastAsia="zh-CN" w:bidi="ar"/>
              </w:rPr>
              <w:t>公布的《2023年3月达州市地表水水质月报》</w:t>
            </w:r>
            <w:r>
              <w:rPr>
                <w:rFonts w:hint="default" w:ascii="Times New Roman" w:hAnsi="Times New Roman" w:eastAsia="宋体" w:cs="Times New Roman"/>
                <w:kern w:val="2"/>
                <w:sz w:val="24"/>
                <w:szCs w:val="24"/>
                <w:lang w:val="en-US" w:eastAsia="zh-CN" w:bidi="ar"/>
              </w:rPr>
              <w:t>中地表水环境质量</w:t>
            </w:r>
            <w:r>
              <w:rPr>
                <w:rFonts w:hint="eastAsia" w:ascii="Times New Roman" w:hAnsi="Times New Roman" w:eastAsia="宋体" w:cs="Times New Roman"/>
                <w:kern w:val="2"/>
                <w:sz w:val="24"/>
                <w:szCs w:val="24"/>
                <w:lang w:val="en-US" w:eastAsia="zh-CN" w:bidi="ar"/>
              </w:rPr>
              <w:t>数据和</w:t>
            </w:r>
            <w:r>
              <w:rPr>
                <w:rFonts w:hint="default" w:ascii="Times New Roman" w:hAnsi="Times New Roman" w:eastAsia="宋体" w:cs="Times New Roman"/>
                <w:kern w:val="2"/>
                <w:sz w:val="24"/>
                <w:szCs w:val="24"/>
                <w:lang w:val="en-US" w:eastAsia="zh-CN" w:bidi="ar"/>
              </w:rPr>
              <w:t>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cs="Times New Roman"/>
                <w:sz w:val="24"/>
                <w:szCs w:val="24"/>
              </w:rPr>
              <w:t>根据</w:t>
            </w:r>
            <w:r>
              <w:rPr>
                <w:rFonts w:hint="default" w:ascii="Times New Roman" w:hAnsi="Times New Roman" w:cs="Times New Roman"/>
                <w:bCs/>
                <w:kern w:val="2"/>
                <w:sz w:val="24"/>
                <w:szCs w:val="24"/>
                <w:lang w:val="en-US" w:eastAsia="zh-CN" w:bidi="ar"/>
              </w:rPr>
              <w:t>达州</w:t>
            </w:r>
            <w:r>
              <w:rPr>
                <w:rFonts w:hint="default" w:ascii="Times New Roman" w:hAnsi="Times New Roman" w:eastAsia="宋体" w:cs="Times New Roman"/>
                <w:bCs/>
                <w:kern w:val="2"/>
                <w:sz w:val="24"/>
                <w:szCs w:val="24"/>
                <w:lang w:val="en-US" w:eastAsia="zh-CN" w:bidi="ar"/>
              </w:rPr>
              <w:t>市生态环境局</w:t>
            </w:r>
            <w:r>
              <w:rPr>
                <w:rFonts w:hint="default" w:ascii="Times New Roman" w:hAnsi="Times New Roman" w:cs="Times New Roman"/>
                <w:sz w:val="24"/>
                <w:szCs w:val="24"/>
              </w:rPr>
              <w:t>发布的</w:t>
            </w:r>
            <w:r>
              <w:rPr>
                <w:rFonts w:hint="default" w:ascii="Times New Roman" w:hAnsi="Times New Roman" w:eastAsia="宋体" w:cs="Times New Roman"/>
                <w:bCs/>
                <w:kern w:val="2"/>
                <w:sz w:val="24"/>
                <w:szCs w:val="24"/>
                <w:lang w:val="en-US" w:eastAsia="zh-CN" w:bidi="ar"/>
              </w:rPr>
              <w:t>《2023年3月达州市地表水水质月报》</w:t>
            </w:r>
            <w:r>
              <w:rPr>
                <w:rFonts w:hint="default" w:ascii="Times New Roman" w:hAnsi="Times New Roman" w:cs="Times New Roman"/>
                <w:sz w:val="24"/>
                <w:szCs w:val="24"/>
              </w:rPr>
              <w:t>：2023年3月全市35个河流断面中，优（Ⅰ~Ⅱ类）良（Ⅲ类）水质断面32个，占比91.4%</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轻度污染（Ⅳ类）水质断面3个，占比8.6%。全市河流断面超标情况为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任市河联盟桥断面受到轻度污染，主要污染指标为五日生化需氧量</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袁驿河速建桥、平滩河碧山中学断面受到轻度污染，主要污染指标均为化学需氧量。</w:t>
            </w:r>
            <w:r>
              <w:rPr>
                <w:rFonts w:hint="eastAsia" w:eastAsia="宋体"/>
                <w:sz w:val="24"/>
                <w:szCs w:val="24"/>
                <w:lang w:val="en-US" w:eastAsia="zh-CN"/>
              </w:rPr>
              <w:t>项目涉及区域</w:t>
            </w:r>
            <w:r>
              <w:rPr>
                <w:rFonts w:hint="eastAsia" w:ascii="宋体" w:hAnsi="宋体" w:eastAsia="宋体" w:cs="宋体"/>
                <w:color w:val="000000"/>
                <w:kern w:val="0"/>
                <w:sz w:val="24"/>
                <w:szCs w:val="24"/>
                <w:lang w:val="en-US" w:eastAsia="zh-CN" w:bidi="ar"/>
              </w:rPr>
              <w:t>水质评价结果见下表。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表3-</w:t>
            </w:r>
            <w:r>
              <w:rPr>
                <w:rFonts w:hint="eastAsia"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 xml:space="preserve">   202</w:t>
            </w:r>
            <w:r>
              <w:rPr>
                <w:rFonts w:hint="eastAsia"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年</w:t>
            </w:r>
            <w:r>
              <w:rPr>
                <w:rFonts w:hint="eastAsia"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月达州市河流水质评价结果表（部分)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4"/>
              <w:gridCol w:w="1005"/>
              <w:gridCol w:w="795"/>
              <w:gridCol w:w="840"/>
              <w:gridCol w:w="705"/>
              <w:gridCol w:w="660"/>
              <w:gridCol w:w="690"/>
              <w:gridCol w:w="735"/>
              <w:gridCol w:w="25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序号</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河流</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断面名称</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交界情况</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断面性质</w:t>
                  </w:r>
                </w:p>
              </w:tc>
              <w:tc>
                <w:tcPr>
                  <w:tcW w:w="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上年同期</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上月类别</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本月类别</w:t>
                  </w:r>
                </w:p>
              </w:tc>
              <w:tc>
                <w:tcPr>
                  <w:tcW w:w="25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本月主要污染指标（类别）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0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州河（干流）</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车家河</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rPr>
                  </w:pPr>
                  <w:r>
                    <w:rPr>
                      <w:rFonts w:hint="default" w:ascii="Times New Roman" w:hAnsi="Times New Roman" w:cs="Times New Roman"/>
                      <w:kern w:val="0"/>
                      <w:sz w:val="21"/>
                      <w:szCs w:val="21"/>
                      <w:lang w:val="en-US" w:eastAsia="zh-CN"/>
                    </w:rPr>
                    <w:t>市城区</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国考</w:t>
                  </w:r>
                </w:p>
              </w:tc>
              <w:tc>
                <w:tcPr>
                  <w:tcW w:w="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Ⅱ</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Ⅱ</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Ⅱ</w:t>
                  </w:r>
                </w:p>
              </w:tc>
              <w:tc>
                <w:tcPr>
                  <w:tcW w:w="25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0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白鹤山</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达川区-渠县</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省控考核评价</w:t>
                  </w:r>
                </w:p>
              </w:tc>
              <w:tc>
                <w:tcPr>
                  <w:tcW w:w="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Ⅲ</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Ⅲ</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Ⅲ</w:t>
                  </w:r>
                </w:p>
              </w:tc>
              <w:tc>
                <w:tcPr>
                  <w:tcW w:w="25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eastAsia="宋体"/>
                <w:sz w:val="24"/>
                <w:szCs w:val="24"/>
                <w:lang w:eastAsia="zh-CN"/>
              </w:rPr>
            </w:pPr>
            <w:r>
              <w:rPr>
                <w:rFonts w:hint="eastAsia"/>
                <w:sz w:val="24"/>
                <w:szCs w:val="24"/>
              </w:rPr>
              <w:t>本项目排水最终</w:t>
            </w:r>
            <w:r>
              <w:rPr>
                <w:rFonts w:hint="eastAsia"/>
                <w:sz w:val="24"/>
                <w:szCs w:val="24"/>
                <w:lang w:val="en-US" w:eastAsia="zh-CN"/>
              </w:rPr>
              <w:t>受</w:t>
            </w:r>
            <w:r>
              <w:rPr>
                <w:rFonts w:hint="eastAsia"/>
                <w:sz w:val="24"/>
                <w:szCs w:val="24"/>
              </w:rPr>
              <w:t>纳水体为</w:t>
            </w:r>
            <w:r>
              <w:rPr>
                <w:rFonts w:hint="eastAsia" w:ascii="宋体" w:hAnsi="宋体" w:eastAsia="宋体" w:cs="宋体"/>
                <w:color w:val="000000"/>
                <w:kern w:val="0"/>
                <w:sz w:val="24"/>
                <w:szCs w:val="24"/>
                <w:lang w:val="en-US" w:eastAsia="zh-CN" w:bidi="ar"/>
              </w:rPr>
              <w:t>州河</w:t>
            </w:r>
            <w:r>
              <w:rPr>
                <w:rFonts w:hint="default" w:ascii="Times New Roman" w:hAnsi="Times New Roman" w:cs="Times New Roman"/>
                <w:sz w:val="24"/>
                <w:szCs w:val="24"/>
              </w:rPr>
              <w:t>，距项目区较近的监测断面为白鹤山、车家河断面</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根据上表可知，项目区域地表水能达到</w:t>
            </w:r>
            <w:r>
              <w:rPr>
                <w:rFonts w:hint="default" w:ascii="Times New Roman" w:hAnsi="Times New Roman" w:eastAsia="宋体" w:cs="Times New Roman"/>
                <w:color w:val="000000"/>
                <w:kern w:val="0"/>
                <w:sz w:val="24"/>
                <w:szCs w:val="24"/>
                <w:lang w:val="en-US" w:eastAsia="zh-CN" w:bidi="ar"/>
              </w:rPr>
              <w:t>《地表水环境质量标准》（GB3838-2002）中Ⅲ类水质标准，</w:t>
            </w:r>
            <w:r>
              <w:rPr>
                <w:rFonts w:hint="eastAsia"/>
                <w:sz w:val="24"/>
                <w:szCs w:val="24"/>
              </w:rPr>
              <w:t>水质良好。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color w:val="auto"/>
                <w:sz w:val="24"/>
                <w:szCs w:val="24"/>
                <w:highlight w:val="none"/>
              </w:rPr>
              <w:t>地表水环境质量现状监测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ascii="Times New Roman" w:hAnsi="Times New Roman" w:eastAsia="宋体" w:cs="Times New Roman"/>
                <w:color w:val="auto"/>
                <w:sz w:val="24"/>
                <w:szCs w:val="24"/>
                <w:highlight w:val="none"/>
                <w:lang w:val="en-US" w:eastAsia="zh-CN"/>
              </w:rPr>
              <w:t>子槽沟在本项目地块内从北向南穿过，</w:t>
            </w:r>
            <w:r>
              <w:rPr>
                <w:rFonts w:hint="default" w:ascii="Times New Roman" w:hAnsi="Times New Roman" w:eastAsia="宋体" w:cs="Times New Roman"/>
                <w:color w:val="auto"/>
                <w:sz w:val="24"/>
                <w:szCs w:val="24"/>
                <w:highlight w:val="none"/>
              </w:rPr>
              <w:t>为了解</w:t>
            </w:r>
            <w:r>
              <w:rPr>
                <w:rFonts w:hint="eastAsia" w:ascii="Times New Roman" w:hAnsi="Times New Roman" w:eastAsia="宋体" w:cs="Times New Roman"/>
                <w:color w:val="auto"/>
                <w:sz w:val="24"/>
                <w:szCs w:val="24"/>
                <w:highlight w:val="none"/>
                <w:lang w:val="en-US" w:eastAsia="zh-CN"/>
              </w:rPr>
              <w:t>子槽沟</w:t>
            </w:r>
            <w:r>
              <w:rPr>
                <w:rFonts w:hint="default" w:ascii="Times New Roman" w:hAnsi="Times New Roman" w:eastAsia="宋体" w:cs="Times New Roman"/>
                <w:color w:val="auto"/>
                <w:sz w:val="24"/>
                <w:szCs w:val="24"/>
                <w:highlight w:val="none"/>
              </w:rPr>
              <w:t>目前地表水水环境，本次环评委托达州恒福环境监测服务有限公</w:t>
            </w:r>
            <w:r>
              <w:rPr>
                <w:rFonts w:hint="default" w:ascii="Times New Roman" w:hAnsi="Times New Roman" w:eastAsia="宋体" w:cs="Times New Roman"/>
                <w:color w:val="000000"/>
                <w:kern w:val="0"/>
                <w:sz w:val="24"/>
                <w:szCs w:val="24"/>
                <w:lang w:val="en-US" w:eastAsia="zh-CN" w:bidi="ar"/>
              </w:rPr>
              <w:t>司于202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19日至</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21日</w:t>
            </w:r>
            <w:r>
              <w:rPr>
                <w:rFonts w:hint="default" w:ascii="Times New Roman" w:hAnsi="Times New Roman" w:eastAsia="宋体" w:cs="Times New Roman"/>
                <w:color w:val="000000"/>
                <w:kern w:val="0"/>
                <w:sz w:val="24"/>
                <w:szCs w:val="24"/>
                <w:lang w:val="en-US" w:eastAsia="zh-CN" w:bidi="ar"/>
              </w:rPr>
              <w:t>对</w:t>
            </w:r>
            <w:r>
              <w:rPr>
                <w:rFonts w:hint="eastAsia" w:ascii="Times New Roman" w:hAnsi="Times New Roman" w:eastAsia="宋体" w:cs="Times New Roman"/>
                <w:color w:val="000000"/>
                <w:kern w:val="0"/>
                <w:sz w:val="24"/>
                <w:szCs w:val="24"/>
                <w:lang w:val="en-US" w:eastAsia="zh-CN" w:bidi="ar"/>
              </w:rPr>
              <w:t>该</w:t>
            </w:r>
            <w:r>
              <w:rPr>
                <w:rFonts w:hint="default" w:ascii="Times New Roman" w:hAnsi="Times New Roman" w:eastAsia="宋体" w:cs="Times New Roman"/>
                <w:color w:val="000000"/>
                <w:kern w:val="0"/>
                <w:sz w:val="24"/>
                <w:szCs w:val="24"/>
                <w:lang w:val="en-US" w:eastAsia="zh-CN" w:bidi="ar"/>
              </w:rPr>
              <w:t>地表水进行监测</w:t>
            </w:r>
            <w:r>
              <w:rPr>
                <w:rFonts w:hint="default" w:ascii="Times New Roman" w:hAnsi="Times New Roman" w:eastAsia="宋体" w:cs="Times New Roman"/>
                <w:color w:val="auto"/>
                <w:sz w:val="24"/>
                <w:szCs w:val="24"/>
                <w:highlight w:val="none"/>
              </w:rPr>
              <w:t>（恒福</w:t>
            </w:r>
            <w:r>
              <w:rPr>
                <w:rFonts w:hint="eastAsia" w:ascii="Times New Roman" w:hAnsi="Times New Roman" w:eastAsia="宋体" w:cs="Times New Roman"/>
                <w:color w:val="auto"/>
                <w:sz w:val="24"/>
                <w:szCs w:val="24"/>
                <w:highlight w:val="none"/>
              </w:rPr>
              <w:t>（环）</w:t>
            </w:r>
            <w:r>
              <w:rPr>
                <w:rFonts w:hint="default" w:ascii="Times New Roman" w:hAnsi="Times New Roman" w:eastAsia="宋体" w:cs="Times New Roman"/>
                <w:color w:val="auto"/>
                <w:sz w:val="24"/>
                <w:szCs w:val="24"/>
                <w:highlight w:val="none"/>
              </w:rPr>
              <w:t>检</w:t>
            </w:r>
            <w:r>
              <w:rPr>
                <w:rFonts w:hint="eastAsia" w:ascii="Times New Roman" w:hAnsi="Times New Roman" w:eastAsia="宋体" w:cs="Times New Roman"/>
                <w:color w:val="auto"/>
                <w:sz w:val="24"/>
                <w:szCs w:val="24"/>
                <w:highlight w:val="none"/>
              </w:rPr>
              <w:t>字</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）第</w:t>
            </w:r>
            <w:r>
              <w:rPr>
                <w:rFonts w:hint="eastAsia" w:ascii="Times New Roman" w:hAnsi="Times New Roman" w:eastAsia="宋体" w:cs="Times New Roman"/>
                <w:color w:val="auto"/>
                <w:sz w:val="24"/>
                <w:szCs w:val="24"/>
                <w:highlight w:val="none"/>
                <w:lang w:val="en-US" w:eastAsia="zh-CN"/>
              </w:rPr>
              <w:t>0473</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（1）地表水</w:t>
            </w:r>
            <w:r>
              <w:rPr>
                <w:rFonts w:hint="default" w:ascii="Times New Roman" w:hAnsi="Times New Roman" w:cs="Times New Roman"/>
                <w:b/>
                <w:color w:val="auto"/>
                <w:sz w:val="24"/>
                <w:szCs w:val="24"/>
                <w:highlight w:val="none"/>
              </w:rPr>
              <w:t>污染物现状监测</w:t>
            </w:r>
          </w:p>
          <w:p>
            <w:pPr>
              <w:pageBreakBefore w:val="0"/>
              <w:kinsoku/>
              <w:wordWrap/>
              <w:bidi w:val="0"/>
              <w:spacing w:line="360" w:lineRule="auto"/>
              <w:ind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①监测点位基本信息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本次共设</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个监测断面，项目地表水监测基本信息见下表。</w:t>
            </w:r>
          </w:p>
          <w:p>
            <w:pPr>
              <w:pStyle w:val="7"/>
              <w:keepNext w:val="0"/>
              <w:keepLines w:val="0"/>
              <w:pageBreakBefore w:val="0"/>
              <w:widowControl w:val="0"/>
              <w:kinsoku/>
              <w:wordWrap/>
              <w:overflowPunct/>
              <w:topLinePunct w:val="0"/>
              <w:autoSpaceDE/>
              <w:autoSpaceDN/>
              <w:bidi w:val="0"/>
              <w:adjustRightInd/>
              <w:snapToGrid w:val="0"/>
              <w:spacing w:before="0" w:after="0"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表</w:t>
            </w:r>
            <w:r>
              <w:rPr>
                <w:rFonts w:hint="eastAsia" w:ascii="黑体" w:hAnsi="黑体" w:eastAsia="黑体" w:cs="黑体"/>
                <w:b w:val="0"/>
                <w:bCs/>
                <w:sz w:val="21"/>
                <w:szCs w:val="21"/>
                <w:lang w:val="en-US" w:eastAsia="zh-CN"/>
              </w:rPr>
              <w:t>3-5</w:t>
            </w:r>
            <w:r>
              <w:rPr>
                <w:rFonts w:hint="eastAsia" w:ascii="黑体" w:hAnsi="黑体" w:eastAsia="黑体" w:cs="黑体"/>
                <w:b w:val="0"/>
                <w:bCs/>
                <w:sz w:val="21"/>
                <w:szCs w:val="21"/>
              </w:rPr>
              <w:t xml:space="preserve">  检测项目、测点布置及检测频率一览表</w:t>
            </w:r>
          </w:p>
          <w:tbl>
            <w:tblPr>
              <w:tblStyle w:val="26"/>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835"/>
              <w:gridCol w:w="2925"/>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bCs/>
                      <w:spacing w:val="12"/>
                      <w:kern w:val="28"/>
                      <w:sz w:val="21"/>
                      <w:szCs w:val="21"/>
                      <w:lang w:val="en-US" w:eastAsia="zh-CN"/>
                    </w:rPr>
                  </w:pPr>
                  <w:r>
                    <w:rPr>
                      <w:rFonts w:hint="eastAsia" w:ascii="Times New Roman" w:hAnsi="Times New Roman" w:eastAsia="宋体" w:cs="Times New Roman"/>
                      <w:b/>
                      <w:bCs/>
                      <w:spacing w:val="12"/>
                      <w:kern w:val="28"/>
                      <w:sz w:val="21"/>
                      <w:szCs w:val="21"/>
                      <w:lang w:val="en-US" w:eastAsia="zh-CN"/>
                    </w:rPr>
                    <w:t>断面编号</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监测点位</w:t>
                  </w:r>
                </w:p>
              </w:tc>
              <w:tc>
                <w:tcPr>
                  <w:tcW w:w="2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监测项目</w:t>
                  </w:r>
                </w:p>
              </w:tc>
              <w:tc>
                <w:tcPr>
                  <w:tcW w:w="12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spacing w:val="12"/>
                      <w:kern w:val="28"/>
                      <w:sz w:val="21"/>
                      <w:szCs w:val="21"/>
                      <w:lang w:val="en-US" w:eastAsia="zh-CN" w:bidi="ar-SA"/>
                    </w:rPr>
                  </w:pPr>
                  <w:r>
                    <w:rPr>
                      <w:rFonts w:hint="default" w:ascii="Times New Roman" w:hAnsi="Times New Roman" w:eastAsia="宋体" w:cs="Times New Roman"/>
                      <w:b w:val="0"/>
                      <w:bCs w:val="0"/>
                      <w:spacing w:val="12"/>
                      <w:kern w:val="28"/>
                      <w:sz w:val="21"/>
                      <w:szCs w:val="21"/>
                      <w:lang w:val="en-US" w:eastAsia="zh-CN"/>
                    </w:rPr>
                    <w:t>Ⅰ</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河流改道起点</w:t>
                  </w:r>
                  <w:r>
                    <w:rPr>
                      <w:rFonts w:hint="eastAsia" w:ascii="Times New Roman" w:hAnsi="Times New Roman" w:eastAsia="宋体" w:cs="Times New Roman"/>
                      <w:b w:val="0"/>
                      <w:bCs w:val="0"/>
                      <w:color w:val="000000"/>
                      <w:sz w:val="21"/>
                      <w:szCs w:val="21"/>
                      <w:lang w:val="en-US" w:eastAsia="zh-CN"/>
                    </w:rPr>
                    <w:t>上游100m</w:t>
                  </w:r>
                </w:p>
              </w:tc>
              <w:tc>
                <w:tcPr>
                  <w:tcW w:w="29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spacing w:val="12"/>
                      <w:kern w:val="28"/>
                      <w:sz w:val="21"/>
                      <w:szCs w:val="21"/>
                      <w:lang w:val="en-US" w:eastAsia="zh-CN" w:bidi="ar-SA"/>
                    </w:rPr>
                  </w:pPr>
                  <w:r>
                    <w:rPr>
                      <w:rFonts w:hint="default" w:ascii="Times New Roman" w:hAnsi="Times New Roman" w:cs="Times New Roman"/>
                      <w:sz w:val="21"/>
                      <w:szCs w:val="21"/>
                    </w:rPr>
                    <w:t>pH、COD、BOD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、氨氮、总磷、SS、粪大肠菌群、石油类</w:t>
                  </w:r>
                </w:p>
              </w:tc>
              <w:tc>
                <w:tcPr>
                  <w:tcW w:w="12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检</w:t>
                  </w:r>
                  <w:r>
                    <w:rPr>
                      <w:rFonts w:hint="default" w:ascii="Times New Roman" w:hAnsi="Times New Roman" w:eastAsia="宋体" w:cs="Times New Roman"/>
                      <w:b w:val="0"/>
                      <w:bCs/>
                      <w:sz w:val="21"/>
                      <w:szCs w:val="21"/>
                      <w:lang w:eastAsia="zh-CN"/>
                    </w:rPr>
                    <w:t>测</w:t>
                  </w:r>
                  <w:r>
                    <w:rPr>
                      <w:rFonts w:hint="default" w:ascii="Times New Roman" w:hAnsi="Times New Roman" w:eastAsia="宋体" w:cs="Times New Roman"/>
                      <w:b w:val="0"/>
                      <w:bCs/>
                      <w:sz w:val="21"/>
                      <w:szCs w:val="21"/>
                      <w:lang w:val="en-US" w:eastAsia="zh-CN"/>
                    </w:rPr>
                    <w:t>3</w:t>
                  </w:r>
                  <w:r>
                    <w:rPr>
                      <w:rFonts w:hint="default" w:ascii="Times New Roman" w:hAnsi="Times New Roman" w:eastAsia="宋体" w:cs="Times New Roman"/>
                      <w:b w:val="0"/>
                      <w:bCs/>
                      <w:sz w:val="21"/>
                      <w:szCs w:val="21"/>
                      <w:lang w:eastAsia="zh-CN"/>
                    </w:rPr>
                    <w:t>天，每天</w:t>
                  </w:r>
                  <w:r>
                    <w:rPr>
                      <w:rFonts w:hint="default"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lang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pacing w:val="12"/>
                      <w:kern w:val="28"/>
                      <w:sz w:val="21"/>
                      <w:szCs w:val="21"/>
                      <w:lang w:val="en-US" w:eastAsia="zh-CN"/>
                    </w:rPr>
                    <w:t>Ⅱ</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河流改道终点</w:t>
                  </w:r>
                  <w:r>
                    <w:rPr>
                      <w:rFonts w:hint="eastAsia" w:ascii="Times New Roman" w:hAnsi="Times New Roman" w:eastAsia="宋体" w:cs="Times New Roman"/>
                      <w:b w:val="0"/>
                      <w:bCs w:val="0"/>
                      <w:color w:val="000000"/>
                      <w:sz w:val="21"/>
                      <w:szCs w:val="21"/>
                      <w:lang w:val="en-US" w:eastAsia="zh-CN"/>
                    </w:rPr>
                    <w:t>下游500m</w:t>
                  </w:r>
                </w:p>
              </w:tc>
              <w:tc>
                <w:tcPr>
                  <w:tcW w:w="292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sz w:val="21"/>
                      <w:szCs w:val="21"/>
                      <w:vertAlign w:val="baseline"/>
                    </w:rPr>
                  </w:pPr>
                </w:p>
              </w:tc>
              <w:tc>
                <w:tcPr>
                  <w:tcW w:w="12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sz w:val="21"/>
                      <w:szCs w:val="21"/>
                      <w:vertAlign w:val="baseline"/>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rPr>
              <w:t>②监测结果</w:t>
            </w:r>
          </w:p>
          <w:p>
            <w:pPr>
              <w:pStyle w:val="67"/>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sz w:val="21"/>
                <w:szCs w:val="21"/>
              </w:rPr>
            </w:pPr>
            <w:r>
              <w:rPr>
                <w:rFonts w:hint="eastAsia" w:ascii="黑体" w:hAnsi="黑体" w:eastAsia="黑体" w:cs="黑体"/>
                <w:b w:val="0"/>
                <w:bCs/>
                <w:sz w:val="21"/>
                <w:szCs w:val="21"/>
              </w:rPr>
              <w:t>表</w:t>
            </w:r>
            <w:r>
              <w:rPr>
                <w:rFonts w:hint="eastAsia" w:ascii="黑体" w:hAnsi="黑体" w:eastAsia="黑体" w:cs="黑体"/>
                <w:b w:val="0"/>
                <w:bCs/>
                <w:sz w:val="21"/>
                <w:szCs w:val="21"/>
                <w:lang w:val="en-US" w:eastAsia="zh-CN"/>
              </w:rPr>
              <w:t>3-6</w:t>
            </w:r>
            <w:r>
              <w:rPr>
                <w:rFonts w:hint="eastAsia" w:ascii="黑体" w:hAnsi="黑体" w:eastAsia="黑体" w:cs="黑体"/>
                <w:b w:val="0"/>
                <w:bCs/>
                <w:sz w:val="21"/>
                <w:szCs w:val="21"/>
              </w:rPr>
              <w:t xml:space="preserve">  地表水检测结果一览表          单位：mg/L</w:t>
            </w:r>
          </w:p>
          <w:tbl>
            <w:tblPr>
              <w:tblStyle w:val="25"/>
              <w:tblW w:w="82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3"/>
              <w:gridCol w:w="1779"/>
              <w:gridCol w:w="2850"/>
              <w:gridCol w:w="29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743" w:type="dxa"/>
                  <w:vMerge w:val="restart"/>
                  <w:tcBorders>
                    <w:tl2br w:val="nil"/>
                    <w:tr2bl w:val="nil"/>
                  </w:tcBorders>
                  <w:noWrap w:val="0"/>
                  <w:vAlign w:val="center"/>
                </w:tcPr>
                <w:p>
                  <w:pPr>
                    <w:jc w:val="center"/>
                    <w:rPr>
                      <w:b/>
                      <w:bCs/>
                      <w:sz w:val="21"/>
                      <w:szCs w:val="21"/>
                    </w:rPr>
                  </w:pPr>
                  <w:r>
                    <w:rPr>
                      <w:rFonts w:hint="eastAsia"/>
                      <w:b/>
                      <w:bCs/>
                      <w:sz w:val="21"/>
                      <w:szCs w:val="21"/>
                    </w:rPr>
                    <w:t>采样日期</w:t>
                  </w:r>
                </w:p>
              </w:tc>
              <w:tc>
                <w:tcPr>
                  <w:tcW w:w="1779" w:type="dxa"/>
                  <w:vMerge w:val="restart"/>
                  <w:tcBorders>
                    <w:tl2br w:val="nil"/>
                    <w:tr2bl w:val="nil"/>
                  </w:tcBorders>
                  <w:noWrap w:val="0"/>
                  <w:vAlign w:val="center"/>
                </w:tcPr>
                <w:p>
                  <w:pPr>
                    <w:jc w:val="center"/>
                    <w:rPr>
                      <w:b/>
                      <w:bCs/>
                      <w:sz w:val="21"/>
                      <w:szCs w:val="21"/>
                    </w:rPr>
                  </w:pPr>
                  <w:r>
                    <w:rPr>
                      <w:b/>
                      <w:bCs/>
                      <w:sz w:val="21"/>
                      <w:szCs w:val="21"/>
                    </w:rPr>
                    <w:t>检测因子</w:t>
                  </w:r>
                </w:p>
              </w:tc>
              <w:tc>
                <w:tcPr>
                  <w:tcW w:w="5775" w:type="dxa"/>
                  <w:gridSpan w:val="2"/>
                  <w:tcBorders>
                    <w:tl2br w:val="nil"/>
                    <w:tr2bl w:val="nil"/>
                  </w:tcBorders>
                  <w:noWrap w:val="0"/>
                  <w:vAlign w:val="center"/>
                </w:tcPr>
                <w:p>
                  <w:pPr>
                    <w:jc w:val="center"/>
                    <w:rPr>
                      <w:b/>
                      <w:bCs/>
                      <w:sz w:val="21"/>
                      <w:szCs w:val="21"/>
                    </w:rPr>
                  </w:pPr>
                  <w:r>
                    <w:rPr>
                      <w:rFonts w:hint="default" w:ascii="Times New Roman" w:hAnsi="Times New Roman" w:cs="Times New Roman"/>
                      <w:b/>
                      <w:bCs/>
                      <w:sz w:val="21"/>
                      <w:szCs w:val="21"/>
                    </w:rPr>
                    <w:t>检测点编号</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位置</w:t>
                  </w:r>
                  <w:r>
                    <w:rPr>
                      <w:b/>
                      <w:bCs/>
                      <w:sz w:val="21"/>
                      <w:szCs w:val="21"/>
                    </w:rPr>
                    <w:t>及检测结果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743" w:type="dxa"/>
                  <w:vMerge w:val="continue"/>
                  <w:tcBorders>
                    <w:tl2br w:val="nil"/>
                    <w:tr2bl w:val="nil"/>
                  </w:tcBorders>
                  <w:noWrap w:val="0"/>
                  <w:vAlign w:val="center"/>
                </w:tcPr>
                <w:p>
                  <w:pPr>
                    <w:jc w:val="center"/>
                    <w:rPr>
                      <w:b/>
                      <w:bCs/>
                      <w:sz w:val="21"/>
                      <w:szCs w:val="21"/>
                    </w:rPr>
                  </w:pPr>
                </w:p>
              </w:tc>
              <w:tc>
                <w:tcPr>
                  <w:tcW w:w="1779" w:type="dxa"/>
                  <w:vMerge w:val="continue"/>
                  <w:tcBorders>
                    <w:tl2br w:val="nil"/>
                    <w:tr2bl w:val="nil"/>
                  </w:tcBorders>
                  <w:noWrap w:val="0"/>
                  <w:vAlign w:val="center"/>
                </w:tcPr>
                <w:p>
                  <w:pPr>
                    <w:jc w:val="center"/>
                    <w:rPr>
                      <w:b/>
                      <w:bCs/>
                      <w:sz w:val="21"/>
                      <w:szCs w:val="21"/>
                    </w:rPr>
                  </w:pPr>
                </w:p>
              </w:tc>
              <w:tc>
                <w:tcPr>
                  <w:tcW w:w="2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
                      <w:bCs/>
                      <w:sz w:val="21"/>
                      <w:szCs w:val="21"/>
                    </w:rPr>
                  </w:pPr>
                  <w:r>
                    <w:rPr>
                      <w:rFonts w:hint="default" w:ascii="Times New Roman" w:hAnsi="Times New Roman" w:eastAsia="宋体" w:cs="Times New Roman"/>
                      <w:b w:val="0"/>
                      <w:bCs w:val="0"/>
                      <w:spacing w:val="12"/>
                      <w:kern w:val="28"/>
                      <w:sz w:val="21"/>
                      <w:szCs w:val="21"/>
                      <w:lang w:val="en-US" w:eastAsia="zh-CN"/>
                    </w:rPr>
                    <w:t>Ⅰ</w:t>
                  </w:r>
                  <w:r>
                    <w:rPr>
                      <w:rFonts w:hint="eastAsia"/>
                      <w:sz w:val="21"/>
                      <w:szCs w:val="21"/>
                    </w:rPr>
                    <w:t>，</w:t>
                  </w:r>
                  <w:r>
                    <w:rPr>
                      <w:rFonts w:hint="eastAsia" w:ascii="Times New Roman" w:hAnsi="Times New Roman" w:eastAsia="宋体" w:cs="Times New Roman"/>
                      <w:sz w:val="21"/>
                      <w:szCs w:val="21"/>
                      <w:lang w:val="en-US" w:eastAsia="zh-CN"/>
                    </w:rPr>
                    <w:t>河流改道起点</w:t>
                  </w:r>
                  <w:r>
                    <w:rPr>
                      <w:rFonts w:hint="eastAsia" w:ascii="Times New Roman" w:hAnsi="Times New Roman" w:eastAsia="宋体" w:cs="Times New Roman"/>
                      <w:b w:val="0"/>
                      <w:bCs w:val="0"/>
                      <w:color w:val="000000"/>
                      <w:sz w:val="21"/>
                      <w:szCs w:val="21"/>
                      <w:lang w:val="en-US" w:eastAsia="zh-CN"/>
                    </w:rPr>
                    <w:t>上游100m</w:t>
                  </w:r>
                </w:p>
              </w:tc>
              <w:tc>
                <w:tcPr>
                  <w:tcW w:w="2925" w:type="dxa"/>
                  <w:tcBorders>
                    <w:tl2br w:val="nil"/>
                    <w:tr2bl w:val="nil"/>
                  </w:tcBorders>
                  <w:noWrap w:val="0"/>
                  <w:vAlign w:val="center"/>
                </w:tcPr>
                <w:p>
                  <w:pPr>
                    <w:jc w:val="center"/>
                    <w:rPr>
                      <w:b/>
                      <w:bCs/>
                      <w:sz w:val="21"/>
                      <w:szCs w:val="21"/>
                    </w:rPr>
                  </w:pPr>
                  <w:r>
                    <w:rPr>
                      <w:rFonts w:hint="default" w:ascii="Times New Roman" w:hAnsi="Times New Roman" w:eastAsia="宋体" w:cs="Times New Roman"/>
                      <w:b w:val="0"/>
                      <w:bCs w:val="0"/>
                      <w:spacing w:val="12"/>
                      <w:kern w:val="28"/>
                      <w:sz w:val="21"/>
                      <w:szCs w:val="21"/>
                      <w:lang w:val="en-US" w:eastAsia="zh-CN"/>
                    </w:rPr>
                    <w:t>Ⅱ</w:t>
                  </w:r>
                  <w:r>
                    <w:rPr>
                      <w:rFonts w:hint="eastAsia"/>
                      <w:sz w:val="21"/>
                      <w:szCs w:val="21"/>
                    </w:rPr>
                    <w:t>，</w:t>
                  </w:r>
                  <w:r>
                    <w:rPr>
                      <w:rFonts w:hint="eastAsia" w:ascii="Times New Roman" w:hAnsi="Times New Roman" w:eastAsia="宋体" w:cs="Times New Roman"/>
                      <w:sz w:val="21"/>
                      <w:szCs w:val="21"/>
                      <w:lang w:val="en-US" w:eastAsia="zh-CN"/>
                    </w:rPr>
                    <w:t>河流改道终点</w:t>
                  </w:r>
                  <w:r>
                    <w:rPr>
                      <w:rFonts w:hint="eastAsia" w:ascii="Times New Roman" w:hAnsi="Times New Roman" w:eastAsia="宋体" w:cs="Times New Roman"/>
                      <w:b w:val="0"/>
                      <w:bCs w:val="0"/>
                      <w:color w:val="000000"/>
                      <w:sz w:val="21"/>
                      <w:szCs w:val="21"/>
                      <w:lang w:val="en-US" w:eastAsia="zh-CN"/>
                    </w:rPr>
                    <w:t>下游500m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restart"/>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05</w:t>
                  </w:r>
                  <w:r>
                    <w:rPr>
                      <w:rFonts w:hint="eastAsia"/>
                      <w:color w:val="auto"/>
                      <w:sz w:val="21"/>
                      <w:szCs w:val="21"/>
                    </w:rPr>
                    <w:t>.</w:t>
                  </w:r>
                  <w:r>
                    <w:rPr>
                      <w:rFonts w:hint="eastAsia"/>
                      <w:color w:val="auto"/>
                      <w:sz w:val="21"/>
                      <w:szCs w:val="21"/>
                      <w:lang w:val="en-US" w:eastAsia="zh-CN"/>
                    </w:rPr>
                    <w:t>19</w:t>
                  </w:r>
                </w:p>
              </w:tc>
              <w:tc>
                <w:tcPr>
                  <w:tcW w:w="1779"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after="0" w:line="240" w:lineRule="auto"/>
                    <w:textAlignment w:val="auto"/>
                    <w:rPr>
                      <w:sz w:val="21"/>
                      <w:szCs w:val="21"/>
                    </w:rPr>
                  </w:pPr>
                  <w:r>
                    <w:rPr>
                      <w:rFonts w:cs="Times New Roman"/>
                      <w:sz w:val="21"/>
                      <w:szCs w:val="21"/>
                    </w:rPr>
                    <w:t>pH（无量纲）</w:t>
                  </w:r>
                </w:p>
              </w:tc>
              <w:tc>
                <w:tcPr>
                  <w:tcW w:w="2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sz w:val="21"/>
                      <w:szCs w:val="21"/>
                      <w:lang w:val="en-US" w:eastAsia="zh-CN"/>
                    </w:rPr>
                  </w:pPr>
                  <w:r>
                    <w:rPr>
                      <w:rFonts w:hint="eastAsia" w:eastAsia="宋体"/>
                      <w:sz w:val="21"/>
                      <w:szCs w:val="21"/>
                      <w:lang w:val="en-US" w:eastAsia="zh-CN"/>
                    </w:rPr>
                    <w:t>7.5</w:t>
                  </w:r>
                </w:p>
              </w:tc>
              <w:tc>
                <w:tcPr>
                  <w:tcW w:w="2925" w:type="dxa"/>
                  <w:tcBorders>
                    <w:tl2br w:val="nil"/>
                    <w:tr2bl w:val="nil"/>
                  </w:tcBorders>
                  <w:noWrap w:val="0"/>
                  <w:vAlign w:val="center"/>
                </w:tcPr>
                <w:p>
                  <w:pPr>
                    <w:jc w:val="center"/>
                    <w:rPr>
                      <w:rFonts w:hint="default" w:eastAsia="宋体"/>
                      <w:sz w:val="21"/>
                      <w:szCs w:val="21"/>
                      <w:lang w:val="en-US" w:eastAsia="zh-CN"/>
                    </w:rPr>
                  </w:pPr>
                  <w:r>
                    <w:rPr>
                      <w:rFonts w:hint="eastAsia" w:eastAsia="宋体"/>
                      <w:sz w:val="21"/>
                      <w:szCs w:val="21"/>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jc w:val="center"/>
                    <w:rPr>
                      <w:sz w:val="21"/>
                      <w:szCs w:val="21"/>
                    </w:rPr>
                  </w:pPr>
                  <w:r>
                    <w:rPr>
                      <w:rFonts w:hint="default" w:ascii="Times New Roman" w:hAnsi="Times New Roman" w:cs="Times New Roman"/>
                      <w:color w:val="auto"/>
                      <w:sz w:val="21"/>
                      <w:szCs w:val="21"/>
                      <w:lang w:val="en-US" w:eastAsia="zh-CN"/>
                    </w:rPr>
                    <w:t>五日生化需氧量</w:t>
                  </w:r>
                </w:p>
              </w:tc>
              <w:tc>
                <w:tcPr>
                  <w:tcW w:w="2850"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3.1</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ind w:left="0" w:leftChars="0" w:right="0" w:rightChars="0"/>
                    <w:jc w:val="center"/>
                    <w:rPr>
                      <w:sz w:val="21"/>
                      <w:szCs w:val="21"/>
                    </w:rPr>
                  </w:pPr>
                  <w:r>
                    <w:rPr>
                      <w:sz w:val="21"/>
                      <w:szCs w:val="21"/>
                    </w:rPr>
                    <w:t>化学需氧量</w:t>
                  </w:r>
                </w:p>
              </w:tc>
              <w:tc>
                <w:tcPr>
                  <w:tcW w:w="2850"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pStyle w:val="68"/>
                    <w:snapToGrid w:val="0"/>
                    <w:spacing w:line="240" w:lineRule="auto"/>
                    <w:rPr>
                      <w:sz w:val="21"/>
                      <w:szCs w:val="21"/>
                    </w:rPr>
                  </w:pPr>
                  <w:r>
                    <w:rPr>
                      <w:rFonts w:hint="default" w:ascii="Times New Roman" w:hAnsi="Times New Roman" w:cs="Times New Roman"/>
                      <w:kern w:val="2"/>
                      <w:sz w:val="21"/>
                      <w:szCs w:val="21"/>
                      <w:lang w:val="en-US" w:eastAsia="zh-CN" w:bidi="ar-SA"/>
                    </w:rPr>
                    <w:t>悬浮</w:t>
                  </w:r>
                  <w:r>
                    <w:rPr>
                      <w:rFonts w:hint="eastAsia" w:cs="Times New Roman"/>
                      <w:kern w:val="2"/>
                      <w:sz w:val="21"/>
                      <w:szCs w:val="21"/>
                      <w:lang w:val="en-US" w:eastAsia="zh-CN" w:bidi="ar-SA"/>
                    </w:rPr>
                    <w:t>物</w:t>
                  </w:r>
                </w:p>
              </w:tc>
              <w:tc>
                <w:tcPr>
                  <w:tcW w:w="2850" w:type="dxa"/>
                  <w:tcBorders>
                    <w:tl2br w:val="nil"/>
                    <w:tr2bl w:val="nil"/>
                  </w:tcBorders>
                  <w:noWrap w:val="0"/>
                  <w:vAlign w:val="center"/>
                </w:tcPr>
                <w:p>
                  <w:pPr>
                    <w:widowControl/>
                    <w:jc w:val="center"/>
                    <w:textAlignment w:val="center"/>
                    <w:rPr>
                      <w:rFonts w:hint="eastAsia" w:eastAsia="宋体"/>
                      <w:sz w:val="21"/>
                      <w:szCs w:val="21"/>
                      <w:lang w:val="en-US" w:eastAsia="zh-CN"/>
                    </w:rPr>
                  </w:pPr>
                  <w:r>
                    <w:rPr>
                      <w:rFonts w:hint="eastAsia"/>
                      <w:sz w:val="21"/>
                      <w:szCs w:val="21"/>
                      <w:lang w:val="en-US" w:eastAsia="zh-CN"/>
                    </w:rPr>
                    <w:t>8</w:t>
                  </w:r>
                </w:p>
              </w:tc>
              <w:tc>
                <w:tcPr>
                  <w:tcW w:w="2925" w:type="dxa"/>
                  <w:tcBorders>
                    <w:tl2br w:val="nil"/>
                    <w:tr2bl w:val="nil"/>
                  </w:tcBorders>
                  <w:noWrap w:val="0"/>
                  <w:vAlign w:val="center"/>
                </w:tcPr>
                <w:p>
                  <w:pPr>
                    <w:widowControl/>
                    <w:jc w:val="center"/>
                    <w:textAlignment w:val="center"/>
                    <w:rPr>
                      <w:rFonts w:hint="eastAsia" w:eastAsia="宋体"/>
                      <w:sz w:val="21"/>
                      <w:szCs w:val="21"/>
                      <w:lang w:val="en-US" w:eastAsia="zh-CN"/>
                    </w:rPr>
                  </w:pPr>
                  <w:r>
                    <w:rPr>
                      <w:rFonts w:hint="eastAsia"/>
                      <w:sz w:val="21"/>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pStyle w:val="68"/>
                    <w:keepNext w:val="0"/>
                    <w:keepLines w:val="0"/>
                    <w:pageBreakBefore w:val="0"/>
                    <w:kinsoku/>
                    <w:wordWrap/>
                    <w:overflowPunct/>
                    <w:topLinePunct w:val="0"/>
                    <w:bidi w:val="0"/>
                    <w:adjustRightInd/>
                    <w:spacing w:before="0" w:after="0" w:line="240" w:lineRule="auto"/>
                    <w:rPr>
                      <w:sz w:val="21"/>
                      <w:szCs w:val="21"/>
                    </w:rPr>
                  </w:pPr>
                  <w:r>
                    <w:rPr>
                      <w:rFonts w:cs="Times New Roman"/>
                      <w:sz w:val="21"/>
                      <w:szCs w:val="21"/>
                    </w:rPr>
                    <w:t>氨氮</w:t>
                  </w:r>
                </w:p>
              </w:tc>
              <w:tc>
                <w:tcPr>
                  <w:tcW w:w="2850"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0.106</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color w:val="auto"/>
                      <w:szCs w:val="21"/>
                      <w:lang w:val="en-US" w:eastAsia="zh-CN"/>
                    </w:rPr>
                    <w:t>0.264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rFonts w:hint="eastAsia"/>
                      <w:color w:val="000000"/>
                      <w:kern w:val="0"/>
                      <w:sz w:val="21"/>
                      <w:szCs w:val="21"/>
                      <w:lang w:bidi="ar"/>
                    </w:rPr>
                  </w:pPr>
                  <w:r>
                    <w:rPr>
                      <w:sz w:val="21"/>
                      <w:szCs w:val="21"/>
                    </w:rPr>
                    <w:t>石油类</w:t>
                  </w:r>
                </w:p>
              </w:tc>
              <w:tc>
                <w:tcPr>
                  <w:tcW w:w="2850"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0.01</w:t>
                  </w:r>
                  <w:r>
                    <w:rPr>
                      <w:rFonts w:hint="eastAsia" w:eastAsia="宋体"/>
                      <w:sz w:val="21"/>
                      <w:szCs w:val="21"/>
                      <w:vertAlign w:val="superscript"/>
                      <w:lang w:val="en-US" w:eastAsia="zh-CN"/>
                    </w:rPr>
                    <w:t>L</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0.01</w:t>
                  </w:r>
                  <w:r>
                    <w:rPr>
                      <w:rFonts w:hint="eastAsia" w:eastAsia="宋体"/>
                      <w:sz w:val="21"/>
                      <w:szCs w:val="21"/>
                      <w:vertAlign w:val="superscript"/>
                      <w:lang w:val="en-US" w:eastAsia="zh-CN"/>
                    </w:rPr>
                    <w:t>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jc w:val="center"/>
                    <w:rPr>
                      <w:sz w:val="21"/>
                      <w:szCs w:val="21"/>
                    </w:rPr>
                  </w:pPr>
                  <w:r>
                    <w:rPr>
                      <w:rFonts w:hint="eastAsia"/>
                      <w:sz w:val="21"/>
                      <w:szCs w:val="21"/>
                    </w:rPr>
                    <w:t>总磷</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0.06</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rFonts w:hint="eastAsia" w:eastAsia="宋体"/>
                      <w:sz w:val="21"/>
                      <w:szCs w:val="21"/>
                      <w:lang w:eastAsia="zh-CN"/>
                    </w:rPr>
                  </w:pPr>
                  <w:r>
                    <w:rPr>
                      <w:sz w:val="21"/>
                      <w:szCs w:val="21"/>
                    </w:rPr>
                    <w:t>粪大肠菌群</w:t>
                  </w:r>
                  <w:r>
                    <w:rPr>
                      <w:rFonts w:hint="eastAsia"/>
                      <w:sz w:val="21"/>
                      <w:szCs w:val="21"/>
                      <w:lang w:eastAsia="zh-CN"/>
                    </w:rPr>
                    <w:t>（</w:t>
                  </w:r>
                  <w:r>
                    <w:rPr>
                      <w:kern w:val="0"/>
                      <w:sz w:val="21"/>
                      <w:szCs w:val="21"/>
                    </w:rPr>
                    <w:t>MPN/L</w:t>
                  </w:r>
                  <w:r>
                    <w:rPr>
                      <w:rFonts w:hint="eastAsia"/>
                      <w:sz w:val="21"/>
                      <w:szCs w:val="21"/>
                      <w:lang w:eastAsia="zh-CN"/>
                    </w:rPr>
                    <w:t>）</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20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restart"/>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05</w:t>
                  </w:r>
                  <w:r>
                    <w:rPr>
                      <w:rFonts w:hint="eastAsia"/>
                      <w:color w:val="auto"/>
                      <w:sz w:val="21"/>
                      <w:szCs w:val="21"/>
                    </w:rPr>
                    <w:t>.</w:t>
                  </w:r>
                  <w:r>
                    <w:rPr>
                      <w:rFonts w:hint="eastAsia"/>
                      <w:color w:val="auto"/>
                      <w:sz w:val="21"/>
                      <w:szCs w:val="21"/>
                      <w:lang w:val="en-US" w:eastAsia="zh-CN"/>
                    </w:rPr>
                    <w:t>20</w:t>
                  </w:r>
                </w:p>
              </w:tc>
              <w:tc>
                <w:tcPr>
                  <w:tcW w:w="1779"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after="0" w:line="240" w:lineRule="auto"/>
                    <w:textAlignment w:val="auto"/>
                    <w:rPr>
                      <w:sz w:val="21"/>
                      <w:szCs w:val="21"/>
                    </w:rPr>
                  </w:pPr>
                  <w:r>
                    <w:rPr>
                      <w:rFonts w:cs="Times New Roman"/>
                      <w:sz w:val="21"/>
                      <w:szCs w:val="21"/>
                    </w:rPr>
                    <w:t>pH（无量纲）</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7.5</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jc w:val="center"/>
                    <w:rPr>
                      <w:sz w:val="21"/>
                      <w:szCs w:val="21"/>
                    </w:rPr>
                  </w:pPr>
                  <w:r>
                    <w:rPr>
                      <w:rFonts w:hint="default" w:ascii="Times New Roman" w:hAnsi="Times New Roman" w:cs="Times New Roman"/>
                      <w:color w:val="auto"/>
                      <w:sz w:val="21"/>
                      <w:szCs w:val="21"/>
                      <w:lang w:val="en-US" w:eastAsia="zh-CN"/>
                    </w:rPr>
                    <w:t>五日生化需氧量</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3.0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ind w:left="0" w:leftChars="0" w:right="0" w:rightChars="0"/>
                    <w:jc w:val="center"/>
                    <w:rPr>
                      <w:sz w:val="21"/>
                      <w:szCs w:val="21"/>
                    </w:rPr>
                  </w:pPr>
                  <w:r>
                    <w:rPr>
                      <w:sz w:val="21"/>
                      <w:szCs w:val="21"/>
                    </w:rPr>
                    <w:t>化学需氧量</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14</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pStyle w:val="68"/>
                    <w:snapToGrid w:val="0"/>
                    <w:spacing w:line="240" w:lineRule="auto"/>
                    <w:rPr>
                      <w:sz w:val="21"/>
                      <w:szCs w:val="21"/>
                    </w:rPr>
                  </w:pPr>
                  <w:r>
                    <w:rPr>
                      <w:rFonts w:hint="default" w:ascii="Times New Roman" w:hAnsi="Times New Roman" w:cs="Times New Roman"/>
                      <w:kern w:val="2"/>
                      <w:sz w:val="21"/>
                      <w:szCs w:val="21"/>
                      <w:lang w:val="en-US" w:eastAsia="zh-CN" w:bidi="ar-SA"/>
                    </w:rPr>
                    <w:t>悬浮</w:t>
                  </w:r>
                  <w:r>
                    <w:rPr>
                      <w:rFonts w:hint="eastAsia" w:cs="Times New Roman"/>
                      <w:kern w:val="2"/>
                      <w:sz w:val="21"/>
                      <w:szCs w:val="21"/>
                      <w:lang w:val="en-US" w:eastAsia="zh-CN" w:bidi="ar-SA"/>
                    </w:rPr>
                    <w:t>物</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7</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pStyle w:val="68"/>
                    <w:keepNext w:val="0"/>
                    <w:keepLines w:val="0"/>
                    <w:pageBreakBefore w:val="0"/>
                    <w:kinsoku/>
                    <w:wordWrap/>
                    <w:overflowPunct/>
                    <w:topLinePunct w:val="0"/>
                    <w:bidi w:val="0"/>
                    <w:adjustRightInd/>
                    <w:spacing w:before="0" w:after="0" w:line="240" w:lineRule="auto"/>
                    <w:rPr>
                      <w:sz w:val="21"/>
                      <w:szCs w:val="21"/>
                    </w:rPr>
                  </w:pPr>
                  <w:r>
                    <w:rPr>
                      <w:rFonts w:cs="Times New Roman"/>
                      <w:sz w:val="21"/>
                      <w:szCs w:val="21"/>
                    </w:rPr>
                    <w:t>氨氮</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0.100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0.251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sz w:val="21"/>
                      <w:szCs w:val="21"/>
                    </w:rPr>
                  </w:pPr>
                  <w:r>
                    <w:rPr>
                      <w:sz w:val="21"/>
                      <w:szCs w:val="21"/>
                    </w:rPr>
                    <w:t>石油类</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sz w:val="21"/>
                      <w:szCs w:val="21"/>
                      <w:lang w:val="en-US" w:eastAsia="zh-CN"/>
                    </w:rPr>
                    <w:t>0.01</w:t>
                  </w:r>
                  <w:r>
                    <w:rPr>
                      <w:rFonts w:hint="eastAsia" w:eastAsia="宋体"/>
                      <w:sz w:val="21"/>
                      <w:szCs w:val="21"/>
                      <w:vertAlign w:val="superscript"/>
                      <w:lang w:val="en-US" w:eastAsia="zh-CN"/>
                    </w:rPr>
                    <w:t>L</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0.01</w:t>
                  </w:r>
                  <w:r>
                    <w:rPr>
                      <w:rFonts w:hint="eastAsia" w:eastAsia="宋体"/>
                      <w:sz w:val="21"/>
                      <w:szCs w:val="21"/>
                      <w:vertAlign w:val="superscript"/>
                      <w:lang w:val="en-US" w:eastAsia="zh-CN"/>
                    </w:rPr>
                    <w:t>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jc w:val="center"/>
                    <w:rPr>
                      <w:sz w:val="21"/>
                      <w:szCs w:val="21"/>
                    </w:rPr>
                  </w:pPr>
                  <w:r>
                    <w:rPr>
                      <w:rFonts w:hint="eastAsia"/>
                      <w:sz w:val="21"/>
                      <w:szCs w:val="21"/>
                    </w:rPr>
                    <w:t>总磷</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0.10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sz w:val="21"/>
                      <w:szCs w:val="21"/>
                    </w:rPr>
                  </w:pPr>
                  <w:r>
                    <w:rPr>
                      <w:sz w:val="21"/>
                      <w:szCs w:val="21"/>
                    </w:rPr>
                    <w:t>粪大肠菌群</w:t>
                  </w:r>
                  <w:r>
                    <w:rPr>
                      <w:rFonts w:hint="eastAsia"/>
                      <w:sz w:val="21"/>
                      <w:szCs w:val="21"/>
                      <w:lang w:eastAsia="zh-CN"/>
                    </w:rPr>
                    <w:t>（</w:t>
                  </w:r>
                  <w:r>
                    <w:rPr>
                      <w:kern w:val="0"/>
                      <w:sz w:val="21"/>
                      <w:szCs w:val="21"/>
                    </w:rPr>
                    <w:t>MPN/L</w:t>
                  </w:r>
                  <w:r>
                    <w:rPr>
                      <w:rFonts w:hint="eastAsia"/>
                      <w:sz w:val="21"/>
                      <w:szCs w:val="21"/>
                      <w:lang w:eastAsia="zh-CN"/>
                    </w:rPr>
                    <w:t>）</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40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restart"/>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05</w:t>
                  </w:r>
                  <w:r>
                    <w:rPr>
                      <w:rFonts w:hint="eastAsia"/>
                      <w:color w:val="auto"/>
                      <w:sz w:val="21"/>
                      <w:szCs w:val="21"/>
                    </w:rPr>
                    <w:t>.</w:t>
                  </w:r>
                  <w:r>
                    <w:rPr>
                      <w:rFonts w:hint="eastAsia"/>
                      <w:color w:val="auto"/>
                      <w:sz w:val="21"/>
                      <w:szCs w:val="21"/>
                      <w:lang w:val="en-US" w:eastAsia="zh-CN"/>
                    </w:rPr>
                    <w:t>21</w:t>
                  </w:r>
                </w:p>
              </w:tc>
              <w:tc>
                <w:tcPr>
                  <w:tcW w:w="1779"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after="0" w:line="240" w:lineRule="auto"/>
                    <w:textAlignment w:val="auto"/>
                    <w:rPr>
                      <w:sz w:val="21"/>
                      <w:szCs w:val="21"/>
                    </w:rPr>
                  </w:pPr>
                  <w:r>
                    <w:rPr>
                      <w:rFonts w:cs="Times New Roman"/>
                      <w:sz w:val="21"/>
                      <w:szCs w:val="21"/>
                    </w:rPr>
                    <w:t>pH（无量纲）</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7.5</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jc w:val="center"/>
                    <w:rPr>
                      <w:sz w:val="21"/>
                      <w:szCs w:val="21"/>
                    </w:rPr>
                  </w:pPr>
                  <w:r>
                    <w:rPr>
                      <w:rFonts w:hint="default" w:ascii="Times New Roman" w:hAnsi="Times New Roman" w:cs="Times New Roman"/>
                      <w:color w:val="auto"/>
                      <w:sz w:val="21"/>
                      <w:szCs w:val="21"/>
                      <w:lang w:val="en-US" w:eastAsia="zh-CN"/>
                    </w:rPr>
                    <w:t>五日生化需氧量</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3.2</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ind w:left="0" w:leftChars="0" w:right="0" w:rightChars="0"/>
                    <w:jc w:val="center"/>
                    <w:rPr>
                      <w:sz w:val="21"/>
                      <w:szCs w:val="21"/>
                    </w:rPr>
                  </w:pPr>
                  <w:r>
                    <w:rPr>
                      <w:sz w:val="21"/>
                      <w:szCs w:val="21"/>
                    </w:rPr>
                    <w:t>化学需氧量</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14</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pStyle w:val="68"/>
                    <w:snapToGrid w:val="0"/>
                    <w:spacing w:line="240" w:lineRule="auto"/>
                    <w:rPr>
                      <w:sz w:val="21"/>
                      <w:szCs w:val="21"/>
                    </w:rPr>
                  </w:pPr>
                  <w:r>
                    <w:rPr>
                      <w:rFonts w:hint="default" w:ascii="Times New Roman" w:hAnsi="Times New Roman" w:cs="Times New Roman"/>
                      <w:kern w:val="2"/>
                      <w:sz w:val="21"/>
                      <w:szCs w:val="21"/>
                      <w:lang w:val="en-US" w:eastAsia="zh-CN" w:bidi="ar-SA"/>
                    </w:rPr>
                    <w:t>悬浮</w:t>
                  </w:r>
                  <w:r>
                    <w:rPr>
                      <w:rFonts w:hint="eastAsia" w:cs="Times New Roman"/>
                      <w:kern w:val="2"/>
                      <w:sz w:val="21"/>
                      <w:szCs w:val="21"/>
                      <w:lang w:val="en-US" w:eastAsia="zh-CN" w:bidi="ar-SA"/>
                    </w:rPr>
                    <w:t>物</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8</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pStyle w:val="68"/>
                    <w:keepNext w:val="0"/>
                    <w:keepLines w:val="0"/>
                    <w:pageBreakBefore w:val="0"/>
                    <w:kinsoku/>
                    <w:wordWrap/>
                    <w:overflowPunct/>
                    <w:topLinePunct w:val="0"/>
                    <w:bidi w:val="0"/>
                    <w:adjustRightInd/>
                    <w:spacing w:before="0" w:after="0" w:line="240" w:lineRule="auto"/>
                    <w:rPr>
                      <w:sz w:val="21"/>
                      <w:szCs w:val="21"/>
                    </w:rPr>
                  </w:pPr>
                  <w:r>
                    <w:rPr>
                      <w:rFonts w:cs="Times New Roman"/>
                      <w:sz w:val="21"/>
                      <w:szCs w:val="21"/>
                    </w:rPr>
                    <w:t>氨氮</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0.161</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0.278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sz w:val="21"/>
                      <w:szCs w:val="21"/>
                    </w:rPr>
                  </w:pPr>
                  <w:r>
                    <w:rPr>
                      <w:sz w:val="21"/>
                      <w:szCs w:val="21"/>
                    </w:rPr>
                    <w:t>石油类</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sz w:val="21"/>
                      <w:szCs w:val="21"/>
                      <w:lang w:val="en-US" w:eastAsia="zh-CN"/>
                    </w:rPr>
                    <w:t>0.01</w:t>
                  </w:r>
                  <w:r>
                    <w:rPr>
                      <w:rFonts w:hint="eastAsia" w:eastAsia="宋体"/>
                      <w:sz w:val="21"/>
                      <w:szCs w:val="21"/>
                      <w:vertAlign w:val="superscript"/>
                      <w:lang w:val="en-US" w:eastAsia="zh-CN"/>
                    </w:rPr>
                    <w:t>L</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0.01</w:t>
                  </w:r>
                  <w:r>
                    <w:rPr>
                      <w:rFonts w:hint="eastAsia" w:eastAsia="宋体"/>
                      <w:sz w:val="21"/>
                      <w:szCs w:val="21"/>
                      <w:vertAlign w:val="superscript"/>
                      <w:lang w:val="en-US" w:eastAsia="zh-CN"/>
                    </w:rPr>
                    <w:t>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autoSpaceDE/>
                    <w:bidi w:val="0"/>
                    <w:adjustRightInd/>
                    <w:spacing w:line="240" w:lineRule="auto"/>
                    <w:jc w:val="center"/>
                    <w:rPr>
                      <w:sz w:val="21"/>
                      <w:szCs w:val="21"/>
                    </w:rPr>
                  </w:pPr>
                  <w:r>
                    <w:rPr>
                      <w:rFonts w:hint="eastAsia"/>
                      <w:sz w:val="21"/>
                      <w:szCs w:val="21"/>
                    </w:rPr>
                    <w:t>总磷</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0.08</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color w:val="auto"/>
                      <w:sz w:val="21"/>
                      <w:szCs w:val="21"/>
                      <w:lang w:val="en-US" w:eastAsia="zh-CN"/>
                    </w:rPr>
                    <w:t>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noWrap w:val="0"/>
                  <w:vAlign w:val="center"/>
                </w:tcPr>
                <w:p>
                  <w:pPr>
                    <w:widowControl/>
                    <w:jc w:val="center"/>
                    <w:textAlignment w:val="center"/>
                    <w:rPr>
                      <w:sz w:val="21"/>
                      <w:szCs w:val="21"/>
                    </w:rPr>
                  </w:pPr>
                </w:p>
              </w:tc>
              <w:tc>
                <w:tcPr>
                  <w:tcW w:w="1779" w:type="dxa"/>
                  <w:tcBorders>
                    <w:tl2br w:val="nil"/>
                    <w:tr2bl w:val="nil"/>
                  </w:tcBorders>
                  <w:noWrap w:val="0"/>
                  <w:vAlign w:val="center"/>
                </w:tcPr>
                <w:p>
                  <w:pPr>
                    <w:keepNext w:val="0"/>
                    <w:keepLines w:val="0"/>
                    <w:pageBreakBefore w:val="0"/>
                    <w:kinsoku/>
                    <w:wordWrap/>
                    <w:overflowPunct/>
                    <w:topLinePunct w:val="0"/>
                    <w:bidi w:val="0"/>
                    <w:adjustRightInd/>
                    <w:spacing w:line="240" w:lineRule="auto"/>
                    <w:jc w:val="center"/>
                    <w:rPr>
                      <w:sz w:val="21"/>
                      <w:szCs w:val="21"/>
                    </w:rPr>
                  </w:pPr>
                  <w:r>
                    <w:rPr>
                      <w:sz w:val="21"/>
                      <w:szCs w:val="21"/>
                    </w:rPr>
                    <w:t>粪大肠菌群</w:t>
                  </w:r>
                  <w:r>
                    <w:rPr>
                      <w:rFonts w:hint="eastAsia"/>
                      <w:sz w:val="21"/>
                      <w:szCs w:val="21"/>
                      <w:lang w:eastAsia="zh-CN"/>
                    </w:rPr>
                    <w:t>（</w:t>
                  </w:r>
                  <w:r>
                    <w:rPr>
                      <w:kern w:val="0"/>
                      <w:sz w:val="21"/>
                      <w:szCs w:val="21"/>
                    </w:rPr>
                    <w:t>MPN/L</w:t>
                  </w:r>
                  <w:r>
                    <w:rPr>
                      <w:rFonts w:hint="eastAsia"/>
                      <w:sz w:val="21"/>
                      <w:szCs w:val="21"/>
                      <w:lang w:eastAsia="zh-CN"/>
                    </w:rPr>
                    <w:t>）</w:t>
                  </w:r>
                </w:p>
              </w:tc>
              <w:tc>
                <w:tcPr>
                  <w:tcW w:w="2850" w:type="dxa"/>
                  <w:tcBorders>
                    <w:tl2br w:val="nil"/>
                    <w:tr2bl w:val="nil"/>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50</w:t>
                  </w:r>
                </w:p>
              </w:tc>
              <w:tc>
                <w:tcPr>
                  <w:tcW w:w="2925" w:type="dxa"/>
                  <w:tcBorders>
                    <w:tl2br w:val="nil"/>
                    <w:tr2bl w:val="nil"/>
                  </w:tcBorders>
                  <w:noWrap w:val="0"/>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90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color w:val="auto"/>
                <w:sz w:val="24"/>
                <w:szCs w:val="24"/>
                <w:highlight w:val="none"/>
              </w:rPr>
              <w:t>2）地表水环境质量现状评价</w:t>
            </w:r>
          </w:p>
          <w:p>
            <w:pPr>
              <w:keepNext w:val="0"/>
              <w:keepLines w:val="0"/>
              <w:pageBreakBefore w:val="0"/>
              <w:widowControl w:val="0"/>
              <w:tabs>
                <w:tab w:val="left" w:pos="748"/>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bCs/>
                <w:color w:val="auto"/>
                <w:sz w:val="24"/>
                <w:szCs w:val="24"/>
                <w:highlight w:val="none"/>
              </w:rPr>
              <w:t>①评价因子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sz w:val="24"/>
                <w:szCs w:val="24"/>
              </w:rPr>
              <w:t>pH、COD、BOD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、氨氮、总磷、SS、粪大肠菌群、石油类</w:t>
            </w:r>
            <w:r>
              <w:rPr>
                <w:rFonts w:hint="eastAsia" w:hAnsi="宋体"/>
                <w:sz w:val="24"/>
                <w:szCs w:val="24"/>
                <w:lang w:eastAsia="zh-CN"/>
              </w:rPr>
              <w:t>。</w:t>
            </w:r>
          </w:p>
          <w:p>
            <w:pPr>
              <w:pageBreakBefore w:val="0"/>
              <w:kinsoku/>
              <w:wordWrap/>
              <w:bidi w:val="0"/>
              <w:spacing w:line="360" w:lineRule="auto"/>
              <w:ind w:left="0" w:leftChars="0" w:right="0"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②评价标准</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执行《地表水环境质量标准》（GB3838-2002）中III类标准。</w:t>
            </w:r>
          </w:p>
          <w:p>
            <w:pPr>
              <w:pageBreakBefore w:val="0"/>
              <w:kinsoku/>
              <w:wordWrap/>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③评价方法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本次评价采用单项水质指数评价法</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a.一般污染物公式为：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cs="Times New Roman"/>
                <w:i/>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si</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 单项水质因子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在第</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点的标准指数；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）点的评价因子水质浓度或水质因子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在监测点（或预测点）</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的水质浓度，mg/L；</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sj</w:t>
            </w:r>
            <w:r>
              <w:rPr>
                <w:rFonts w:hint="default" w:ascii="Times New Roman" w:hAnsi="Times New Roman" w:cs="Times New Roman"/>
                <w:color w:val="auto"/>
                <w:sz w:val="24"/>
                <w:highlight w:val="none"/>
              </w:rPr>
              <w:t>—— 水质评价因子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的水质评价标准限值，mg/L。</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b.</w:t>
            </w:r>
            <w:r>
              <w:rPr>
                <w:rFonts w:hint="default" w:ascii="Times New Roman" w:hAnsi="Times New Roman" w:cs="Times New Roman"/>
                <w:color w:val="auto"/>
                <w:sz w:val="24"/>
                <w:highlight w:val="none"/>
              </w:rPr>
              <w:t>对具有上、下限标准值的指标pH，公式为：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 xml:space="preserve">j </w:t>
            </w:r>
            <w:r>
              <w:rPr>
                <w:rFonts w:hint="default" w:ascii="Times New Roman" w:hAnsi="Times New Roman" w:cs="Times New Roman"/>
                <w:color w:val="auto"/>
                <w:sz w:val="24"/>
                <w:highlight w:val="none"/>
              </w:rPr>
              <w:t>=（7.0-pH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sd</w:t>
            </w:r>
            <w:r>
              <w:rPr>
                <w:rFonts w:hint="default" w:ascii="Times New Roman" w:hAnsi="Times New Roman" w:cs="Times New Roman"/>
                <w:color w:val="auto"/>
                <w:sz w:val="24"/>
                <w:highlight w:val="none"/>
              </w:rPr>
              <w:t>）  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 xml:space="preserve">j </w:t>
            </w: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su</w:t>
            </w:r>
            <w:r>
              <w:rPr>
                <w:rFonts w:hint="default" w:ascii="Times New Roman" w:hAnsi="Times New Roman" w:cs="Times New Roman"/>
                <w:color w:val="auto"/>
                <w:sz w:val="24"/>
                <w:highlight w:val="none"/>
              </w:rPr>
              <w:t>-7.0）  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960" w:firstLineChars="4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 xml:space="preserve">j </w:t>
            </w:r>
            <w:r>
              <w:rPr>
                <w:rFonts w:hint="default" w:ascii="Times New Roman" w:hAnsi="Times New Roman" w:cs="Times New Roman"/>
                <w:color w:val="auto"/>
                <w:sz w:val="24"/>
                <w:highlight w:val="none"/>
              </w:rPr>
              <w:t>——pH值的标准指数；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960" w:firstLineChars="4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pH</w:t>
            </w:r>
            <w:r>
              <w:rPr>
                <w:rFonts w:hint="default" w:ascii="Times New Roman" w:hAnsi="Times New Roman" w:cs="Times New Roman"/>
                <w:i/>
                <w:color w:val="auto"/>
                <w:sz w:val="24"/>
                <w:highlight w:val="none"/>
                <w:vertAlign w:val="subscript"/>
              </w:rPr>
              <w:t xml:space="preserve">j </w:t>
            </w:r>
            <w:r>
              <w:rPr>
                <w:rFonts w:hint="default" w:ascii="Times New Roman" w:hAnsi="Times New Roman" w:cs="Times New Roman"/>
                <w:color w:val="auto"/>
                <w:sz w:val="24"/>
                <w:highlight w:val="none"/>
              </w:rPr>
              <w:t>——pH值实测值；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680" w:firstLineChars="7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 xml:space="preserve">sd </w:t>
            </w:r>
            <w:r>
              <w:rPr>
                <w:rFonts w:hint="default" w:ascii="Times New Roman" w:hAnsi="Times New Roman" w:cs="Times New Roman"/>
                <w:color w:val="auto"/>
                <w:sz w:val="24"/>
                <w:highlight w:val="none"/>
              </w:rPr>
              <w:t>——水质标准中规定的pH值下限值；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680" w:firstLineChars="7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 xml:space="preserve">su </w:t>
            </w:r>
            <w:r>
              <w:rPr>
                <w:rFonts w:hint="default" w:ascii="Times New Roman" w:hAnsi="Times New Roman" w:cs="Times New Roman"/>
                <w:color w:val="auto"/>
                <w:sz w:val="24"/>
                <w:highlight w:val="none"/>
              </w:rPr>
              <w:t>——水质标准中规定的pH值上限值。</w:t>
            </w:r>
          </w:p>
          <w:p>
            <w:pPr>
              <w:pageBreakBefore w:val="0"/>
              <w:kinsoku/>
              <w:wordWrap/>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④评价结果</w:t>
            </w:r>
          </w:p>
          <w:p>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采用上述评价方法，各水质评价因子的标准指数见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eastAsia"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lang w:val="en-US" w:eastAsia="zh-CN"/>
              </w:rPr>
              <w:t>-</w:t>
            </w:r>
            <w:r>
              <w:rPr>
                <w:rFonts w:hint="eastAsia" w:ascii="Times New Roman" w:hAnsi="Times New Roman" w:eastAsia="黑体" w:cs="Times New Roman"/>
                <w:color w:val="auto"/>
                <w:szCs w:val="21"/>
                <w:highlight w:val="none"/>
                <w:lang w:val="en-US" w:eastAsia="zh-CN"/>
              </w:rPr>
              <w:t>7</w:t>
            </w:r>
            <w:r>
              <w:rPr>
                <w:rFonts w:hint="default" w:ascii="Times New Roman" w:hAnsi="Times New Roman" w:eastAsia="黑体" w:cs="Times New Roman"/>
                <w:color w:val="auto"/>
                <w:szCs w:val="21"/>
                <w:highlight w:val="none"/>
              </w:rPr>
              <w:t xml:space="preserve">  地表水水质评价因子标准指数统计表</w:t>
            </w:r>
          </w:p>
          <w:tbl>
            <w:tblPr>
              <w:tblStyle w:val="25"/>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340"/>
              <w:gridCol w:w="1340"/>
              <w:gridCol w:w="1340"/>
              <w:gridCol w:w="134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vMerge w:val="restart"/>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监测指标</w:t>
                  </w:r>
                </w:p>
              </w:tc>
              <w:tc>
                <w:tcPr>
                  <w:tcW w:w="1621" w:type="pct"/>
                  <w:gridSpan w:val="2"/>
                  <w:noWrap w:val="0"/>
                  <w:vAlign w:val="center"/>
                </w:tcPr>
                <w:p>
                  <w:pPr>
                    <w:pageBreakBefore w:val="0"/>
                    <w:kinsoku/>
                    <w:wordWrap/>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Ⅰ</w:t>
                  </w:r>
                </w:p>
              </w:tc>
              <w:tc>
                <w:tcPr>
                  <w:tcW w:w="1621" w:type="pct"/>
                  <w:gridSpan w:val="2"/>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Ⅱ</w:t>
                  </w:r>
                </w:p>
              </w:tc>
              <w:tc>
                <w:tcPr>
                  <w:tcW w:w="812" w:type="pct"/>
                  <w:vMerge w:val="restart"/>
                  <w:noWrap w:val="0"/>
                  <w:vAlign w:val="center"/>
                </w:tcPr>
                <w:p>
                  <w:pPr>
                    <w:pageBreakBefore w:val="0"/>
                    <w:kinsoku/>
                    <w:wordWrap/>
                    <w:bidi w:val="0"/>
                    <w:ind w:left="0" w:leftChars="0" w:right="0"/>
                    <w:jc w:val="center"/>
                    <w:rPr>
                      <w:rFonts w:hint="default" w:ascii="Times New Roman" w:hAnsi="Times New Roman" w:cs="Times New Roman"/>
                      <w:b/>
                      <w:bCs/>
                      <w:color w:val="auto"/>
                      <w:szCs w:val="21"/>
                      <w:highlight w:val="none"/>
                      <w:lang w:val="en-US" w:eastAsia="zh-CN"/>
                    </w:rPr>
                  </w:pPr>
                  <w:r>
                    <w:rPr>
                      <w:b/>
                      <w:bCs/>
                      <w:color w:val="auto"/>
                    </w:rPr>
                    <w:t>评价标准（mg/</w:t>
                  </w:r>
                  <w:r>
                    <w:rPr>
                      <w:rFonts w:hint="eastAsia"/>
                      <w:b/>
                      <w:bCs/>
                      <w:color w:val="auto"/>
                      <w:lang w:val="en-US" w:eastAsia="zh-CN"/>
                    </w:rPr>
                    <w:t>L</w:t>
                  </w:r>
                  <w:r>
                    <w:rPr>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vMerge w:val="continue"/>
                  <w:noWrap w:val="0"/>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p>
              </w:tc>
              <w:tc>
                <w:tcPr>
                  <w:tcW w:w="810" w:type="pct"/>
                  <w:noWrap w:val="0"/>
                  <w:vAlign w:val="center"/>
                </w:tcPr>
                <w:p>
                  <w:pPr>
                    <w:pStyle w:val="62"/>
                    <w:pageBreakBefore w:val="0"/>
                    <w:kinsoku/>
                    <w:wordWrap/>
                    <w:overflowPunct w:val="0"/>
                    <w:bidi w:val="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浓度范围</w:t>
                  </w:r>
                </w:p>
              </w:tc>
              <w:tc>
                <w:tcPr>
                  <w:tcW w:w="810" w:type="pct"/>
                  <w:noWrap w:val="0"/>
                  <w:vAlign w:val="center"/>
                </w:tcPr>
                <w:p>
                  <w:pPr>
                    <w:pStyle w:val="62"/>
                    <w:pageBreakBefore w:val="0"/>
                    <w:kinsoku/>
                    <w:wordWrap/>
                    <w:overflowPunct w:val="0"/>
                    <w:bidi w:val="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b/>
                      <w:color w:val="auto"/>
                      <w:position w:val="1"/>
                      <w:szCs w:val="21"/>
                      <w:highlight w:val="none"/>
                    </w:rPr>
                    <w:t>S</w:t>
                  </w:r>
                  <w:r>
                    <w:rPr>
                      <w:rFonts w:hint="default" w:ascii="Times New Roman" w:hAnsi="Times New Roman" w:cs="Times New Roman"/>
                      <w:b/>
                      <w:color w:val="auto"/>
                      <w:position w:val="-2"/>
                      <w:szCs w:val="21"/>
                      <w:highlight w:val="none"/>
                      <w:vertAlign w:val="subscript"/>
                    </w:rPr>
                    <w:t>i</w:t>
                  </w:r>
                  <w:r>
                    <w:rPr>
                      <w:rFonts w:hint="default" w:ascii="Times New Roman" w:hAnsi="Times New Roman" w:cs="Times New Roman"/>
                      <w:b/>
                      <w:color w:val="auto"/>
                      <w:szCs w:val="21"/>
                      <w:highlight w:val="none"/>
                    </w:rPr>
                    <w:t>最大</w:t>
                  </w:r>
                </w:p>
              </w:tc>
              <w:tc>
                <w:tcPr>
                  <w:tcW w:w="810" w:type="pct"/>
                  <w:noWrap w:val="0"/>
                  <w:vAlign w:val="center"/>
                </w:tcPr>
                <w:p>
                  <w:pPr>
                    <w:pStyle w:val="62"/>
                    <w:pageBreakBefore w:val="0"/>
                    <w:kinsoku/>
                    <w:wordWrap/>
                    <w:overflowPunct w:val="0"/>
                    <w:bidi w:val="0"/>
                    <w:ind w:left="0" w:leftChars="0" w:right="0" w:rightChars="0"/>
                    <w:jc w:val="center"/>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cs="Times New Roman"/>
                      <w:b/>
                      <w:color w:val="auto"/>
                      <w:szCs w:val="21"/>
                      <w:highlight w:val="none"/>
                    </w:rPr>
                    <w:t>浓度范围</w:t>
                  </w:r>
                </w:p>
              </w:tc>
              <w:tc>
                <w:tcPr>
                  <w:tcW w:w="810" w:type="pct"/>
                  <w:noWrap w:val="0"/>
                  <w:vAlign w:val="center"/>
                </w:tcPr>
                <w:p>
                  <w:pPr>
                    <w:pStyle w:val="62"/>
                    <w:pageBreakBefore w:val="0"/>
                    <w:kinsoku/>
                    <w:wordWrap/>
                    <w:overflowPunct w:val="0"/>
                    <w:bidi w:val="0"/>
                    <w:ind w:left="0" w:leftChars="0" w:right="0" w:rightChars="0"/>
                    <w:jc w:val="center"/>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cs="Times New Roman"/>
                      <w:b/>
                      <w:color w:val="auto"/>
                      <w:position w:val="1"/>
                      <w:szCs w:val="21"/>
                      <w:highlight w:val="none"/>
                    </w:rPr>
                    <w:t>S</w:t>
                  </w:r>
                  <w:r>
                    <w:rPr>
                      <w:rFonts w:hint="default" w:ascii="Times New Roman" w:hAnsi="Times New Roman" w:cs="Times New Roman"/>
                      <w:b/>
                      <w:color w:val="auto"/>
                      <w:position w:val="-2"/>
                      <w:szCs w:val="21"/>
                      <w:highlight w:val="none"/>
                      <w:vertAlign w:val="subscript"/>
                    </w:rPr>
                    <w:t>i</w:t>
                  </w:r>
                  <w:r>
                    <w:rPr>
                      <w:rFonts w:hint="default" w:ascii="Times New Roman" w:hAnsi="Times New Roman" w:cs="Times New Roman"/>
                      <w:b/>
                      <w:color w:val="auto"/>
                      <w:szCs w:val="21"/>
                      <w:highlight w:val="none"/>
                    </w:rPr>
                    <w:t>最大</w:t>
                  </w:r>
                </w:p>
              </w:tc>
              <w:tc>
                <w:tcPr>
                  <w:tcW w:w="812" w:type="pct"/>
                  <w:vMerge w:val="continue"/>
                  <w:noWrap w:val="0"/>
                  <w:vAlign w:val="center"/>
                </w:tcPr>
                <w:p>
                  <w:pPr>
                    <w:pStyle w:val="62"/>
                    <w:pageBreakBefore w:val="0"/>
                    <w:kinsoku/>
                    <w:wordWrap/>
                    <w:overflowPunct w:val="0"/>
                    <w:bidi w:val="0"/>
                    <w:ind w:left="0" w:leftChars="0" w:right="0" w:rightChars="0"/>
                    <w:jc w:val="center"/>
                    <w:rPr>
                      <w:rFonts w:hint="default" w:ascii="Times New Roman" w:hAnsi="Times New Roman" w:cs="Times New Roman"/>
                      <w:b/>
                      <w:color w:val="auto"/>
                      <w:position w:val="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autoSpaceDE w:val="0"/>
                    <w:autoSpaceDN w:val="0"/>
                    <w:adjustRightInd w:val="0"/>
                    <w:jc w:val="center"/>
                    <w:rPr>
                      <w:rFonts w:hint="default" w:ascii="Times New Roman" w:hAnsi="Times New Roman" w:eastAsia="宋体" w:cs="黑体"/>
                      <w:kern w:val="2"/>
                      <w:sz w:val="21"/>
                      <w:szCs w:val="21"/>
                      <w:lang w:val="en-US" w:eastAsia="zh-CN" w:bidi="ar-SA"/>
                    </w:rPr>
                  </w:pPr>
                  <w:r>
                    <w:rPr>
                      <w:szCs w:val="21"/>
                    </w:rPr>
                    <w:t>pH</w:t>
                  </w:r>
                  <w:r>
                    <w:rPr>
                      <w:rFonts w:hint="eastAsia"/>
                      <w:szCs w:val="21"/>
                    </w:rPr>
                    <w:t>（</w:t>
                  </w:r>
                  <w:r>
                    <w:rPr>
                      <w:rFonts w:hAnsi="宋体"/>
                      <w:szCs w:val="21"/>
                    </w:rPr>
                    <w:t>无量纲</w:t>
                  </w:r>
                  <w:r>
                    <w:rPr>
                      <w:rFonts w:hint="eastAsia"/>
                      <w:szCs w:val="21"/>
                    </w:rPr>
                    <w:t>）</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7.5</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0.25</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黑体"/>
                      <w:kern w:val="2"/>
                      <w:sz w:val="21"/>
                      <w:szCs w:val="21"/>
                      <w:lang w:val="en-US" w:eastAsia="zh-CN" w:bidi="ar-SA"/>
                    </w:rPr>
                    <w:t>7.4~7.5</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0.25</w:t>
                  </w:r>
                </w:p>
              </w:tc>
              <w:tc>
                <w:tcPr>
                  <w:tcW w:w="812"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14~15</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0.75</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17~18</w:t>
                  </w:r>
                </w:p>
              </w:tc>
              <w:tc>
                <w:tcPr>
                  <w:tcW w:w="810"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0.9</w:t>
                  </w:r>
                </w:p>
              </w:tc>
              <w:tc>
                <w:tcPr>
                  <w:tcW w:w="812" w:type="pct"/>
                  <w:noWrap w:val="0"/>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default" w:ascii="Times New Roman" w:hAnsi="Times New Roman" w:eastAsia="宋体" w:cs="Times New Roman"/>
                      <w:kern w:val="2"/>
                      <w:sz w:val="21"/>
                      <w:szCs w:val="21"/>
                      <w:vertAlign w:val="subscript"/>
                      <w:lang w:val="en-US" w:eastAsia="zh-CN" w:bidi="ar-SA"/>
                    </w:rPr>
                  </w:pPr>
                  <w:r>
                    <w:rPr>
                      <w:rFonts w:hint="eastAsia" w:ascii="Times New Roman" w:hAnsi="Times New Roman" w:eastAsia="宋体" w:cs="Times New Roman"/>
                      <w:kern w:val="2"/>
                      <w:sz w:val="21"/>
                      <w:szCs w:val="21"/>
                      <w:lang w:val="en-US" w:eastAsia="zh-CN" w:bidi="ar-SA"/>
                    </w:rPr>
                    <w:t>BOD</w:t>
                  </w:r>
                  <w:r>
                    <w:rPr>
                      <w:rFonts w:hint="eastAsia" w:ascii="Times New Roman" w:hAnsi="Times New Roman" w:eastAsia="宋体" w:cs="Times New Roman"/>
                      <w:kern w:val="2"/>
                      <w:sz w:val="21"/>
                      <w:szCs w:val="21"/>
                      <w:vertAlign w:val="subscript"/>
                      <w:lang w:val="en-US" w:eastAsia="zh-CN" w:bidi="ar-SA"/>
                    </w:rPr>
                    <w:t>5</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3.1~3.2</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0.8</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3.3~3.5</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0.875</w:t>
                  </w:r>
                </w:p>
              </w:tc>
              <w:tc>
                <w:tcPr>
                  <w:tcW w:w="812"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氨氮</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eastAsia="宋体"/>
                      <w:color w:val="000000"/>
                      <w:kern w:val="0"/>
                      <w:sz w:val="21"/>
                      <w:szCs w:val="21"/>
                      <w:lang w:val="en-US" w:eastAsia="zh-CN" w:bidi="ar"/>
                    </w:rPr>
                    <w:t>0.100~0.161</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0.161</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eastAsia="宋体"/>
                      <w:sz w:val="21"/>
                      <w:szCs w:val="21"/>
                      <w:lang w:val="en-US" w:eastAsia="zh-CN"/>
                    </w:rPr>
                    <w:t>0.251~</w:t>
                  </w:r>
                  <w:r>
                    <w:rPr>
                      <w:rFonts w:hint="eastAsia" w:ascii="Times New Roman" w:hAnsi="Times New Roman" w:eastAsia="宋体" w:cs="黑体"/>
                      <w:kern w:val="2"/>
                      <w:sz w:val="21"/>
                      <w:szCs w:val="21"/>
                      <w:lang w:val="en-US" w:eastAsia="zh-CN" w:bidi="ar-SA"/>
                    </w:rPr>
                    <w:t>0.278</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0.278</w:t>
                  </w:r>
                </w:p>
              </w:tc>
              <w:tc>
                <w:tcPr>
                  <w:tcW w:w="812"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default" w:ascii="Times New Roman" w:hAnsi="宋体" w:eastAsia="宋体" w:cs="Times New Roman"/>
                      <w:kern w:val="2"/>
                      <w:sz w:val="21"/>
                      <w:szCs w:val="21"/>
                      <w:lang w:val="en-US" w:eastAsia="zh-CN" w:bidi="ar-SA"/>
                    </w:rPr>
                  </w:pPr>
                  <w:r>
                    <w:rPr>
                      <w:rFonts w:hint="eastAsia" w:ascii="Times New Roman" w:hAnsi="宋体" w:eastAsia="宋体" w:cs="Times New Roman"/>
                      <w:kern w:val="2"/>
                      <w:sz w:val="21"/>
                      <w:szCs w:val="21"/>
                      <w:lang w:val="en-US" w:eastAsia="zh-CN" w:bidi="ar-SA"/>
                    </w:rPr>
                    <w:t>总磷</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color w:val="000000"/>
                      <w:kern w:val="0"/>
                      <w:sz w:val="21"/>
                      <w:szCs w:val="21"/>
                      <w:lang w:val="en-US" w:eastAsia="zh-CN" w:bidi="ar"/>
                    </w:rPr>
                    <w:t>0.06~0.10</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0.5</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color w:val="000000"/>
                      <w:kern w:val="0"/>
                      <w:sz w:val="21"/>
                      <w:szCs w:val="21"/>
                      <w:lang w:val="en-US" w:eastAsia="zh-CN" w:bidi="ar"/>
                    </w:rPr>
                    <w:t>0.08~0.12</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0.6</w:t>
                  </w:r>
                </w:p>
              </w:tc>
              <w:tc>
                <w:tcPr>
                  <w:tcW w:w="812"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default" w:ascii="Times New Roman" w:hAnsi="Times New Roman" w:eastAsia="宋体" w:cs="Times New Roman"/>
                      <w:kern w:val="2"/>
                      <w:sz w:val="21"/>
                      <w:szCs w:val="21"/>
                      <w:lang w:val="en-US" w:eastAsia="zh-CN" w:bidi="ar-SA"/>
                    </w:rPr>
                  </w:pPr>
                  <w:r>
                    <w:rPr>
                      <w:rFonts w:hAnsi="宋体" w:cs="Times New Roman"/>
                      <w:sz w:val="21"/>
                      <w:szCs w:val="21"/>
                    </w:rPr>
                    <w:t>粪大肠菌群</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20~50</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0.005</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50~90</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0.009</w:t>
                  </w:r>
                </w:p>
              </w:tc>
              <w:tc>
                <w:tcPr>
                  <w:tcW w:w="812"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noWrap w:val="0"/>
                  <w:vAlign w:val="center"/>
                </w:tcPr>
                <w:p>
                  <w:pPr>
                    <w:pStyle w:val="68"/>
                    <w:snapToGrid w:val="0"/>
                    <w:spacing w:before="0" w:after="0"/>
                    <w:rPr>
                      <w:rFonts w:hint="eastAsia" w:ascii="Times New Roman" w:hAnsi="Times New Roman" w:eastAsia="宋体" w:cs="Times New Roman"/>
                      <w:kern w:val="2"/>
                      <w:sz w:val="21"/>
                      <w:szCs w:val="21"/>
                      <w:lang w:val="en-US" w:eastAsia="zh-CN" w:bidi="ar-SA"/>
                    </w:rPr>
                  </w:pPr>
                  <w:r>
                    <w:rPr>
                      <w:rFonts w:hint="eastAsia" w:hAnsi="宋体" w:eastAsia="宋体" w:cs="Times New Roman"/>
                      <w:sz w:val="21"/>
                      <w:szCs w:val="21"/>
                      <w:lang w:val="en-US" w:eastAsia="zh-CN"/>
                    </w:rPr>
                    <w:t>石油类</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未检出</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w:t>
                  </w:r>
                </w:p>
              </w:tc>
              <w:tc>
                <w:tcPr>
                  <w:tcW w:w="810"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w:t>
                  </w:r>
                </w:p>
              </w:tc>
              <w:tc>
                <w:tcPr>
                  <w:tcW w:w="812" w:type="pct"/>
                  <w:noWrap w:val="0"/>
                  <w:vAlign w:val="center"/>
                </w:tcPr>
                <w:p>
                  <w:pPr>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0.05</w:t>
                  </w:r>
                </w:p>
              </w:tc>
            </w:tr>
          </w:tbl>
          <w:p>
            <w:pPr>
              <w:keepNext w:val="0"/>
              <w:keepLines w:val="0"/>
              <w:pageBreakBefore w:val="0"/>
              <w:widowControl w:val="0"/>
              <w:tabs>
                <w:tab w:val="left" w:pos="748"/>
              </w:tabs>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结果表明，现状监测期间，</w:t>
            </w:r>
            <w:r>
              <w:rPr>
                <w:rFonts w:hint="eastAsia" w:ascii="Times New Roman" w:hAnsi="Times New Roman" w:eastAsia="宋体" w:cs="Times New Roman"/>
                <w:color w:val="auto"/>
                <w:sz w:val="24"/>
                <w:szCs w:val="24"/>
                <w:highlight w:val="none"/>
                <w:lang w:val="en-US" w:eastAsia="zh-CN"/>
              </w:rPr>
              <w:t>子槽沟</w:t>
            </w:r>
            <w:r>
              <w:rPr>
                <w:rFonts w:hint="default" w:ascii="Times New Roman" w:hAnsi="Times New Roman" w:cs="Times New Roman"/>
                <w:color w:val="auto"/>
                <w:sz w:val="24"/>
                <w:szCs w:val="24"/>
                <w:highlight w:val="none"/>
              </w:rPr>
              <w:t>各监测指标均能满足《地表水环境质量标准》（GB3838-2002）III类标准。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b/>
                <w:bCs/>
                <w:sz w:val="24"/>
                <w:szCs w:val="24"/>
                <w:lang w:val="en-US" w:eastAsia="zh-CN"/>
              </w:rPr>
            </w:pPr>
            <w:r>
              <w:rPr>
                <w:rFonts w:hint="eastAsia"/>
                <w:b/>
                <w:bCs/>
                <w:sz w:val="24"/>
                <w:szCs w:val="24"/>
                <w:lang w:val="en-US" w:eastAsia="zh-CN"/>
              </w:rPr>
              <w:t>三、声环境质量</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w:t>
            </w:r>
            <w:r>
              <w:rPr>
                <w:rFonts w:hint="default" w:ascii="Times New Roman" w:hAnsi="Times New Roman" w:cs="Times New Roman"/>
                <w:b/>
                <w:bCs/>
                <w:color w:val="auto"/>
                <w:sz w:val="24"/>
                <w:szCs w:val="24"/>
                <w:highlight w:val="none"/>
              </w:rPr>
              <w:t>监测点位基本信息</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本次环评共设噪声监测点</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个，</w:t>
            </w:r>
            <w:r>
              <w:rPr>
                <w:rFonts w:hint="default" w:ascii="Times New Roman" w:hAnsi="Times New Roman" w:cs="Times New Roman"/>
                <w:color w:val="auto"/>
                <w:sz w:val="24"/>
                <w:highlight w:val="none"/>
              </w:rPr>
              <w:t>监测点基本信息见</w:t>
            </w:r>
            <w:r>
              <w:rPr>
                <w:rFonts w:hint="eastAsia" w:cs="Times New Roman"/>
                <w:color w:val="auto"/>
                <w:sz w:val="24"/>
                <w:highlight w:val="none"/>
                <w:lang w:val="en-US" w:eastAsia="zh-CN"/>
              </w:rPr>
              <w:t>下表</w:t>
            </w:r>
            <w:r>
              <w:rPr>
                <w:rFonts w:hint="default" w:ascii="Times New Roman" w:hAnsi="Times New Roman" w:cs="Times New Roman"/>
                <w:color w:val="auto"/>
                <w:sz w:val="24"/>
                <w:highlight w:val="none"/>
              </w:rPr>
              <w:t>。</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eastAsia" w:ascii="Times New Roman" w:hAnsi="Times New Roman" w:eastAsia="黑体" w:cs="Times New Roman"/>
                <w:b w:val="0"/>
                <w:bCs/>
                <w:color w:val="auto"/>
                <w:sz w:val="21"/>
                <w:szCs w:val="21"/>
                <w:lang w:val="en-US" w:eastAsia="zh-CN"/>
              </w:rPr>
            </w:pPr>
            <w:r>
              <w:rPr>
                <w:rFonts w:hint="default" w:ascii="Times New Roman" w:hAnsi="Times New Roman" w:eastAsia="黑体" w:cs="Times New Roman"/>
                <w:b w:val="0"/>
                <w:bCs/>
                <w:color w:val="auto"/>
                <w:sz w:val="21"/>
                <w:szCs w:val="21"/>
              </w:rPr>
              <w:t>表3-</w:t>
            </w:r>
            <w:r>
              <w:rPr>
                <w:rFonts w:hint="eastAsia" w:ascii="Times New Roman" w:hAnsi="Times New Roman" w:eastAsia="黑体" w:cs="Times New Roman"/>
                <w:b w:val="0"/>
                <w:bCs/>
                <w:color w:val="auto"/>
                <w:sz w:val="21"/>
                <w:szCs w:val="21"/>
                <w:lang w:val="en-US" w:eastAsia="zh-CN"/>
              </w:rPr>
              <w:t>8</w:t>
            </w:r>
            <w:r>
              <w:rPr>
                <w:rFonts w:hint="default" w:ascii="Times New Roman" w:hAnsi="Times New Roman" w:eastAsia="黑体" w:cs="Times New Roman"/>
                <w:b w:val="0"/>
                <w:bCs/>
                <w:color w:val="auto"/>
                <w:sz w:val="21"/>
                <w:szCs w:val="21"/>
              </w:rPr>
              <w:t xml:space="preserve">   项目噪声监测</w:t>
            </w:r>
            <w:r>
              <w:rPr>
                <w:rFonts w:hint="eastAsia" w:ascii="Times New Roman" w:hAnsi="Times New Roman" w:eastAsia="黑体" w:cs="Times New Roman"/>
                <w:b w:val="0"/>
                <w:bCs/>
                <w:color w:val="auto"/>
                <w:sz w:val="21"/>
                <w:szCs w:val="21"/>
                <w:lang w:val="en-US" w:eastAsia="zh-CN"/>
              </w:rPr>
              <w:t>布点表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2"/>
              <w:gridCol w:w="3664"/>
              <w:gridCol w:w="1742"/>
              <w:gridCol w:w="18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检测点名称</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检测项目</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检测频率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1</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本项目西南侧</w:t>
                  </w:r>
                  <w:r>
                    <w:rPr>
                      <w:rFonts w:hint="eastAsia" w:ascii="Times New Roman" w:hAnsi="Times New Roman" w:cs="Times New Roman"/>
                      <w:color w:val="000000"/>
                      <w:sz w:val="21"/>
                      <w:szCs w:val="21"/>
                      <w:lang w:val="en-US" w:eastAsia="zh-CN"/>
                    </w:rPr>
                    <w:t>场</w:t>
                  </w:r>
                  <w:r>
                    <w:rPr>
                      <w:rFonts w:hint="default" w:ascii="Times New Roman" w:hAnsi="Times New Roman" w:cs="Times New Roman"/>
                      <w:color w:val="000000"/>
                      <w:sz w:val="21"/>
                      <w:szCs w:val="21"/>
                    </w:rPr>
                    <w:t>界</w:t>
                  </w:r>
                  <w:r>
                    <w:rPr>
                      <w:rFonts w:hint="eastAsia" w:ascii="Times New Roman" w:hAnsi="Times New Roman" w:cs="Times New Roman"/>
                      <w:color w:val="000000"/>
                      <w:sz w:val="21"/>
                      <w:szCs w:val="21"/>
                      <w:lang w:val="en-US" w:eastAsia="zh-CN"/>
                    </w:rPr>
                    <w:t>外1m</w:t>
                  </w:r>
                </w:p>
              </w:tc>
              <w:tc>
                <w:tcPr>
                  <w:tcW w:w="17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等效连续A声级（Leq(A)）</w:t>
                  </w:r>
                </w:p>
              </w:tc>
              <w:tc>
                <w:tcPr>
                  <w:tcW w:w="18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检</w:t>
                  </w:r>
                  <w:r>
                    <w:rPr>
                      <w:rFonts w:hint="default" w:ascii="Times New Roman" w:hAnsi="Times New Roman" w:eastAsia="宋体" w:cs="Times New Roman"/>
                      <w:color w:val="auto"/>
                      <w:sz w:val="21"/>
                      <w:szCs w:val="21"/>
                    </w:rPr>
                    <w:t>测</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天，每天昼</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夜各</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2</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本项目西侧</w:t>
                  </w:r>
                  <w:r>
                    <w:rPr>
                      <w:rFonts w:hint="eastAsia" w:ascii="Times New Roman" w:hAnsi="Times New Roman" w:cs="Times New Roman"/>
                      <w:color w:val="000000"/>
                      <w:sz w:val="21"/>
                      <w:szCs w:val="21"/>
                      <w:lang w:val="en-US" w:eastAsia="zh-CN"/>
                    </w:rPr>
                    <w:t>场</w:t>
                  </w:r>
                  <w:r>
                    <w:rPr>
                      <w:rFonts w:hint="default" w:ascii="Times New Roman" w:hAnsi="Times New Roman" w:cs="Times New Roman"/>
                      <w:color w:val="000000"/>
                      <w:sz w:val="21"/>
                      <w:szCs w:val="21"/>
                    </w:rPr>
                    <w:t>界</w:t>
                  </w:r>
                  <w:r>
                    <w:rPr>
                      <w:rFonts w:hint="eastAsia" w:ascii="Times New Roman" w:hAnsi="Times New Roman" w:cs="Times New Roman"/>
                      <w:color w:val="000000"/>
                      <w:sz w:val="21"/>
                      <w:szCs w:val="21"/>
                      <w:lang w:val="en-US" w:eastAsia="zh-CN"/>
                    </w:rPr>
                    <w:t>外1m</w:t>
                  </w:r>
                </w:p>
              </w:tc>
              <w:tc>
                <w:tcPr>
                  <w:tcW w:w="17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c>
                <w:tcPr>
                  <w:tcW w:w="18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3</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本项目北侧</w:t>
                  </w:r>
                  <w:r>
                    <w:rPr>
                      <w:rFonts w:hint="eastAsia" w:ascii="Times New Roman" w:hAnsi="Times New Roman" w:cs="Times New Roman"/>
                      <w:color w:val="000000"/>
                      <w:sz w:val="21"/>
                      <w:szCs w:val="21"/>
                      <w:lang w:val="en-US" w:eastAsia="zh-CN"/>
                    </w:rPr>
                    <w:t>场</w:t>
                  </w:r>
                  <w:r>
                    <w:rPr>
                      <w:rFonts w:hint="default" w:ascii="Times New Roman" w:hAnsi="Times New Roman" w:cs="Times New Roman"/>
                      <w:color w:val="000000"/>
                      <w:sz w:val="21"/>
                      <w:szCs w:val="21"/>
                    </w:rPr>
                    <w:t>界</w:t>
                  </w:r>
                  <w:r>
                    <w:rPr>
                      <w:rFonts w:hint="eastAsia" w:ascii="Times New Roman" w:hAnsi="Times New Roman" w:cs="Times New Roman"/>
                      <w:color w:val="000000"/>
                      <w:sz w:val="21"/>
                      <w:szCs w:val="21"/>
                      <w:lang w:val="en-US" w:eastAsia="zh-CN"/>
                    </w:rPr>
                    <w:t>外1m</w:t>
                  </w:r>
                </w:p>
              </w:tc>
              <w:tc>
                <w:tcPr>
                  <w:tcW w:w="17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c>
                <w:tcPr>
                  <w:tcW w:w="18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4</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本项目东侧</w:t>
                  </w:r>
                  <w:r>
                    <w:rPr>
                      <w:rFonts w:hint="eastAsia" w:ascii="Times New Roman" w:hAnsi="Times New Roman" w:cs="Times New Roman"/>
                      <w:color w:val="000000"/>
                      <w:sz w:val="21"/>
                      <w:szCs w:val="21"/>
                      <w:lang w:val="en-US" w:eastAsia="zh-CN"/>
                    </w:rPr>
                    <w:t>场</w:t>
                  </w:r>
                  <w:r>
                    <w:rPr>
                      <w:rFonts w:hint="default" w:ascii="Times New Roman" w:hAnsi="Times New Roman" w:cs="Times New Roman"/>
                      <w:color w:val="000000"/>
                      <w:sz w:val="21"/>
                      <w:szCs w:val="21"/>
                    </w:rPr>
                    <w:t>界</w:t>
                  </w:r>
                  <w:r>
                    <w:rPr>
                      <w:rFonts w:hint="eastAsia" w:ascii="Times New Roman" w:hAnsi="Times New Roman" w:cs="Times New Roman"/>
                      <w:color w:val="000000"/>
                      <w:sz w:val="21"/>
                      <w:szCs w:val="21"/>
                      <w:lang w:val="en-US" w:eastAsia="zh-CN"/>
                    </w:rPr>
                    <w:t>外1m</w:t>
                  </w:r>
                </w:p>
              </w:tc>
              <w:tc>
                <w:tcPr>
                  <w:tcW w:w="17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c>
                <w:tcPr>
                  <w:tcW w:w="18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5</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本项目东南侧居民</w:t>
                  </w:r>
                  <w:r>
                    <w:rPr>
                      <w:rFonts w:hint="eastAsia" w:ascii="Times New Roman" w:hAnsi="Times New Roman" w:cs="Times New Roman"/>
                      <w:color w:val="000000"/>
                      <w:sz w:val="21"/>
                      <w:szCs w:val="21"/>
                      <w:lang w:val="en-US" w:eastAsia="zh-CN"/>
                    </w:rPr>
                    <w:t>外1m</w:t>
                  </w:r>
                </w:p>
              </w:tc>
              <w:tc>
                <w:tcPr>
                  <w:tcW w:w="17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c>
                <w:tcPr>
                  <w:tcW w:w="18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N6</w:t>
                  </w:r>
                </w:p>
              </w:tc>
              <w:tc>
                <w:tcPr>
                  <w:tcW w:w="3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本项目西侧达州中医药学院西区外1m</w:t>
                  </w:r>
                </w:p>
              </w:tc>
              <w:tc>
                <w:tcPr>
                  <w:tcW w:w="17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c>
                <w:tcPr>
                  <w:tcW w:w="18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（2）评价标准</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执行《声环境质量标准》（GB3096-2008）2类标准</w:t>
            </w:r>
            <w:r>
              <w:rPr>
                <w:rFonts w:hint="default" w:ascii="Times New Roman" w:hAnsi="Times New Roman" w:cs="Times New Roman"/>
                <w:color w:val="auto"/>
                <w:sz w:val="24"/>
                <w:szCs w:val="24"/>
                <w:highlight w:val="none"/>
              </w:rPr>
              <w:t>。</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（3）评价结果</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声环境质量现状评价结果见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9</w:t>
            </w:r>
            <w:r>
              <w:rPr>
                <w:rFonts w:hint="default" w:ascii="Times New Roman" w:hAnsi="Times New Roman" w:eastAsia="黑体" w:cs="Times New Roman"/>
                <w:color w:val="auto"/>
                <w:szCs w:val="21"/>
                <w:highlight w:val="none"/>
              </w:rPr>
              <w:t xml:space="preserve">  声环境质量现状评价结果</w:t>
            </w:r>
            <w:r>
              <w:rPr>
                <w:rFonts w:hint="eastAsia" w:ascii="Times New Roman" w:hAnsi="Times New Roman" w:eastAsia="黑体" w:cs="Times New Roman"/>
                <w:color w:val="auto"/>
                <w:szCs w:val="21"/>
                <w:highlight w:val="none"/>
                <w:lang w:val="en-US" w:eastAsia="zh-CN"/>
              </w:rPr>
              <w:t>表</w:t>
            </w:r>
          </w:p>
          <w:tbl>
            <w:tblPr>
              <w:tblStyle w:val="25"/>
              <w:tblW w:w="48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29"/>
              <w:gridCol w:w="1228"/>
              <w:gridCol w:w="1228"/>
              <w:gridCol w:w="1203"/>
              <w:gridCol w:w="1253"/>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restar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3006" w:type="pct"/>
                  <w:gridSpan w:val="4"/>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评价结果〔dB（A）〕</w:t>
                  </w:r>
                </w:p>
              </w:tc>
              <w:tc>
                <w:tcPr>
                  <w:tcW w:w="1527" w:type="pct"/>
                  <w:gridSpan w:val="2"/>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结果</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结果</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1</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52</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41</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2</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53</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43</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3</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53</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48</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4</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52</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42</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5</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55</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44</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N6</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52</w:t>
                  </w:r>
                </w:p>
              </w:tc>
              <w:tc>
                <w:tcPr>
                  <w:tcW w:w="755"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755" w:type="pct"/>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43</w:t>
                  </w:r>
                </w:p>
              </w:tc>
              <w:tc>
                <w:tcPr>
                  <w:tcW w:w="739"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770"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60</w:t>
                  </w:r>
                </w:p>
              </w:tc>
              <w:tc>
                <w:tcPr>
                  <w:tcW w:w="756" w:type="pct"/>
                  <w:noWrap w:val="0"/>
                  <w:vAlign w:val="center"/>
                </w:tcPr>
                <w:p>
                  <w:pPr>
                    <w:keepNext w:val="0"/>
                    <w:keepLines w:val="0"/>
                    <w:pageBreakBefore w:val="0"/>
                    <w:widowControl w:val="0"/>
                    <w:kinsoku/>
                    <w:wordWrap/>
                    <w:overflowPunct/>
                    <w:topLinePunct w:val="0"/>
                    <w:autoSpaceDE/>
                    <w:autoSpaceDN/>
                    <w:bidi w:val="0"/>
                    <w:adjustRightInd/>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default" w:ascii="Times New Roman" w:hAnsi="Times New Roman" w:cs="Times New Roman"/>
                <w:color w:val="auto"/>
                <w:sz w:val="24"/>
                <w:szCs w:val="24"/>
                <w:highlight w:val="none"/>
              </w:rPr>
              <w:t>结果表明，现状监测期间，</w:t>
            </w:r>
            <w:r>
              <w:rPr>
                <w:rFonts w:hint="eastAsia"/>
                <w:sz w:val="24"/>
              </w:rPr>
              <w:t>项目所在区域昼、夜间噪声监测值均</w:t>
            </w:r>
            <w:r>
              <w:rPr>
                <w:rFonts w:hint="eastAsia"/>
                <w:sz w:val="24"/>
                <w:lang w:val="en-US" w:eastAsia="zh-CN"/>
              </w:rPr>
              <w:t>满足</w:t>
            </w:r>
            <w:r>
              <w:rPr>
                <w:rFonts w:hint="eastAsia"/>
                <w:sz w:val="24"/>
              </w:rPr>
              <w:t>《声环境质量标准》（GB3096-2008）2类</w:t>
            </w:r>
            <w:r>
              <w:rPr>
                <w:rFonts w:hint="eastAsia"/>
                <w:sz w:val="24"/>
                <w:lang w:val="en-US" w:eastAsia="zh-CN"/>
              </w:rPr>
              <w:t>区</w:t>
            </w:r>
            <w:r>
              <w:rPr>
                <w:rFonts w:hint="eastAsia"/>
                <w:sz w:val="24"/>
              </w:rPr>
              <w:t>标准</w:t>
            </w:r>
            <w:r>
              <w:rPr>
                <w:rFonts w:hint="eastAsia"/>
                <w:sz w:val="24"/>
                <w:lang w:val="en-US" w:eastAsia="zh-CN"/>
              </w:rPr>
              <w:t>要求</w:t>
            </w:r>
            <w:r>
              <w:rPr>
                <w:rFonts w:hint="eastAsia"/>
                <w:sz w:val="24"/>
              </w:rPr>
              <w:t>，区域声环境质量良好。</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四、底泥监测</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（1）监测点位</w:t>
            </w:r>
            <w:r>
              <w:rPr>
                <w:rFonts w:hint="default" w:ascii="Times New Roman" w:hAnsi="Times New Roman" w:cs="Times New Roman"/>
                <w:b/>
                <w:bCs/>
                <w:color w:val="auto"/>
                <w:sz w:val="24"/>
                <w:szCs w:val="24"/>
                <w:highlight w:val="none"/>
              </w:rPr>
              <w:t>基本信息</w:t>
            </w:r>
          </w:p>
          <w:p>
            <w:pPr>
              <w:pStyle w:val="69"/>
              <w:pageBreakBefore w:val="0"/>
              <w:widowControl w:val="0"/>
              <w:kinsoku/>
              <w:wordWrap/>
              <w:overflowPunct/>
              <w:topLinePunct/>
              <w:autoSpaceDE/>
              <w:autoSpaceDN/>
              <w:bidi w:val="0"/>
              <w:adjustRightInd/>
              <w:spacing w:line="360" w:lineRule="auto"/>
              <w:ind w:firstLine="470" w:firstLineChars="196"/>
              <w:jc w:val="both"/>
              <w:rPr>
                <w:rFonts w:hint="default" w:ascii="Times New Roman" w:hAnsi="Times New Roman" w:cs="Times New Roman"/>
                <w:b w:val="0"/>
                <w:bCs w:val="0"/>
                <w:color w:val="auto"/>
                <w:kern w:val="2"/>
                <w:szCs w:val="24"/>
              </w:rPr>
            </w:pPr>
            <w:r>
              <w:rPr>
                <w:rFonts w:hint="default" w:ascii="Times New Roman" w:hAnsi="Times New Roman" w:cs="Times New Roman"/>
                <w:b w:val="0"/>
                <w:bCs w:val="0"/>
                <w:color w:val="auto"/>
                <w:kern w:val="2"/>
                <w:szCs w:val="24"/>
              </w:rPr>
              <w:t>本</w:t>
            </w:r>
            <w:r>
              <w:rPr>
                <w:rFonts w:hint="eastAsia" w:ascii="Times New Roman" w:hAnsi="Times New Roman" w:cs="Times New Roman"/>
                <w:b w:val="0"/>
                <w:bCs w:val="0"/>
                <w:color w:val="auto"/>
                <w:kern w:val="2"/>
                <w:szCs w:val="24"/>
                <w:lang w:eastAsia="zh-CN"/>
              </w:rPr>
              <w:t>次</w:t>
            </w:r>
            <w:r>
              <w:rPr>
                <w:rFonts w:hint="default" w:ascii="Times New Roman" w:hAnsi="Times New Roman" w:cs="Times New Roman"/>
                <w:b w:val="0"/>
                <w:bCs w:val="0"/>
                <w:color w:val="auto"/>
                <w:kern w:val="2"/>
                <w:szCs w:val="24"/>
              </w:rPr>
              <w:t>共设置</w:t>
            </w:r>
            <w:r>
              <w:rPr>
                <w:rFonts w:hint="eastAsia" w:ascii="Times New Roman" w:hAnsi="Times New Roman" w:cs="Times New Roman"/>
                <w:b w:val="0"/>
                <w:bCs w:val="0"/>
                <w:color w:val="auto"/>
                <w:kern w:val="2"/>
                <w:szCs w:val="24"/>
                <w:lang w:val="en-US" w:eastAsia="zh-CN"/>
              </w:rPr>
              <w:t>1</w:t>
            </w:r>
            <w:r>
              <w:rPr>
                <w:rFonts w:hint="default" w:ascii="Times New Roman" w:hAnsi="Times New Roman" w:cs="Times New Roman"/>
                <w:b w:val="0"/>
                <w:bCs w:val="0"/>
                <w:color w:val="auto"/>
                <w:kern w:val="2"/>
                <w:szCs w:val="24"/>
              </w:rPr>
              <w:t>个</w:t>
            </w:r>
            <w:r>
              <w:rPr>
                <w:rFonts w:hint="eastAsia" w:ascii="Times New Roman" w:hAnsi="Times New Roman" w:cs="Times New Roman"/>
                <w:b w:val="0"/>
                <w:bCs w:val="0"/>
                <w:color w:val="auto"/>
                <w:kern w:val="2"/>
                <w:szCs w:val="24"/>
                <w:lang w:val="en-US" w:eastAsia="zh-CN"/>
              </w:rPr>
              <w:t>底泥</w:t>
            </w:r>
            <w:r>
              <w:rPr>
                <w:rFonts w:hint="default" w:ascii="Times New Roman" w:hAnsi="Times New Roman" w:cs="Times New Roman"/>
                <w:b w:val="0"/>
                <w:bCs w:val="0"/>
                <w:color w:val="auto"/>
                <w:kern w:val="2"/>
                <w:szCs w:val="24"/>
              </w:rPr>
              <w:t>监测</w:t>
            </w:r>
            <w:r>
              <w:rPr>
                <w:rFonts w:hint="eastAsia" w:ascii="Times New Roman" w:hAnsi="Times New Roman" w:cs="Times New Roman"/>
                <w:b w:val="0"/>
                <w:bCs w:val="0"/>
                <w:color w:val="auto"/>
                <w:kern w:val="2"/>
                <w:szCs w:val="24"/>
                <w:lang w:eastAsia="zh-CN"/>
              </w:rPr>
              <w:t>点</w:t>
            </w:r>
            <w:r>
              <w:rPr>
                <w:rFonts w:hint="default" w:ascii="Times New Roman" w:hAnsi="Times New Roman" w:cs="Times New Roman"/>
                <w:b w:val="0"/>
                <w:bCs w:val="0"/>
                <w:color w:val="auto"/>
                <w:kern w:val="2"/>
                <w:szCs w:val="24"/>
              </w:rPr>
              <w:t>，</w:t>
            </w:r>
            <w:r>
              <w:rPr>
                <w:rFonts w:hint="default" w:ascii="Times New Roman" w:hAnsi="Times New Roman" w:cs="Times New Roman"/>
                <w:b w:val="0"/>
                <w:bCs w:val="0"/>
                <w:color w:val="auto"/>
                <w:sz w:val="24"/>
                <w:highlight w:val="none"/>
              </w:rPr>
              <w:t>监测点基本信息见</w:t>
            </w:r>
            <w:r>
              <w:rPr>
                <w:rFonts w:hint="eastAsia" w:cs="Times New Roman"/>
                <w:b w:val="0"/>
                <w:bCs w:val="0"/>
                <w:color w:val="auto"/>
                <w:sz w:val="24"/>
                <w:highlight w:val="none"/>
                <w:lang w:val="en-US" w:eastAsia="zh-CN"/>
              </w:rPr>
              <w:t>下表</w:t>
            </w:r>
            <w:r>
              <w:rPr>
                <w:rFonts w:hint="default" w:ascii="Times New Roman" w:hAnsi="Times New Roman" w:cs="Times New Roman"/>
                <w:b w:val="0"/>
                <w:bCs w:val="0"/>
                <w:color w:val="auto"/>
                <w:kern w:val="2"/>
                <w:szCs w:val="24"/>
              </w:rPr>
              <w:t>。</w:t>
            </w:r>
          </w:p>
          <w:p>
            <w:pPr>
              <w:pStyle w:val="69"/>
              <w:pageBreakBefore w:val="0"/>
              <w:widowControl w:val="0"/>
              <w:kinsoku/>
              <w:wordWrap/>
              <w:overflowPunct/>
              <w:topLinePunct/>
              <w:autoSpaceDE/>
              <w:autoSpaceDN/>
              <w:bidi w:val="0"/>
              <w:adjustRightInd/>
              <w:spacing w:line="360" w:lineRule="auto"/>
              <w:ind w:firstLine="411" w:firstLineChars="196"/>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3-</w:t>
            </w:r>
            <w:r>
              <w:rPr>
                <w:rFonts w:hint="eastAsia" w:ascii="Times New Roman" w:hAnsi="Times New Roman" w:eastAsia="黑体" w:cs="Times New Roman"/>
                <w:b w:val="0"/>
                <w:bCs w:val="0"/>
                <w:color w:val="auto"/>
                <w:sz w:val="21"/>
                <w:szCs w:val="21"/>
                <w:lang w:val="en-US" w:eastAsia="zh-CN"/>
              </w:rPr>
              <w:t>10</w:t>
            </w:r>
            <w:r>
              <w:rPr>
                <w:rFonts w:hint="default" w:ascii="Times New Roman" w:hAnsi="Times New Roman" w:eastAsia="黑体" w:cs="Times New Roman"/>
                <w:b w:val="0"/>
                <w:bCs w:val="0"/>
                <w:color w:val="auto"/>
                <w:sz w:val="21"/>
                <w:szCs w:val="21"/>
              </w:rPr>
              <w:t xml:space="preserve"> </w:t>
            </w:r>
            <w:r>
              <w:rPr>
                <w:rFonts w:hint="default" w:ascii="Times New Roman" w:hAnsi="Times New Roman" w:eastAsia="黑体" w:cs="Times New Roman"/>
                <w:b w:val="0"/>
                <w:bCs w:val="0"/>
                <w:color w:val="auto"/>
                <w:sz w:val="21"/>
                <w:szCs w:val="21"/>
                <w:lang w:val="en-US" w:eastAsia="zh-CN"/>
              </w:rPr>
              <w:t>河流底泥</w:t>
            </w:r>
            <w:r>
              <w:rPr>
                <w:rFonts w:hint="default" w:ascii="Times New Roman" w:hAnsi="Times New Roman" w:eastAsia="黑体" w:cs="Times New Roman"/>
                <w:b w:val="0"/>
                <w:bCs w:val="0"/>
                <w:color w:val="auto"/>
                <w:sz w:val="21"/>
                <w:szCs w:val="21"/>
              </w:rPr>
              <w:t>环境质量现状监测布点一览表</w:t>
            </w:r>
          </w:p>
          <w:tbl>
            <w:tblPr>
              <w:tblStyle w:val="25"/>
              <w:tblW w:w="813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6"/>
              <w:gridCol w:w="1590"/>
              <w:gridCol w:w="3765"/>
              <w:gridCol w:w="20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编号</w:t>
                  </w:r>
                </w:p>
              </w:tc>
              <w:tc>
                <w:tcPr>
                  <w:tcW w:w="1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3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监测项目</w:t>
                  </w:r>
                </w:p>
              </w:tc>
              <w:tc>
                <w:tcPr>
                  <w:tcW w:w="2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监测频率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T1</w:t>
                  </w:r>
                </w:p>
              </w:tc>
              <w:tc>
                <w:tcPr>
                  <w:tcW w:w="1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val="0"/>
                      <w:bCs w:val="0"/>
                      <w:kern w:val="0"/>
                      <w:sz w:val="21"/>
                      <w:szCs w:val="21"/>
                      <w:lang w:val="en-US" w:eastAsia="zh-CN"/>
                    </w:rPr>
                    <w:t>河流改道处</w:t>
                  </w:r>
                </w:p>
              </w:tc>
              <w:tc>
                <w:tcPr>
                  <w:tcW w:w="3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pH、镉、</w:t>
                  </w:r>
                  <w:r>
                    <w:rPr>
                      <w:rFonts w:hint="default" w:ascii="Times New Roman" w:hAnsi="Times New Roman" w:eastAsia="宋体" w:cs="Times New Roman"/>
                      <w:color w:val="auto"/>
                      <w:spacing w:val="1"/>
                      <w:sz w:val="21"/>
                      <w:szCs w:val="21"/>
                      <w:lang w:val="en-US" w:eastAsia="zh-CN"/>
                    </w:rPr>
                    <w:t>汞、砷、铅、铬、铜、镍、锌</w:t>
                  </w:r>
                </w:p>
              </w:tc>
              <w:tc>
                <w:tcPr>
                  <w:tcW w:w="2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天，1次</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（2）评价标准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执行</w:t>
            </w:r>
            <w:r>
              <w:rPr>
                <w:rFonts w:hint="default" w:ascii="Times New Roman" w:hAnsi="Times New Roman" w:eastAsia="宋体" w:cs="Times New Roman"/>
                <w:color w:val="auto"/>
                <w:sz w:val="24"/>
                <w:szCs w:val="24"/>
                <w:lang w:eastAsia="zh-CN"/>
              </w:rPr>
              <w:t xml:space="preserve">《土壤环境质量 </w:t>
            </w:r>
            <w:r>
              <w:rPr>
                <w:rFonts w:hint="eastAsia" w:ascii="Times New Roman" w:hAnsi="Times New Roman" w:eastAsia="宋体" w:cs="Times New Roman"/>
                <w:color w:val="auto"/>
                <w:sz w:val="24"/>
                <w:szCs w:val="24"/>
                <w:lang w:val="en-US" w:eastAsia="zh-CN"/>
              </w:rPr>
              <w:t>农用地</w:t>
            </w:r>
            <w:r>
              <w:rPr>
                <w:rFonts w:hint="default" w:ascii="Times New Roman" w:hAnsi="Times New Roman" w:eastAsia="宋体" w:cs="Times New Roman"/>
                <w:color w:val="auto"/>
                <w:sz w:val="24"/>
                <w:szCs w:val="24"/>
                <w:lang w:eastAsia="zh-CN"/>
              </w:rPr>
              <w:t>土壤污染风险管控标准（试行）》(GB</w:t>
            </w:r>
            <w:r>
              <w:rPr>
                <w:rFonts w:hint="eastAsia" w:ascii="Times New Roman" w:hAnsi="Times New Roman" w:eastAsia="宋体" w:cs="Times New Roman"/>
                <w:color w:val="auto"/>
                <w:sz w:val="24"/>
                <w:szCs w:val="24"/>
                <w:lang w:val="en-US" w:eastAsia="zh-CN"/>
              </w:rPr>
              <w:t>15618</w:t>
            </w:r>
            <w:r>
              <w:rPr>
                <w:rFonts w:hint="default" w:ascii="Times New Roman" w:hAnsi="Times New Roman" w:eastAsia="宋体" w:cs="Times New Roman"/>
                <w:color w:val="auto"/>
                <w:sz w:val="24"/>
                <w:szCs w:val="24"/>
                <w:lang w:eastAsia="zh-CN"/>
              </w:rPr>
              <w:t>-2018)</w:t>
            </w:r>
            <w:r>
              <w:rPr>
                <w:rFonts w:hint="eastAsia" w:ascii="Times New Roman" w:hAnsi="Times New Roman" w:eastAsia="宋体" w:cs="Times New Roman"/>
                <w:color w:val="auto"/>
                <w:sz w:val="24"/>
                <w:szCs w:val="24"/>
                <w:lang w:val="en-US" w:eastAsia="zh-CN"/>
              </w:rPr>
              <w:t>表1中相关标准</w:t>
            </w:r>
            <w:r>
              <w:rPr>
                <w:rFonts w:hint="default" w:ascii="Times New Roman" w:hAnsi="Times New Roman" w:cs="Times New Roman"/>
                <w:color w:val="auto"/>
                <w:sz w:val="24"/>
                <w:szCs w:val="24"/>
                <w:highlight w:val="none"/>
              </w:rPr>
              <w:t>。</w:t>
            </w:r>
          </w:p>
          <w:p>
            <w:pPr>
              <w:pageBreakBefore w:val="0"/>
              <w:kinsoku/>
              <w:wordWrap/>
              <w:bidi w:val="0"/>
              <w:spacing w:line="360" w:lineRule="auto"/>
              <w:ind w:left="0" w:leftChars="0" w:right="0" w:firstLine="482" w:firstLineChars="200"/>
              <w:rPr>
                <w:rFonts w:hint="default" w:ascii="Times New Roman" w:hAnsi="Times New Roman" w:cs="Times New Roman"/>
                <w:b/>
                <w:color w:val="C00000"/>
                <w:sz w:val="24"/>
                <w:szCs w:val="24"/>
                <w:highlight w:val="none"/>
              </w:rPr>
            </w:pPr>
            <w:r>
              <w:rPr>
                <w:rFonts w:hint="default" w:ascii="Times New Roman" w:hAnsi="Times New Roman" w:cs="Times New Roman"/>
                <w:b/>
                <w:color w:val="auto"/>
                <w:sz w:val="24"/>
                <w:szCs w:val="24"/>
                <w:highlight w:val="none"/>
              </w:rPr>
              <w:t>（3）评价结果</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底泥</w:t>
            </w:r>
            <w:r>
              <w:rPr>
                <w:rFonts w:hint="default" w:ascii="Times New Roman" w:hAnsi="Times New Roman" w:cs="Times New Roman"/>
                <w:color w:val="auto"/>
                <w:sz w:val="24"/>
                <w:szCs w:val="24"/>
                <w:highlight w:val="none"/>
              </w:rPr>
              <w:t>现状评价结果见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pPr>
              <w:pStyle w:val="69"/>
              <w:pageBreakBefore w:val="0"/>
              <w:widowControl w:val="0"/>
              <w:kinsoku/>
              <w:wordWrap/>
              <w:overflowPunct/>
              <w:topLinePunct/>
              <w:autoSpaceDE/>
              <w:autoSpaceDN/>
              <w:bidi w:val="0"/>
              <w:adjustRightInd/>
              <w:spacing w:line="360" w:lineRule="auto"/>
              <w:ind w:firstLine="411" w:firstLineChars="196"/>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3-</w:t>
            </w:r>
            <w:r>
              <w:rPr>
                <w:rFonts w:hint="eastAsia" w:ascii="Times New Roman" w:hAnsi="Times New Roman" w:eastAsia="黑体" w:cs="Times New Roman"/>
                <w:b w:val="0"/>
                <w:bCs w:val="0"/>
                <w:color w:val="auto"/>
                <w:sz w:val="21"/>
                <w:szCs w:val="21"/>
                <w:lang w:val="en-US" w:eastAsia="zh-CN"/>
              </w:rPr>
              <w:t>11</w:t>
            </w:r>
            <w:r>
              <w:rPr>
                <w:rFonts w:hint="default" w:ascii="Times New Roman" w:hAnsi="Times New Roman" w:eastAsia="黑体" w:cs="Times New Roman"/>
                <w:b w:val="0"/>
                <w:bCs w:val="0"/>
                <w:color w:val="auto"/>
                <w:sz w:val="21"/>
                <w:szCs w:val="21"/>
              </w:rPr>
              <w:t xml:space="preserve"> </w:t>
            </w:r>
            <w:r>
              <w:rPr>
                <w:rFonts w:hint="eastAsia" w:ascii="Times New Roman" w:hAnsi="Times New Roman" w:eastAsia="黑体" w:cs="Times New Roman"/>
                <w:b w:val="0"/>
                <w:bCs w:val="0"/>
                <w:color w:val="auto"/>
                <w:sz w:val="21"/>
                <w:szCs w:val="21"/>
                <w:lang w:val="en-US" w:eastAsia="zh-CN"/>
              </w:rPr>
              <w:t>底泥评价结果</w:t>
            </w:r>
          </w:p>
          <w:tbl>
            <w:tblPr>
              <w:tblStyle w:val="25"/>
              <w:tblW w:w="81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35"/>
              <w:gridCol w:w="2340"/>
              <w:gridCol w:w="1875"/>
              <w:gridCol w:w="1380"/>
              <w:gridCol w:w="13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23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rFonts w:hint="eastAsia"/>
                      <w:b/>
                      <w:bCs/>
                      <w:sz w:val="21"/>
                      <w:szCs w:val="21"/>
                    </w:rPr>
                    <w:t>采样日期</w:t>
                  </w:r>
                </w:p>
              </w:tc>
              <w:tc>
                <w:tcPr>
                  <w:tcW w:w="23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b/>
                      <w:bCs/>
                      <w:sz w:val="21"/>
                      <w:szCs w:val="21"/>
                    </w:rPr>
                    <w:t>检测点编号及位置</w:t>
                  </w:r>
                </w:p>
              </w:tc>
              <w:tc>
                <w:tcPr>
                  <w:tcW w:w="18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b/>
                      <w:bCs/>
                      <w:sz w:val="21"/>
                      <w:szCs w:val="21"/>
                    </w:rPr>
                    <w:t>检测因子</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rFonts w:hint="eastAsia"/>
                      <w:b/>
                      <w:bCs/>
                      <w:sz w:val="21"/>
                      <w:szCs w:val="21"/>
                    </w:rPr>
                    <w:t>检测结果</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b/>
                      <w:bCs/>
                      <w:sz w:val="21"/>
                      <w:szCs w:val="21"/>
                    </w:rPr>
                  </w:pPr>
                  <w:r>
                    <w:rPr>
                      <w:rFonts w:hint="default" w:ascii="Times New Roman" w:hAnsi="Times New Roman" w:cs="Times New Roman"/>
                      <w:b/>
                      <w:bCs/>
                      <w:color w:val="auto"/>
                      <w:sz w:val="21"/>
                      <w:szCs w:val="21"/>
                      <w:highlight w:val="none"/>
                    </w:rPr>
                    <w:t>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
                      <w:bCs/>
                      <w:color w:val="0000FF"/>
                      <w:kern w:val="0"/>
                      <w:sz w:val="21"/>
                      <w:szCs w:val="21"/>
                      <w:lang w:val="en-US" w:eastAsia="zh-CN" w:bidi="ar"/>
                    </w:rPr>
                  </w:pPr>
                  <w:r>
                    <w:rPr>
                      <w:color w:val="auto"/>
                      <w:sz w:val="21"/>
                      <w:szCs w:val="21"/>
                    </w:rPr>
                    <w:t>202</w:t>
                  </w:r>
                  <w:r>
                    <w:rPr>
                      <w:rFonts w:hint="eastAsia"/>
                      <w:color w:val="auto"/>
                      <w:sz w:val="21"/>
                      <w:szCs w:val="21"/>
                      <w:lang w:val="en-US" w:eastAsia="zh-CN"/>
                    </w:rPr>
                    <w:t>3</w:t>
                  </w:r>
                  <w:r>
                    <w:rPr>
                      <w:color w:val="auto"/>
                      <w:sz w:val="21"/>
                      <w:szCs w:val="21"/>
                    </w:rPr>
                    <w:t>.</w:t>
                  </w:r>
                  <w:r>
                    <w:rPr>
                      <w:rFonts w:hint="eastAsia"/>
                      <w:color w:val="auto"/>
                      <w:sz w:val="21"/>
                      <w:szCs w:val="21"/>
                      <w:lang w:val="en-US" w:eastAsia="zh-CN"/>
                    </w:rPr>
                    <w:t>05</w:t>
                  </w:r>
                  <w:r>
                    <w:rPr>
                      <w:color w:val="auto"/>
                      <w:sz w:val="21"/>
                      <w:szCs w:val="21"/>
                    </w:rPr>
                    <w:t>.</w:t>
                  </w:r>
                  <w:r>
                    <w:rPr>
                      <w:rFonts w:hint="eastAsia"/>
                      <w:color w:val="auto"/>
                      <w:sz w:val="21"/>
                      <w:szCs w:val="21"/>
                      <w:lang w:val="en-US" w:eastAsia="zh-CN"/>
                    </w:rPr>
                    <w:t>20</w:t>
                  </w:r>
                </w:p>
              </w:tc>
              <w:tc>
                <w:tcPr>
                  <w:tcW w:w="23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FF"/>
                      <w:sz w:val="21"/>
                      <w:szCs w:val="21"/>
                    </w:rPr>
                  </w:pPr>
                  <w:r>
                    <w:rPr>
                      <w:rFonts w:hint="eastAsia" w:ascii="Times New Roman" w:hAnsi="Times New Roman" w:eastAsia="宋体" w:cs="Times New Roman"/>
                      <w:b w:val="0"/>
                      <w:bCs w:val="0"/>
                      <w:kern w:val="0"/>
                      <w:sz w:val="21"/>
                      <w:szCs w:val="21"/>
                      <w:lang w:val="en-US" w:eastAsia="zh-CN"/>
                    </w:rPr>
                    <w:t>T1</w:t>
                  </w:r>
                  <w:r>
                    <w:rPr>
                      <w:rFonts w:hint="eastAsia"/>
                      <w:sz w:val="21"/>
                      <w:szCs w:val="21"/>
                    </w:rPr>
                    <w:t>，</w:t>
                  </w:r>
                  <w:r>
                    <w:rPr>
                      <w:rFonts w:hint="eastAsia" w:ascii="Times New Roman" w:hAnsi="Times New Roman" w:eastAsia="宋体" w:cs="Times New Roman"/>
                      <w:b w:val="0"/>
                      <w:bCs w:val="0"/>
                      <w:kern w:val="0"/>
                      <w:sz w:val="21"/>
                      <w:szCs w:val="21"/>
                      <w:lang w:val="en-US" w:eastAsia="zh-CN"/>
                    </w:rPr>
                    <w:t>河流改道处</w:t>
                  </w: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sz w:val="21"/>
                      <w:szCs w:val="21"/>
                    </w:rPr>
                  </w:pPr>
                  <w:r>
                    <w:rPr>
                      <w:color w:val="000000"/>
                      <w:kern w:val="0"/>
                      <w:sz w:val="21"/>
                      <w:szCs w:val="21"/>
                      <w:lang w:bidi="ar"/>
                    </w:rPr>
                    <w:t>pH（无量纲）</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6.94</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sz w:val="21"/>
                      <w:szCs w:val="21"/>
                    </w:rPr>
                  </w:pPr>
                  <w:r>
                    <w:rPr>
                      <w:color w:val="000000"/>
                      <w:kern w:val="0"/>
                      <w:sz w:val="21"/>
                      <w:szCs w:val="21"/>
                      <w:lang w:bidi="ar"/>
                    </w:rPr>
                    <w:t>砷</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3.45</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kern w:val="0"/>
                      <w:sz w:val="21"/>
                      <w:szCs w:val="21"/>
                      <w:lang w:bidi="ar"/>
                    </w:rPr>
                    <w:t>镉</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0.09</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color w:val="000000"/>
                      <w:kern w:val="0"/>
                      <w:sz w:val="21"/>
                      <w:szCs w:val="21"/>
                      <w:lang w:bidi="ar"/>
                    </w:rPr>
                    <w:t>铜</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26</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rFonts w:hint="eastAsia"/>
                      <w:sz w:val="21"/>
                      <w:szCs w:val="21"/>
                    </w:rPr>
                    <w:t>锌</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106</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rFonts w:hint="eastAsia"/>
                      <w:color w:val="000000"/>
                      <w:kern w:val="0"/>
                      <w:sz w:val="21"/>
                      <w:szCs w:val="21"/>
                      <w:lang w:bidi="ar"/>
                    </w:rPr>
                    <w:t>铬</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87</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color w:val="000000"/>
                      <w:kern w:val="0"/>
                      <w:sz w:val="21"/>
                      <w:szCs w:val="21"/>
                      <w:lang w:bidi="ar"/>
                    </w:rPr>
                    <w:t>铅</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42</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120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color w:val="000000"/>
                      <w:kern w:val="0"/>
                      <w:sz w:val="21"/>
                      <w:szCs w:val="21"/>
                      <w:lang w:bidi="ar"/>
                    </w:rPr>
                    <w:t>镍</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43</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2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000000"/>
                      <w:kern w:val="0"/>
                      <w:sz w:val="21"/>
                      <w:szCs w:val="21"/>
                      <w:lang w:bidi="ar"/>
                    </w:rPr>
                  </w:pPr>
                </w:p>
              </w:tc>
              <w:tc>
                <w:tcPr>
                  <w:tcW w:w="18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bCs/>
                      <w:sz w:val="21"/>
                      <w:szCs w:val="21"/>
                    </w:rPr>
                  </w:pPr>
                  <w:r>
                    <w:rPr>
                      <w:color w:val="000000"/>
                      <w:kern w:val="0"/>
                      <w:sz w:val="21"/>
                      <w:szCs w:val="21"/>
                      <w:lang w:bidi="ar"/>
                    </w:rPr>
                    <w:t>汞</w:t>
                  </w:r>
                </w:p>
              </w:tc>
              <w:tc>
                <w:tcPr>
                  <w:tcW w:w="13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0.225</w:t>
                  </w:r>
                </w:p>
              </w:tc>
              <w:tc>
                <w:tcPr>
                  <w:tcW w:w="13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eastAsia="宋体"/>
                      <w:sz w:val="21"/>
                      <w:szCs w:val="21"/>
                      <w:lang w:val="en-US" w:eastAsia="zh-CN"/>
                    </w:rPr>
                  </w:pPr>
                  <w:r>
                    <w:rPr>
                      <w:rFonts w:hint="eastAsia" w:eastAsia="宋体"/>
                      <w:sz w:val="21"/>
                      <w:szCs w:val="21"/>
                      <w:lang w:val="en-US" w:eastAsia="zh-CN"/>
                    </w:rPr>
                    <w:t>2.4</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default" w:ascii="Times New Roman" w:hAnsi="Times New Roman" w:cs="Times New Roman"/>
                <w:color w:val="auto"/>
                <w:sz w:val="24"/>
                <w:szCs w:val="24"/>
                <w:highlight w:val="none"/>
              </w:rPr>
              <w:t>结果表明，现状监测期间，</w:t>
            </w:r>
            <w:r>
              <w:rPr>
                <w:rFonts w:hint="eastAsia" w:ascii="Times New Roman" w:hAnsi="Times New Roman" w:cs="Times New Roman"/>
                <w:color w:val="auto"/>
                <w:sz w:val="24"/>
                <w:szCs w:val="24"/>
                <w:highlight w:val="none"/>
                <w:lang w:val="en-US" w:eastAsia="zh-CN"/>
              </w:rPr>
              <w:t>项目河流改道处底泥满足</w:t>
            </w:r>
            <w:r>
              <w:rPr>
                <w:rFonts w:hint="default" w:ascii="Times New Roman" w:hAnsi="Times New Roman" w:eastAsia="宋体" w:cs="Times New Roman"/>
                <w:color w:val="auto"/>
                <w:sz w:val="24"/>
                <w:szCs w:val="24"/>
                <w:lang w:eastAsia="zh-CN"/>
              </w:rPr>
              <w:t xml:space="preserve">《土壤环境质量 </w:t>
            </w:r>
            <w:r>
              <w:rPr>
                <w:rFonts w:hint="eastAsia" w:ascii="Times New Roman" w:hAnsi="Times New Roman" w:eastAsia="宋体" w:cs="Times New Roman"/>
                <w:color w:val="auto"/>
                <w:sz w:val="24"/>
                <w:szCs w:val="24"/>
                <w:lang w:val="en-US" w:eastAsia="zh-CN"/>
              </w:rPr>
              <w:t>农用地</w:t>
            </w:r>
            <w:r>
              <w:rPr>
                <w:rFonts w:hint="default" w:ascii="Times New Roman" w:hAnsi="Times New Roman" w:eastAsia="宋体" w:cs="Times New Roman"/>
                <w:color w:val="auto"/>
                <w:sz w:val="24"/>
                <w:szCs w:val="24"/>
                <w:lang w:eastAsia="zh-CN"/>
              </w:rPr>
              <w:t>土壤污染风险管控标准（试行）》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w:t>
            </w:r>
            <w:r>
              <w:rPr>
                <w:rFonts w:hint="eastAsia" w:ascii="Times New Roman" w:hAnsi="Times New Roman" w:eastAsia="宋体" w:cs="Times New Roman"/>
                <w:color w:val="auto"/>
                <w:sz w:val="24"/>
                <w:szCs w:val="24"/>
                <w:lang w:val="en-US" w:eastAsia="zh-CN"/>
              </w:rPr>
              <w:t>15618</w:t>
            </w:r>
            <w:r>
              <w:rPr>
                <w:rFonts w:hint="default" w:ascii="Times New Roman" w:hAnsi="Times New Roman" w:eastAsia="宋体" w:cs="Times New Roman"/>
                <w:color w:val="auto"/>
                <w:sz w:val="24"/>
                <w:szCs w:val="24"/>
                <w:lang w:eastAsia="zh-CN"/>
              </w:rPr>
              <w:t>-2018</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表1中相关标准。</w:t>
            </w:r>
          </w:p>
          <w:p>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五、地下水质量现状及评价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根据《环境影响评价技术导则 地下水环境》（HJ610-2016）中“4.1 根据建设项目对地下水环境影响的程度，结合《建设项目环境影响评价分类管理名录》，将建设项目分为四类，详见附录 A。Ⅰ类、Ⅱ类、Ⅲ类建设项目的地下水环境影响评价应执行本标准，Ⅳ类建设项目不开展地下水环境影响评价。”以及附录 A“地下水环境影响评价行业分类表”，本项目属于Ⅳ类项目（V 社会事业与服务业 1</w:t>
            </w:r>
            <w:r>
              <w:rPr>
                <w:rFonts w:hint="eastAsia" w:ascii="Times New Roman" w:hAnsi="Times New Roman" w:eastAsia="宋体" w:cs="Times New Roman"/>
                <w:color w:val="000000"/>
                <w:kern w:val="0"/>
                <w:sz w:val="24"/>
                <w:szCs w:val="24"/>
                <w:lang w:val="en-US" w:eastAsia="zh-CN" w:bidi="ar"/>
              </w:rPr>
              <w:t>57</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学校、幼儿园、托儿所</w:t>
            </w:r>
            <w:r>
              <w:rPr>
                <w:rFonts w:hint="default" w:ascii="Times New Roman" w:hAnsi="Times New Roman" w:eastAsia="宋体" w:cs="Times New Roman"/>
                <w:color w:val="000000"/>
                <w:kern w:val="0"/>
                <w:sz w:val="24"/>
                <w:szCs w:val="24"/>
                <w:lang w:val="en-US" w:eastAsia="zh-CN" w:bidi="ar"/>
              </w:rPr>
              <w:t>中报告表类别</w:t>
            </w:r>
            <w:r>
              <w:rPr>
                <w:rFonts w:hint="eastAsia" w:ascii="Times New Roman" w:hAnsi="Times New Roman" w:eastAsia="宋体" w:cs="Times New Roman"/>
                <w:color w:val="000000"/>
                <w:kern w:val="0"/>
                <w:sz w:val="24"/>
                <w:szCs w:val="24"/>
                <w:lang w:val="en-US" w:eastAsia="zh-CN" w:bidi="ar"/>
              </w:rPr>
              <w:t>；A水利5、河湖整治工程中报告表类别）</w:t>
            </w:r>
            <w:r>
              <w:rPr>
                <w:rFonts w:hint="default" w:ascii="Times New Roman" w:hAnsi="Times New Roman" w:eastAsia="宋体" w:cs="Times New Roman"/>
                <w:color w:val="000000"/>
                <w:kern w:val="0"/>
                <w:sz w:val="24"/>
                <w:szCs w:val="24"/>
                <w:lang w:val="en-US" w:eastAsia="zh-CN" w:bidi="ar"/>
              </w:rPr>
              <w:t>，因此，根据《环境影响评价技术导则 地下水环境》（HJ 610-2016），本项目不需进行地下水环境影响评价，本次评价只提出防渗要求。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六、生态环境质量现状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1、陆生生态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本项目位于达州市通川区西南职教园区，规划用地性质属于</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b w:val="0"/>
                <w:bCs w:val="0"/>
                <w:color w:val="auto"/>
                <w:sz w:val="24"/>
                <w:szCs w:val="24"/>
                <w:lang w:val="en-US" w:eastAsia="zh-CN"/>
              </w:rPr>
              <w:t>职业教育用地、防护</w:t>
            </w:r>
            <w:r>
              <w:rPr>
                <w:rFonts w:hint="default" w:ascii="Times New Roman" w:hAnsi="Times New Roman" w:eastAsia="宋体" w:cs="Times New Roman"/>
                <w:b w:val="0"/>
                <w:bCs w:val="0"/>
                <w:color w:val="auto"/>
                <w:sz w:val="24"/>
                <w:szCs w:val="24"/>
                <w:lang w:val="en-US" w:eastAsia="zh-CN"/>
              </w:rPr>
              <w:t>绿地</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，项目所在地块现状为耕地、其他农用地、建设用地。</w:t>
            </w:r>
            <w:r>
              <w:rPr>
                <w:rFonts w:hint="default" w:ascii="Times New Roman" w:hAnsi="Times New Roman" w:eastAsia="宋体" w:cs="Times New Roman"/>
                <w:color w:val="auto"/>
                <w:spacing w:val="-2"/>
                <w:sz w:val="24"/>
                <w:szCs w:val="24"/>
              </w:rPr>
              <w:t>农田植被主要为水稻、小麦、玉米、油菜等。植被类型分布特点是次生植被为主，以藤刺灌丛和草坡为主，局部可见小片的次生常绿针叶林，以及</w:t>
            </w:r>
            <w:r>
              <w:rPr>
                <w:rFonts w:hint="default" w:ascii="Times New Roman" w:hAnsi="Times New Roman" w:eastAsia="宋体" w:cs="Times New Roman"/>
                <w:color w:val="auto"/>
                <w:spacing w:val="-2"/>
                <w:sz w:val="24"/>
                <w:szCs w:val="24"/>
                <w:lang w:eastAsia="zh-CN"/>
              </w:rPr>
              <w:t>麻柳树、</w:t>
            </w:r>
            <w:r>
              <w:rPr>
                <w:rFonts w:hint="default" w:ascii="Times New Roman" w:hAnsi="Times New Roman" w:eastAsia="宋体" w:cs="Times New Roman"/>
                <w:color w:val="auto"/>
                <w:sz w:val="24"/>
                <w:szCs w:val="24"/>
                <w:lang w:eastAsia="zh-CN"/>
              </w:rPr>
              <w:t>柏树、竹子</w:t>
            </w:r>
            <w:r>
              <w:rPr>
                <w:rFonts w:hint="default" w:ascii="Times New Roman" w:hAnsi="Times New Roman" w:eastAsia="宋体" w:cs="Times New Roman"/>
                <w:color w:val="auto"/>
                <w:spacing w:val="-2"/>
                <w:sz w:val="24"/>
                <w:szCs w:val="24"/>
              </w:rPr>
              <w:t>等</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动物主要为常见野生动物，</w:t>
            </w:r>
            <w:r>
              <w:rPr>
                <w:rFonts w:hint="default" w:ascii="Times New Roman" w:hAnsi="Times New Roman" w:eastAsia="宋体" w:cs="Times New Roman"/>
                <w:color w:val="auto"/>
                <w:sz w:val="24"/>
                <w:szCs w:val="24"/>
                <w:lang w:eastAsia="zh-CN"/>
              </w:rPr>
              <w:t>主要以爬行动物和鸟类为主。爬行动物有壁虎、蛇，均分布在</w:t>
            </w:r>
            <w:r>
              <w:rPr>
                <w:rFonts w:hint="eastAsia"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lang w:eastAsia="zh-CN"/>
              </w:rPr>
              <w:t>灌草丛附近；鸟类有家燕、麻雀、八哥等；兽类主要为小型</w:t>
            </w:r>
            <w:r>
              <w:rPr>
                <w:rFonts w:hint="default" w:ascii="Times New Roman" w:hAnsi="Times New Roman" w:eastAsia="宋体" w:cs="Times New Roman"/>
                <w:color w:val="auto"/>
                <w:sz w:val="24"/>
                <w:szCs w:val="24"/>
              </w:rPr>
              <w:t>啮齿</w:t>
            </w:r>
            <w:r>
              <w:rPr>
                <w:rFonts w:hint="default" w:ascii="Times New Roman" w:hAnsi="Times New Roman" w:eastAsia="宋体" w:cs="Times New Roman"/>
                <w:color w:val="auto"/>
                <w:sz w:val="24"/>
                <w:szCs w:val="24"/>
                <w:lang w:eastAsia="zh-CN"/>
              </w:rPr>
              <w:t>目鼠类，包括小家鼠、褐家鼠等。</w:t>
            </w:r>
            <w:r>
              <w:rPr>
                <w:rFonts w:hint="eastAsia" w:ascii="宋体" w:hAnsi="宋体" w:eastAsia="宋体" w:cs="宋体"/>
                <w:color w:val="000000"/>
                <w:kern w:val="0"/>
                <w:sz w:val="24"/>
                <w:szCs w:val="24"/>
                <w:lang w:val="en-US" w:eastAsia="zh-CN" w:bidi="ar"/>
              </w:rPr>
              <w:t>生物多样性简单。根据现场调查，本项目不涉及自然保护区、国家森林公园等重要生态敏感区，建设项目区域内不涉及国家和省重点保护珍稀名木古树，无国家重点保护的野生动植物。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2、水生生态</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eastAsia="宋体"/>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子槽沟在本项目地块内从北向南穿过。本项目拟对子槽沟进行改道，</w:t>
            </w:r>
            <w:r>
              <w:rPr>
                <w:color w:val="auto"/>
                <w:sz w:val="24"/>
                <w:szCs w:val="24"/>
              </w:rPr>
              <w:t>自210国道子槽沟大桥与本项目用地界起点，</w:t>
            </w:r>
            <w:r>
              <w:rPr>
                <w:rFonts w:hint="eastAsia"/>
                <w:color w:val="auto"/>
                <w:sz w:val="24"/>
                <w:szCs w:val="24"/>
                <w:lang w:val="en-US" w:eastAsia="zh-CN"/>
              </w:rPr>
              <w:t>至</w:t>
            </w:r>
            <w:r>
              <w:rPr>
                <w:color w:val="auto"/>
                <w:sz w:val="24"/>
                <w:szCs w:val="24"/>
              </w:rPr>
              <w:t>原始河道下游636米</w:t>
            </w:r>
            <w:r>
              <w:rPr>
                <w:rFonts w:hint="eastAsia"/>
                <w:color w:val="auto"/>
                <w:sz w:val="24"/>
                <w:szCs w:val="24"/>
                <w:lang w:eastAsia="zh-CN"/>
              </w:rPr>
              <w:t>，</w:t>
            </w:r>
            <w:r>
              <w:rPr>
                <w:rFonts w:hint="eastAsia"/>
                <w:color w:val="auto"/>
                <w:sz w:val="24"/>
                <w:szCs w:val="24"/>
                <w:lang w:val="en-US" w:eastAsia="zh-CN"/>
              </w:rPr>
              <w:t>河流</w:t>
            </w:r>
            <w:r>
              <w:rPr>
                <w:rFonts w:hint="eastAsia" w:ascii="Times New Roman" w:hAnsi="Times New Roman" w:eastAsia="宋体" w:cs="Times New Roman"/>
                <w:color w:val="auto"/>
                <w:sz w:val="24"/>
                <w:szCs w:val="24"/>
                <w:highlight w:val="none"/>
                <w:lang w:val="en-US" w:eastAsia="zh-CN"/>
              </w:rPr>
              <w:t>改道长度为484.48m；拟设置</w:t>
            </w:r>
            <w:r>
              <w:rPr>
                <w:rFonts w:hint="default" w:ascii="Times New Roman" w:hAnsi="Times New Roman" w:eastAsia="宋体" w:cs="Times New Roman"/>
                <w:color w:val="auto"/>
                <w:sz w:val="24"/>
                <w:szCs w:val="24"/>
                <w:highlight w:val="none"/>
                <w:lang w:val="en-US" w:eastAsia="zh-CN"/>
              </w:rPr>
              <w:t>跨</w:t>
            </w:r>
            <w:r>
              <w:rPr>
                <w:rFonts w:hint="eastAsia" w:ascii="Times New Roman" w:hAnsi="Times New Roman" w:eastAsia="宋体" w:cs="Times New Roman"/>
                <w:color w:val="auto"/>
                <w:sz w:val="24"/>
                <w:szCs w:val="24"/>
                <w:highlight w:val="none"/>
                <w:lang w:val="en-US" w:eastAsia="zh-CN"/>
              </w:rPr>
              <w:t>越</w:t>
            </w:r>
            <w:r>
              <w:rPr>
                <w:rFonts w:hint="default" w:ascii="Times New Roman" w:hAnsi="Times New Roman" w:eastAsia="宋体" w:cs="Times New Roman"/>
                <w:color w:val="auto"/>
                <w:sz w:val="24"/>
                <w:szCs w:val="24"/>
                <w:highlight w:val="none"/>
                <w:lang w:val="en-US" w:eastAsia="zh-CN"/>
              </w:rPr>
              <w:t>子槽沟河道桥梁共计2座</w:t>
            </w:r>
            <w:r>
              <w:rPr>
                <w:rFonts w:hint="eastAsia" w:ascii="Times New Roman" w:hAnsi="Times New Roman" w:eastAsia="宋体" w:cs="Times New Roman"/>
                <w:color w:val="auto"/>
                <w:sz w:val="24"/>
                <w:szCs w:val="24"/>
                <w:highlight w:val="none"/>
                <w:lang w:val="en-US" w:eastAsia="zh-CN"/>
              </w:rPr>
              <w:t>，不在河中设桥墩。</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项目所在河段水生生物主要包括浮游植物、浮游动物、底栖动物和鱼类。浮游植物</w:t>
            </w:r>
            <w:r>
              <w:rPr>
                <w:rFonts w:hint="eastAsia"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lang w:eastAsia="zh-CN"/>
              </w:rPr>
              <w:t>有硅藻、绿藻、蓝藻、黄藻等。浮游动物</w:t>
            </w:r>
            <w:r>
              <w:rPr>
                <w:rFonts w:hint="eastAsia"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lang w:eastAsia="zh-CN"/>
              </w:rPr>
              <w:t>包括轮虫、枝角类、原生动物等，常见的有普通沙壳虫、针簇多肢轮虫等</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底栖动物多为水蚯蚓、田螺等。鱼类主要有鲫鱼、鲤鱼、鲢鱼、河虾等</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所在河段</w:t>
            </w:r>
            <w:r>
              <w:rPr>
                <w:rFonts w:hint="default" w:ascii="Times New Roman" w:hAnsi="Times New Roman" w:eastAsia="宋体" w:cs="Times New Roman"/>
                <w:color w:val="auto"/>
                <w:sz w:val="24"/>
                <w:szCs w:val="24"/>
                <w:lang w:eastAsia="zh-CN"/>
              </w:rPr>
              <w:t>范围内，无珍稀、濒危水生生物和有保护价值的水生生物的种群、产卵场、栖息地和洄游通道。评价河段鱼类资源较少，不涉及国家和省级保护珍稀鱼类及鱼类“三场”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产卵场、索饵场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越冬场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不涉及</w:t>
            </w:r>
            <w:r>
              <w:rPr>
                <w:rFonts w:hint="default" w:ascii="Times New Roman" w:hAnsi="Times New Roman" w:eastAsia="宋体" w:cs="Times New Roman"/>
                <w:color w:val="auto"/>
                <w:sz w:val="24"/>
                <w:szCs w:val="24"/>
                <w:lang w:eastAsia="zh-CN"/>
              </w:rPr>
              <w:t>自然保护区、风景名胜区和滩涂湿地等。项目所在河道下游不涉及饮用水水源保护区。不涉及饮用水水源取水口。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3、区域主要水系调查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子槽沟为州河一级支流，发源于达州市通川区犀牛山一带。自东向西流，经罗家坝、关门口、葛家坝等，在羊洞子处与左岸赵家沟汇合后继续向西南流，于韩家坝处汇入州河。子槽沟在园区内呈“S”延伸，河道方向主要受场内构造及岩性控制，场内河流切割较深。洪期都具有猛涨速落的动态特征，对地下水的补给、径流、排泄等有重要影响。小河沟为季节性溪流，其动态变化与大气降水密切相关，雨季水量充沛，水流湍急，祜期仅靠地下水维持其径流，流量极小。沿河道两侧切割幼年期横向“V”型溪沟发育，溪沟汇水均流入小河沟。子槽沟</w:t>
            </w:r>
            <w:r>
              <w:rPr>
                <w:rStyle w:val="30"/>
                <w:rFonts w:hint="default" w:ascii="Times New Roman" w:hAnsi="Times New Roman" w:cs="Times New Roman"/>
                <w:color w:val="auto"/>
                <w:sz w:val="24"/>
                <w:szCs w:val="24"/>
                <w:u w:val="none"/>
              </w:rPr>
              <w:t>河道全长10.794km，</w:t>
            </w:r>
            <w:r>
              <w:rPr>
                <w:rFonts w:hint="default" w:ascii="Times New Roman" w:hAnsi="Times New Roman" w:cs="Times New Roman"/>
                <w:color w:val="auto"/>
                <w:sz w:val="24"/>
                <w:szCs w:val="24"/>
              </w:rPr>
              <w:t>全流域集水面积为 14.1km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，暴雨季节水深约 3-5m。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kern w:val="0"/>
                <w:szCs w:val="21"/>
              </w:rPr>
            </w:pPr>
            <w:r>
              <w:rPr>
                <w:rStyle w:val="30"/>
                <w:rFonts w:hint="default" w:ascii="Times New Roman" w:hAnsi="Times New Roman" w:cs="Times New Roman"/>
                <w:color w:val="auto"/>
                <w:sz w:val="24"/>
                <w:szCs w:val="24"/>
                <w:u w:val="none"/>
              </w:rPr>
              <w:t>本次河道整治起点断面集水面积为10.2km</w:t>
            </w:r>
            <w:r>
              <w:rPr>
                <w:rStyle w:val="30"/>
                <w:rFonts w:hint="default" w:ascii="Times New Roman" w:hAnsi="Times New Roman" w:cs="Times New Roman"/>
                <w:color w:val="auto"/>
                <w:sz w:val="24"/>
                <w:szCs w:val="24"/>
                <w:u w:val="none"/>
                <w:vertAlign w:val="superscript"/>
              </w:rPr>
              <w:t>2</w:t>
            </w:r>
            <w:r>
              <w:rPr>
                <w:rStyle w:val="30"/>
                <w:rFonts w:hint="default" w:ascii="Times New Roman" w:hAnsi="Times New Roman" w:cs="Times New Roman"/>
                <w:color w:val="auto"/>
                <w:sz w:val="24"/>
                <w:szCs w:val="24"/>
                <w:u w:val="none"/>
              </w:rPr>
              <w:t>，河床比降5.9‰～18‰，河面宽平均约7m，河道两岸植被较好。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36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627" w:type="dxa"/>
            <w:noWrap w:val="0"/>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1、大气环境</w:t>
            </w:r>
          </w:p>
          <w:p>
            <w:pPr>
              <w:keepNext w:val="0"/>
              <w:keepLines w:val="0"/>
              <w:pageBreakBefore w:val="0"/>
              <w:kinsoku/>
              <w:wordWrap/>
              <w:overflowPunct/>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本项目厂界外500m范围内大气环境环境保护目标见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pPr>
              <w:keepNext w:val="0"/>
              <w:keepLines w:val="0"/>
              <w:pageBreakBefore w:val="0"/>
              <w:kinsoku/>
              <w:wordWrap/>
              <w:overflowPunct/>
              <w:topLinePunct w:val="0"/>
              <w:bidi w:val="0"/>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12</w:t>
            </w:r>
            <w:r>
              <w:rPr>
                <w:rFonts w:hint="default" w:ascii="Times New Roman" w:hAnsi="Times New Roman" w:eastAsia="黑体" w:cs="Times New Roman"/>
                <w:color w:val="auto"/>
                <w:szCs w:val="21"/>
                <w:highlight w:val="none"/>
              </w:rPr>
              <w:t xml:space="preserve"> 主要环境保护目标</w:t>
            </w:r>
          </w:p>
          <w:tbl>
            <w:tblPr>
              <w:tblStyle w:val="2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60"/>
              <w:gridCol w:w="990"/>
              <w:gridCol w:w="930"/>
              <w:gridCol w:w="1350"/>
              <w:gridCol w:w="1125"/>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序号</w:t>
                  </w:r>
                </w:p>
              </w:tc>
              <w:tc>
                <w:tcPr>
                  <w:tcW w:w="1292"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592"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55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距离/m</w:t>
                  </w:r>
                </w:p>
              </w:tc>
              <w:tc>
                <w:tcPr>
                  <w:tcW w:w="80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672"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6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达州市农业科学研究院</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北侧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52m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约102人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研究院</w:t>
                  </w:r>
                </w:p>
              </w:tc>
              <w:tc>
                <w:tcPr>
                  <w:tcW w:w="687" w:type="pct"/>
                  <w:vMerge w:val="restar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鸿鹄</w:t>
                  </w:r>
                  <w:r>
                    <w:rPr>
                      <w:rFonts w:hint="default" w:ascii="Times New Roman" w:hAnsi="Times New Roman" w:cs="Times New Roman"/>
                      <w:color w:val="auto"/>
                      <w:sz w:val="21"/>
                      <w:szCs w:val="21"/>
                      <w:lang w:val="en-US" w:eastAsia="zh-CN"/>
                    </w:rPr>
                    <w:t>高级中学</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北侧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347m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约10000人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学校</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达州中医药职业学校（西校区）</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35m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约5300人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学校</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达州职业技术学院（新校区）</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445</w:t>
                  </w:r>
                </w:p>
              </w:tc>
              <w:tc>
                <w:tcPr>
                  <w:tcW w:w="807" w:type="pct"/>
                  <w:vMerge w:val="restar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约17600人</w:t>
                  </w:r>
                </w:p>
              </w:tc>
              <w:tc>
                <w:tcPr>
                  <w:tcW w:w="672" w:type="pct"/>
                  <w:vMerge w:val="restar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学校</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达州职业技术学院（新校区）</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西南侧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54m</w:t>
                  </w:r>
                </w:p>
              </w:tc>
              <w:tc>
                <w:tcPr>
                  <w:tcW w:w="807" w:type="pct"/>
                  <w:vMerge w:val="continue"/>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p>
              </w:tc>
              <w:tc>
                <w:tcPr>
                  <w:tcW w:w="672" w:type="pct"/>
                  <w:vMerge w:val="continue"/>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达县职高</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南侧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约8400人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学校</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居民楼</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东南侧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48m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约1500人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住宅区</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pPr>
                    <w:keepNext w:val="0"/>
                    <w:keepLines w:val="0"/>
                    <w:pageBreakBefore w:val="0"/>
                    <w:kinsoku/>
                    <w:wordWrap/>
                    <w:overflowPunct/>
                    <w:topLinePunct w:val="0"/>
                    <w:bidi w:val="0"/>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12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w:t>
                  </w:r>
                </w:p>
              </w:tc>
              <w:tc>
                <w:tcPr>
                  <w:tcW w:w="592"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东侧</w:t>
                  </w:r>
                </w:p>
              </w:tc>
              <w:tc>
                <w:tcPr>
                  <w:tcW w:w="556"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281m</w:t>
                  </w:r>
                </w:p>
              </w:tc>
              <w:tc>
                <w:tcPr>
                  <w:tcW w:w="80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约10人</w:t>
                  </w:r>
                </w:p>
              </w:tc>
              <w:tc>
                <w:tcPr>
                  <w:tcW w:w="672" w:type="pct"/>
                  <w:noWrap w:val="0"/>
                  <w:vAlign w:val="center"/>
                </w:tcPr>
                <w:p>
                  <w:pPr>
                    <w:keepNext w:val="0"/>
                    <w:keepLines w:val="0"/>
                    <w:pageBreakBefore w:val="0"/>
                    <w:widowControl/>
                    <w:kinsoku/>
                    <w:wordWrap/>
                    <w:overflowPunct/>
                    <w:topLinePunct w:val="0"/>
                    <w:bidi w:val="0"/>
                    <w:adjustRightInd w:val="0"/>
                    <w:snapToGrid w:val="0"/>
                    <w:ind w:left="0" w:leftChars="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住宅区</w:t>
                  </w:r>
                </w:p>
              </w:tc>
              <w:tc>
                <w:tcPr>
                  <w:tcW w:w="6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2、声环境</w:t>
            </w:r>
          </w:p>
          <w:p>
            <w:pPr>
              <w:keepNext w:val="0"/>
              <w:keepLines w:val="0"/>
              <w:pageBreakBefore w:val="0"/>
              <w:kinsoku/>
              <w:wordWrap/>
              <w:overflowPunct/>
              <w:topLinePunct w:val="0"/>
              <w:bidi w:val="0"/>
              <w:spacing w:line="360" w:lineRule="auto"/>
              <w:ind w:right="0" w:firstLine="480" w:firstLineChars="200"/>
              <w:rPr>
                <w:rFonts w:hint="default" w:ascii="Times New Roman" w:hAnsi="Times New Roman" w:cs="Times New Roman"/>
                <w:color w:val="auto"/>
                <w:sz w:val="24"/>
                <w:szCs w:val="24"/>
                <w:highlight w:val="none"/>
              </w:rPr>
            </w:pPr>
            <w:r>
              <w:rPr>
                <w:color w:val="auto"/>
                <w:sz w:val="24"/>
                <w:szCs w:val="24"/>
              </w:rPr>
              <w:t>本项目厂界外50m范围内声环境保护目标</w:t>
            </w:r>
            <w:r>
              <w:rPr>
                <w:rFonts w:hint="eastAsia"/>
                <w:color w:val="auto"/>
                <w:sz w:val="24"/>
                <w:szCs w:val="24"/>
              </w:rPr>
              <w:t>见</w:t>
            </w:r>
            <w:r>
              <w:rPr>
                <w:rFonts w:hint="eastAsia"/>
                <w:color w:val="auto"/>
                <w:sz w:val="24"/>
                <w:szCs w:val="24"/>
                <w:lang w:val="en-US" w:eastAsia="zh-CN"/>
              </w:rPr>
              <w:t>下</w:t>
            </w:r>
            <w:r>
              <w:rPr>
                <w:rFonts w:hint="eastAsia"/>
                <w:color w:val="auto"/>
                <w:sz w:val="24"/>
                <w:szCs w:val="24"/>
              </w:rPr>
              <w:t>表</w:t>
            </w:r>
            <w:r>
              <w:rPr>
                <w:rFonts w:hint="eastAsia"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rPr>
            </w:pPr>
            <w:r>
              <w:rPr>
                <w:rFonts w:eastAsia="黑体"/>
                <w:color w:val="auto"/>
              </w:rPr>
              <w:t>表3-</w:t>
            </w:r>
            <w:r>
              <w:rPr>
                <w:rFonts w:hint="eastAsia" w:eastAsia="黑体"/>
                <w:color w:val="auto"/>
                <w:lang w:val="en-US" w:eastAsia="zh-CN"/>
              </w:rPr>
              <w:t>13</w:t>
            </w:r>
            <w:r>
              <w:rPr>
                <w:rFonts w:eastAsia="黑体"/>
                <w:color w:val="auto"/>
              </w:rPr>
              <w:t xml:space="preserve">  厂界外50m范围内声环境保护目标</w:t>
            </w:r>
          </w:p>
          <w:tbl>
            <w:tblPr>
              <w:tblStyle w:val="2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455"/>
              <w:gridCol w:w="825"/>
              <w:gridCol w:w="1050"/>
              <w:gridCol w:w="1300"/>
              <w:gridCol w:w="96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jc w:val="center"/>
                    <w:rPr>
                      <w:b/>
                      <w:bCs/>
                      <w:color w:val="auto"/>
                    </w:rPr>
                  </w:pPr>
                  <w:r>
                    <w:rPr>
                      <w:b/>
                      <w:bCs/>
                      <w:color w:val="auto"/>
                    </w:rPr>
                    <w:t>序号</w:t>
                  </w:r>
                </w:p>
              </w:tc>
              <w:tc>
                <w:tcPr>
                  <w:tcW w:w="870" w:type="pct"/>
                  <w:noWrap w:val="0"/>
                  <w:vAlign w:val="center"/>
                </w:tcPr>
                <w:p>
                  <w:pPr>
                    <w:jc w:val="center"/>
                    <w:rPr>
                      <w:b/>
                      <w:bCs/>
                      <w:color w:val="auto"/>
                    </w:rPr>
                  </w:pPr>
                  <w:r>
                    <w:rPr>
                      <w:b/>
                      <w:bCs/>
                      <w:color w:val="auto"/>
                    </w:rPr>
                    <w:t>保护对象</w:t>
                  </w:r>
                </w:p>
              </w:tc>
              <w:tc>
                <w:tcPr>
                  <w:tcW w:w="493" w:type="pct"/>
                  <w:noWrap w:val="0"/>
                  <w:vAlign w:val="center"/>
                </w:tcPr>
                <w:p>
                  <w:pPr>
                    <w:jc w:val="center"/>
                    <w:rPr>
                      <w:b/>
                      <w:bCs/>
                      <w:color w:val="auto"/>
                    </w:rPr>
                  </w:pPr>
                  <w:r>
                    <w:rPr>
                      <w:b/>
                      <w:bCs/>
                      <w:color w:val="auto"/>
                    </w:rPr>
                    <w:t>方位</w:t>
                  </w:r>
                </w:p>
              </w:tc>
              <w:tc>
                <w:tcPr>
                  <w:tcW w:w="628" w:type="pct"/>
                  <w:noWrap w:val="0"/>
                  <w:vAlign w:val="center"/>
                </w:tcPr>
                <w:p>
                  <w:pPr>
                    <w:jc w:val="center"/>
                    <w:rPr>
                      <w:b/>
                      <w:bCs/>
                      <w:color w:val="auto"/>
                    </w:rPr>
                  </w:pPr>
                  <w:r>
                    <w:rPr>
                      <w:b/>
                      <w:bCs/>
                      <w:color w:val="auto"/>
                    </w:rPr>
                    <w:t>距离</w:t>
                  </w:r>
                  <w:r>
                    <w:rPr>
                      <w:rFonts w:hint="eastAsia"/>
                      <w:b/>
                      <w:bCs/>
                      <w:color w:val="auto"/>
                    </w:rPr>
                    <w:t>/m</w:t>
                  </w:r>
                </w:p>
              </w:tc>
              <w:tc>
                <w:tcPr>
                  <w:tcW w:w="777" w:type="pct"/>
                  <w:noWrap w:val="0"/>
                  <w:vAlign w:val="center"/>
                </w:tcPr>
                <w:p>
                  <w:pPr>
                    <w:jc w:val="center"/>
                    <w:rPr>
                      <w:b/>
                      <w:bCs/>
                      <w:color w:val="auto"/>
                    </w:rPr>
                  </w:pPr>
                  <w:r>
                    <w:rPr>
                      <w:b/>
                      <w:bCs/>
                      <w:color w:val="auto"/>
                    </w:rPr>
                    <w:t>规模</w:t>
                  </w:r>
                </w:p>
              </w:tc>
              <w:tc>
                <w:tcPr>
                  <w:tcW w:w="576" w:type="pct"/>
                  <w:noWrap w:val="0"/>
                  <w:vAlign w:val="center"/>
                </w:tcPr>
                <w:p>
                  <w:pPr>
                    <w:jc w:val="center"/>
                    <w:rPr>
                      <w:b/>
                      <w:bCs/>
                      <w:color w:val="auto"/>
                    </w:rPr>
                  </w:pPr>
                  <w:r>
                    <w:rPr>
                      <w:b/>
                      <w:bCs/>
                      <w:color w:val="auto"/>
                    </w:rPr>
                    <w:t>性质</w:t>
                  </w:r>
                </w:p>
              </w:tc>
              <w:tc>
                <w:tcPr>
                  <w:tcW w:w="1199" w:type="pct"/>
                  <w:noWrap w:val="0"/>
                  <w:vAlign w:val="center"/>
                </w:tcPr>
                <w:p>
                  <w:pPr>
                    <w:jc w:val="center"/>
                    <w:rPr>
                      <w:b/>
                      <w:bCs/>
                      <w:color w:val="auto"/>
                    </w:rPr>
                  </w:pPr>
                  <w:r>
                    <w:rPr>
                      <w:b/>
                      <w:bCs/>
                      <w:color w:val="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jc w:val="center"/>
                    <w:rPr>
                      <w:color w:val="auto"/>
                    </w:rPr>
                  </w:pPr>
                  <w:r>
                    <w:rPr>
                      <w:color w:val="auto"/>
                    </w:rPr>
                    <w:t>1</w:t>
                  </w:r>
                </w:p>
              </w:tc>
              <w:tc>
                <w:tcPr>
                  <w:tcW w:w="870" w:type="pct"/>
                  <w:noWrap w:val="0"/>
                  <w:vAlign w:val="center"/>
                </w:tcPr>
                <w:p>
                  <w:pPr>
                    <w:autoSpaceDE w:val="0"/>
                    <w:autoSpaceDN w:val="0"/>
                    <w:adjustRightInd w:val="0"/>
                    <w:jc w:val="center"/>
                    <w:rPr>
                      <w:color w:val="auto"/>
                      <w:kern w:val="0"/>
                    </w:rPr>
                  </w:pPr>
                  <w:r>
                    <w:rPr>
                      <w:rFonts w:hint="default" w:ascii="Times New Roman" w:hAnsi="Times New Roman" w:eastAsia="宋体" w:cs="Times New Roman"/>
                      <w:b w:val="0"/>
                      <w:bCs w:val="0"/>
                      <w:color w:val="auto"/>
                      <w:sz w:val="21"/>
                      <w:szCs w:val="21"/>
                      <w:highlight w:val="none"/>
                      <w:lang w:val="en-US" w:eastAsia="zh-CN"/>
                    </w:rPr>
                    <w:t>居民楼</w:t>
                  </w:r>
                </w:p>
              </w:tc>
              <w:tc>
                <w:tcPr>
                  <w:tcW w:w="493"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东南侧</w:t>
                  </w:r>
                </w:p>
              </w:tc>
              <w:tc>
                <w:tcPr>
                  <w:tcW w:w="628"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48m</w:t>
                  </w:r>
                </w:p>
              </w:tc>
              <w:tc>
                <w:tcPr>
                  <w:tcW w:w="777"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约1500人</w:t>
                  </w:r>
                </w:p>
              </w:tc>
              <w:tc>
                <w:tcPr>
                  <w:tcW w:w="576" w:type="pct"/>
                  <w:noWrap w:val="0"/>
                  <w:vAlign w:val="center"/>
                </w:tcPr>
                <w:p>
                  <w:pPr>
                    <w:keepNext w:val="0"/>
                    <w:keepLines w:val="0"/>
                    <w:pageBreakBefore w:val="0"/>
                    <w:widowControl/>
                    <w:kinsoku/>
                    <w:wordWrap/>
                    <w:overflowPunct/>
                    <w:topLinePunct w:val="0"/>
                    <w:bidi w:val="0"/>
                    <w:adjustRightInd w:val="0"/>
                    <w:snapToGrid w:val="0"/>
                    <w:ind w:left="0" w:leftChars="0" w:right="0" w:right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住宅区</w:t>
                  </w:r>
                </w:p>
              </w:tc>
              <w:tc>
                <w:tcPr>
                  <w:tcW w:w="1199" w:type="pct"/>
                  <w:noWrap w:val="0"/>
                  <w:vAlign w:val="center"/>
                </w:tcPr>
                <w:p>
                  <w:pPr>
                    <w:jc w:val="center"/>
                    <w:rPr>
                      <w:color w:val="auto"/>
                    </w:rPr>
                  </w:pPr>
                  <w:r>
                    <w:rPr>
                      <w:color w:val="auto"/>
                    </w:rPr>
                    <w:t>《声环境质量标准》（GB3096-2008）2类标准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right="0" w:rightChars="0" w:firstLine="482" w:firstLineChars="200"/>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水环境</w:t>
            </w:r>
            <w:r>
              <w:rPr>
                <w:rFonts w:hint="default" w:ascii="Times New Roman" w:hAnsi="Times New Roman" w:cs="Times New Roman"/>
                <w:b/>
                <w:color w:val="auto"/>
                <w:sz w:val="24"/>
                <w:szCs w:val="24"/>
                <w:highlight w:val="none"/>
                <w:lang w:val="en-US" w:eastAsia="zh-CN"/>
              </w:rPr>
              <w:t>主要环境保护目标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本项目水环境保护目标见下表。</w:t>
            </w:r>
          </w:p>
          <w:p>
            <w:pPr>
              <w:keepNext w:val="0"/>
              <w:keepLines w:val="0"/>
              <w:pageBreakBefore w:val="0"/>
              <w:kinsoku/>
              <w:wordWrap/>
              <w:overflowPunct/>
              <w:topLinePunct w:val="0"/>
              <w:bidi w:val="0"/>
              <w:spacing w:line="360" w:lineRule="auto"/>
              <w:ind w:left="0" w:leftChars="0" w:right="0"/>
              <w:jc w:val="center"/>
              <w:rPr>
                <w:rFonts w:hint="default" w:ascii="Times New Roman" w:hAnsi="Times New Roman" w:eastAsia="黑体" w:cs="Times New Roman"/>
                <w:color w:val="auto"/>
                <w:szCs w:val="21"/>
                <w:highlight w:val="none"/>
                <w:lang w:val="en-US"/>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14</w:t>
            </w:r>
            <w:r>
              <w:rPr>
                <w:rFonts w:hint="default" w:ascii="Times New Roman" w:hAnsi="Times New Roman" w:eastAsia="黑体" w:cs="Times New Roman"/>
                <w:color w:val="auto"/>
                <w:szCs w:val="21"/>
                <w:highlight w:val="none"/>
              </w:rPr>
              <w:t xml:space="preserve">  运营期</w:t>
            </w:r>
            <w:r>
              <w:rPr>
                <w:rFonts w:hint="default" w:ascii="Times New Roman" w:hAnsi="Times New Roman" w:eastAsia="黑体" w:cs="Times New Roman"/>
                <w:color w:val="auto"/>
                <w:szCs w:val="21"/>
                <w:highlight w:val="none"/>
                <w:lang w:val="en-US" w:eastAsia="zh-CN"/>
              </w:rPr>
              <w:t>水环境保护目标</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912"/>
              <w:gridCol w:w="2034"/>
              <w:gridCol w:w="806"/>
              <w:gridCol w:w="65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环境要素</w:t>
                  </w:r>
                </w:p>
              </w:tc>
              <w:tc>
                <w:tcPr>
                  <w:tcW w:w="543"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名称</w:t>
                  </w:r>
                </w:p>
              </w:tc>
              <w:tc>
                <w:tcPr>
                  <w:tcW w:w="121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方位</w:t>
                  </w:r>
                </w:p>
              </w:tc>
              <w:tc>
                <w:tcPr>
                  <w:tcW w:w="479"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距离</w:t>
                  </w:r>
                </w:p>
              </w:tc>
              <w:tc>
                <w:tcPr>
                  <w:tcW w:w="3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规模</w:t>
                  </w:r>
                </w:p>
              </w:tc>
              <w:tc>
                <w:tcPr>
                  <w:tcW w:w="1798"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restar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地表水</w:t>
                  </w:r>
                </w:p>
              </w:tc>
              <w:tc>
                <w:tcPr>
                  <w:tcW w:w="543"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州河</w:t>
                  </w:r>
                </w:p>
              </w:tc>
              <w:tc>
                <w:tcPr>
                  <w:tcW w:w="121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479"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730m</w:t>
                  </w:r>
                </w:p>
              </w:tc>
              <w:tc>
                <w:tcPr>
                  <w:tcW w:w="3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大</w:t>
                  </w:r>
                  <w:r>
                    <w:rPr>
                      <w:rFonts w:hint="default" w:ascii="Times New Roman" w:hAnsi="Times New Roman" w:cs="Times New Roman"/>
                      <w:color w:val="auto"/>
                      <w:szCs w:val="21"/>
                      <w:highlight w:val="none"/>
                      <w:lang w:val="en-US" w:eastAsia="zh-CN"/>
                    </w:rPr>
                    <w:t>河</w:t>
                  </w:r>
                </w:p>
              </w:tc>
              <w:tc>
                <w:tcPr>
                  <w:tcW w:w="1798"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《地表水环境质量标准》（GB3838-2002）Ⅲ类</w:t>
                  </w:r>
                  <w:r>
                    <w:rPr>
                      <w:rFonts w:hint="default" w:ascii="Times New Roman" w:hAnsi="Times New Roman" w:cs="Times New Roman"/>
                      <w:color w:val="auto"/>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lang w:val="en-US" w:eastAsia="zh-CN"/>
                    </w:rPr>
                  </w:pPr>
                </w:p>
              </w:tc>
              <w:tc>
                <w:tcPr>
                  <w:tcW w:w="543"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子槽沟</w:t>
                  </w:r>
                </w:p>
              </w:tc>
              <w:tc>
                <w:tcPr>
                  <w:tcW w:w="1211" w:type="pct"/>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从北向南穿过本项目地块</w:t>
                  </w:r>
                </w:p>
              </w:tc>
              <w:tc>
                <w:tcPr>
                  <w:tcW w:w="479"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87" w:type="pct"/>
                  <w:noWrap w:val="0"/>
                  <w:vAlign w:val="center"/>
                </w:tcPr>
                <w:p>
                  <w:pPr>
                    <w:keepNext w:val="0"/>
                    <w:keepLines w:val="0"/>
                    <w:pageBreakBefore w:val="0"/>
                    <w:kinsoku/>
                    <w:wordWrap/>
                    <w:overflowPunct/>
                    <w:topLinePunct w:val="0"/>
                    <w:bidi w:val="0"/>
                    <w:ind w:left="0" w:leftChars="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小河</w:t>
                  </w:r>
                </w:p>
              </w:tc>
              <w:tc>
                <w:tcPr>
                  <w:tcW w:w="1798"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《地表水环境质量标准》（GB3838-2002）Ⅲ类</w:t>
                  </w:r>
                  <w:r>
                    <w:rPr>
                      <w:rFonts w:hint="default" w:ascii="Times New Roman" w:hAnsi="Times New Roman" w:cs="Times New Roman"/>
                      <w:color w:val="auto"/>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地下水</w:t>
                  </w:r>
                </w:p>
              </w:tc>
              <w:tc>
                <w:tcPr>
                  <w:tcW w:w="2621" w:type="pct"/>
                  <w:gridSpan w:val="4"/>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厂界外500m范围内无地下水集中式饮用水水源和热水、矿泉水、温泉等特殊地下水资源</w:t>
                  </w:r>
                </w:p>
              </w:tc>
              <w:tc>
                <w:tcPr>
                  <w:tcW w:w="1798"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《地下水质量标准》（GB/T14848-2017）中III类标准</w:t>
                  </w:r>
                </w:p>
              </w:tc>
            </w:tr>
          </w:tbl>
          <w:p>
            <w:pPr>
              <w:keepNext w:val="0"/>
              <w:keepLines w:val="0"/>
              <w:pageBreakBefore w:val="0"/>
              <w:kinsoku/>
              <w:wordWrap/>
              <w:overflowPunct/>
              <w:topLinePunct w:val="0"/>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生态环境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eastAsia="宋体" w:cs="Times New Roman"/>
                <w:color w:val="000000"/>
                <w:kern w:val="0"/>
                <w:sz w:val="24"/>
                <w:szCs w:val="24"/>
                <w:lang w:val="en-US" w:eastAsia="zh-CN" w:bidi="ar"/>
              </w:rPr>
              <w:t>本项目</w:t>
            </w:r>
            <w:r>
              <w:rPr>
                <w:rFonts w:hint="default" w:ascii="Times New Roman" w:hAnsi="Times New Roman" w:eastAsia="宋体" w:cs="Times New Roman"/>
                <w:color w:val="000000"/>
                <w:kern w:val="0"/>
                <w:sz w:val="24"/>
                <w:szCs w:val="24"/>
                <w:lang w:val="en-US" w:eastAsia="zh-CN" w:bidi="ar"/>
              </w:rPr>
              <w:t>用地不涉及自然保护区、风景名胜区、森林公园等生态敏感区，不在</w:t>
            </w:r>
            <w:r>
              <w:rPr>
                <w:rFonts w:hint="eastAsia" w:ascii="Times New Roman" w:hAnsi="Times New Roman" w:eastAsia="宋体" w:cs="Times New Roman"/>
                <w:color w:val="000000"/>
                <w:kern w:val="0"/>
                <w:sz w:val="24"/>
                <w:szCs w:val="24"/>
                <w:lang w:val="en-US" w:eastAsia="zh-CN" w:bidi="ar"/>
              </w:rPr>
              <w:t>通川区</w:t>
            </w:r>
            <w:r>
              <w:rPr>
                <w:rFonts w:hint="default" w:ascii="Times New Roman" w:hAnsi="Times New Roman" w:eastAsia="宋体" w:cs="Times New Roman"/>
                <w:color w:val="000000"/>
                <w:kern w:val="0"/>
                <w:sz w:val="24"/>
                <w:szCs w:val="24"/>
                <w:lang w:val="en-US" w:eastAsia="zh-CN" w:bidi="ar"/>
              </w:rPr>
              <w:t>生态保护红线范围内，也不涉及珍稀保护动植物及古树名木。</w:t>
            </w:r>
            <w:r>
              <w:rPr>
                <w:rFonts w:hint="eastAsia" w:ascii="宋体" w:hAnsi="宋体" w:eastAsia="宋体" w:cs="宋体"/>
                <w:color w:val="000000"/>
                <w:kern w:val="0"/>
                <w:sz w:val="24"/>
                <w:szCs w:val="24"/>
                <w:lang w:val="en-US" w:eastAsia="zh-CN" w:bidi="ar"/>
              </w:rPr>
              <w:t>根据调查，项目涉及子槽沟河段</w:t>
            </w:r>
            <w:r>
              <w:rPr>
                <w:rFonts w:hint="eastAsia" w:ascii="Times New Roman" w:hAnsi="Times New Roman" w:eastAsia="宋体" w:cs="Times New Roman"/>
                <w:color w:val="000000"/>
                <w:sz w:val="24"/>
                <w:szCs w:val="24"/>
                <w:lang w:val="en-US" w:eastAsia="zh-CN"/>
              </w:rPr>
              <w:t>无</w:t>
            </w:r>
            <w:r>
              <w:rPr>
                <w:rFonts w:hint="eastAsia" w:ascii="Times New Roman" w:hAnsi="Times New Roman" w:eastAsia="宋体" w:cs="Times New Roman"/>
                <w:color w:val="000000"/>
                <w:sz w:val="24"/>
                <w:szCs w:val="24"/>
              </w:rPr>
              <w:t>珍稀水生物敏感区、鱼类三场（越冬场、产卵场</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索饵场）天然集中分布区</w:t>
            </w:r>
            <w:r>
              <w:rPr>
                <w:rFonts w:hint="eastAsia" w:ascii="Times New Roman" w:hAnsi="Times New Roman" w:eastAsia="宋体" w:cs="Times New Roman"/>
                <w:color w:val="000000"/>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363"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627"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施工期扬尘执行《四川省施工场地扬尘排放标准》（DB51/2682-2020），</w:t>
            </w:r>
            <w:r>
              <w:rPr>
                <w:rFonts w:hint="eastAsia" w:cs="Times New Roman"/>
                <w:sz w:val="24"/>
                <w:szCs w:val="24"/>
              </w:rPr>
              <w:t>运营期无废气排放。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15</w:t>
            </w:r>
            <w:r>
              <w:rPr>
                <w:rFonts w:hint="default" w:ascii="Times New Roman" w:hAnsi="Times New Roman" w:eastAsia="黑体" w:cs="Times New Roman"/>
                <w:color w:val="auto"/>
                <w:szCs w:val="21"/>
                <w:highlight w:val="none"/>
              </w:rPr>
              <w:t xml:space="preserve">  施工场地扬尘排放限值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96"/>
              <w:gridCol w:w="2881"/>
              <w:gridCol w:w="2423"/>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71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713"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施工阶段</w:t>
                  </w:r>
                </w:p>
              </w:tc>
              <w:tc>
                <w:tcPr>
                  <w:tcW w:w="144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监测点排放限值（mg/m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744"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11" w:type="pct"/>
                  <w:vMerge w:val="restar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总悬浮颗粒物（TSP）</w:t>
                  </w:r>
                </w:p>
              </w:tc>
              <w:tc>
                <w:tcPr>
                  <w:tcW w:w="1713"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拆除过程/土方开挖/土方回填</w:t>
                  </w:r>
                </w:p>
              </w:tc>
              <w:tc>
                <w:tcPr>
                  <w:tcW w:w="144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0.600</w:t>
                  </w:r>
                </w:p>
              </w:tc>
              <w:tc>
                <w:tcPr>
                  <w:tcW w:w="744" w:type="pct"/>
                  <w:vMerge w:val="restar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自监测起持续15min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p>
              </w:tc>
              <w:tc>
                <w:tcPr>
                  <w:tcW w:w="711"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p>
              </w:tc>
              <w:tc>
                <w:tcPr>
                  <w:tcW w:w="1713"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其他过程阶段</w:t>
                  </w:r>
                </w:p>
              </w:tc>
              <w:tc>
                <w:tcPr>
                  <w:tcW w:w="1441"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0.250</w:t>
                  </w:r>
                </w:p>
              </w:tc>
              <w:tc>
                <w:tcPr>
                  <w:tcW w:w="744" w:type="pct"/>
                  <w:vMerge w:val="continue"/>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sz w:val="24"/>
                <w:szCs w:val="24"/>
              </w:rPr>
            </w:pPr>
            <w:r>
              <w:rPr>
                <w:rFonts w:hint="eastAsia"/>
                <w:sz w:val="24"/>
                <w:szCs w:val="24"/>
              </w:rPr>
              <w:t>项目营运期VOCs执行《四川省固定污染源大气挥发性有机物排放标准》（DB51/2377-2017）中</w:t>
            </w:r>
            <w:r>
              <w:rPr>
                <w:rFonts w:hint="eastAsia"/>
                <w:sz w:val="24"/>
                <w:szCs w:val="24"/>
                <w:lang w:val="en-US" w:eastAsia="zh-CN"/>
              </w:rPr>
              <w:t>表3</w:t>
            </w:r>
            <w:r>
              <w:rPr>
                <w:rFonts w:hint="eastAsia"/>
                <w:sz w:val="24"/>
                <w:szCs w:val="24"/>
              </w:rPr>
              <w:t>“涉及有机溶剂生产和使用的其他行业”</w:t>
            </w:r>
            <w:r>
              <w:rPr>
                <w:rFonts w:hint="eastAsia"/>
                <w:sz w:val="24"/>
                <w:szCs w:val="24"/>
                <w:lang w:val="en-US" w:eastAsia="zh-CN"/>
              </w:rPr>
              <w:t>和表5</w:t>
            </w:r>
            <w:r>
              <w:rPr>
                <w:rFonts w:hint="eastAsia"/>
                <w:sz w:val="24"/>
                <w:szCs w:val="24"/>
              </w:rPr>
              <w:t>挥发性有机物排放标准执行</w:t>
            </w:r>
            <w:r>
              <w:rPr>
                <w:rFonts w:hint="eastAsia"/>
                <w:sz w:val="24"/>
                <w:szCs w:val="24"/>
                <w:lang w:eastAsia="zh-CN"/>
              </w:rPr>
              <w:t>。</w:t>
            </w:r>
            <w:r>
              <w:rPr>
                <w:rFonts w:hint="eastAsia"/>
                <w:sz w:val="24"/>
                <w:szCs w:val="24"/>
                <w:lang w:val="en-US" w:eastAsia="zh-CN"/>
              </w:rPr>
              <w:t>食堂油烟执行《饮食业油烟排放标准（试行）》（GB18483-2001）表2最高允许排放浓度。</w:t>
            </w:r>
            <w:r>
              <w:rPr>
                <w:rFonts w:hint="eastAsia"/>
                <w:sz w:val="24"/>
                <w:szCs w:val="24"/>
              </w:rPr>
              <w:t>具体见下表。</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黑体" w:cs="Times New Roman"/>
                <w:b w:val="0"/>
                <w:color w:val="auto"/>
                <w:kern w:val="2"/>
                <w:sz w:val="21"/>
                <w:szCs w:val="21"/>
                <w:highlight w:val="none"/>
                <w:lang w:val="en-US" w:eastAsia="zh-CN" w:bidi="ar-SA"/>
              </w:rPr>
            </w:pPr>
            <w:r>
              <w:rPr>
                <w:rFonts w:hint="eastAsia" w:ascii="Times New Roman" w:hAnsi="Times New Roman" w:eastAsia="黑体" w:cs="Times New Roman"/>
                <w:b w:val="0"/>
                <w:color w:val="auto"/>
                <w:kern w:val="2"/>
                <w:sz w:val="21"/>
                <w:szCs w:val="21"/>
                <w:highlight w:val="none"/>
                <w:lang w:val="en-US" w:eastAsia="zh-CN" w:bidi="ar-SA"/>
              </w:rPr>
              <w:t>表3-16   《四川省固定污染源大气挥发性有机物排放标准》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3"/>
              <w:gridCol w:w="1259"/>
              <w:gridCol w:w="1320"/>
              <w:gridCol w:w="1425"/>
              <w:gridCol w:w="1485"/>
              <w:gridCol w:w="13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03" w:type="dxa"/>
                  <w:tcBorders>
                    <w:tl2br w:val="nil"/>
                    <w:tr2bl w:val="nil"/>
                  </w:tcBorders>
                  <w:noWrap w:val="0"/>
                  <w:vAlign w:val="top"/>
                </w:tcPr>
                <w:p>
                  <w:pPr>
                    <w:pStyle w:val="59"/>
                    <w:snapToGrid w:val="0"/>
                    <w:spacing w:line="300" w:lineRule="auto"/>
                    <w:ind w:left="0"/>
                    <w:jc w:val="center"/>
                    <w:rPr>
                      <w:b/>
                      <w:bCs/>
                      <w:sz w:val="21"/>
                      <w:szCs w:val="21"/>
                    </w:rPr>
                  </w:pPr>
                  <w:r>
                    <w:rPr>
                      <w:b/>
                      <w:bCs/>
                      <w:sz w:val="21"/>
                      <w:szCs w:val="21"/>
                    </w:rPr>
                    <w:t>污染物名称</w:t>
                  </w:r>
                </w:p>
              </w:tc>
              <w:tc>
                <w:tcPr>
                  <w:tcW w:w="1259" w:type="dxa"/>
                  <w:tcBorders>
                    <w:tl2br w:val="nil"/>
                    <w:tr2bl w:val="nil"/>
                  </w:tcBorders>
                  <w:noWrap w:val="0"/>
                  <w:vAlign w:val="top"/>
                </w:tcPr>
                <w:p>
                  <w:pPr>
                    <w:pStyle w:val="59"/>
                    <w:snapToGrid w:val="0"/>
                    <w:spacing w:line="300" w:lineRule="auto"/>
                    <w:ind w:left="0"/>
                    <w:jc w:val="center"/>
                    <w:rPr>
                      <w:b/>
                      <w:bCs/>
                      <w:sz w:val="21"/>
                      <w:szCs w:val="21"/>
                    </w:rPr>
                  </w:pPr>
                  <w:r>
                    <w:rPr>
                      <w:b/>
                      <w:bCs/>
                      <w:sz w:val="21"/>
                      <w:szCs w:val="21"/>
                    </w:rPr>
                    <w:t>最高允许排放浓度</w:t>
                  </w:r>
                </w:p>
              </w:tc>
              <w:tc>
                <w:tcPr>
                  <w:tcW w:w="1320" w:type="dxa"/>
                  <w:tcBorders>
                    <w:tl2br w:val="nil"/>
                    <w:tr2bl w:val="nil"/>
                  </w:tcBorders>
                  <w:noWrap w:val="0"/>
                  <w:vAlign w:val="top"/>
                </w:tcPr>
                <w:p>
                  <w:pPr>
                    <w:pStyle w:val="59"/>
                    <w:snapToGrid w:val="0"/>
                    <w:spacing w:line="300" w:lineRule="auto"/>
                    <w:ind w:left="0"/>
                    <w:jc w:val="center"/>
                    <w:rPr>
                      <w:b/>
                      <w:bCs/>
                      <w:sz w:val="21"/>
                      <w:szCs w:val="21"/>
                    </w:rPr>
                  </w:pPr>
                  <w:r>
                    <w:rPr>
                      <w:b/>
                      <w:bCs/>
                      <w:sz w:val="21"/>
                      <w:szCs w:val="21"/>
                    </w:rPr>
                    <w:t>排气筒高度</w:t>
                  </w:r>
                </w:p>
              </w:tc>
              <w:tc>
                <w:tcPr>
                  <w:tcW w:w="1425" w:type="dxa"/>
                  <w:tcBorders>
                    <w:tl2br w:val="nil"/>
                    <w:tr2bl w:val="nil"/>
                  </w:tcBorders>
                  <w:noWrap w:val="0"/>
                  <w:vAlign w:val="top"/>
                </w:tcPr>
                <w:p>
                  <w:pPr>
                    <w:pStyle w:val="59"/>
                    <w:snapToGrid w:val="0"/>
                    <w:spacing w:line="300" w:lineRule="auto"/>
                    <w:ind w:left="0"/>
                    <w:jc w:val="center"/>
                    <w:rPr>
                      <w:b/>
                      <w:bCs/>
                      <w:sz w:val="21"/>
                      <w:szCs w:val="21"/>
                    </w:rPr>
                  </w:pPr>
                  <w:r>
                    <w:rPr>
                      <w:b/>
                      <w:bCs/>
                      <w:sz w:val="21"/>
                      <w:szCs w:val="21"/>
                    </w:rPr>
                    <w:t>最高允许排放速率</w:t>
                  </w:r>
                </w:p>
              </w:tc>
              <w:tc>
                <w:tcPr>
                  <w:tcW w:w="1485" w:type="dxa"/>
                  <w:tcBorders>
                    <w:tl2br w:val="nil"/>
                    <w:tr2bl w:val="nil"/>
                  </w:tcBorders>
                  <w:noWrap w:val="0"/>
                  <w:vAlign w:val="top"/>
                </w:tcPr>
                <w:p>
                  <w:pPr>
                    <w:pStyle w:val="59"/>
                    <w:snapToGrid w:val="0"/>
                    <w:spacing w:line="300" w:lineRule="auto"/>
                    <w:ind w:left="0"/>
                    <w:jc w:val="center"/>
                    <w:rPr>
                      <w:b/>
                      <w:bCs/>
                      <w:sz w:val="21"/>
                      <w:szCs w:val="21"/>
                    </w:rPr>
                  </w:pPr>
                  <w:r>
                    <w:rPr>
                      <w:b/>
                      <w:bCs/>
                      <w:sz w:val="21"/>
                      <w:szCs w:val="21"/>
                    </w:rPr>
                    <w:t>最低去除效率</w:t>
                  </w:r>
                </w:p>
              </w:tc>
              <w:tc>
                <w:tcPr>
                  <w:tcW w:w="1392" w:type="dxa"/>
                  <w:tcBorders>
                    <w:tl2br w:val="nil"/>
                    <w:tr2bl w:val="nil"/>
                  </w:tcBorders>
                  <w:noWrap w:val="0"/>
                  <w:vAlign w:val="top"/>
                </w:tcPr>
                <w:p>
                  <w:pPr>
                    <w:pStyle w:val="59"/>
                    <w:snapToGrid w:val="0"/>
                    <w:spacing w:line="300" w:lineRule="auto"/>
                    <w:ind w:left="0"/>
                    <w:jc w:val="center"/>
                    <w:rPr>
                      <w:rFonts w:hint="default" w:eastAsia="宋体"/>
                      <w:b/>
                      <w:bCs/>
                      <w:sz w:val="21"/>
                      <w:szCs w:val="21"/>
                      <w:lang w:val="en-US" w:eastAsia="zh-CN"/>
                    </w:rPr>
                  </w:pPr>
                  <w:r>
                    <w:rPr>
                      <w:rFonts w:hint="eastAsia"/>
                      <w:b/>
                      <w:bCs/>
                      <w:sz w:val="21"/>
                      <w:szCs w:val="21"/>
                      <w:lang w:val="en-US" w:eastAsia="zh-CN"/>
                    </w:rPr>
                    <w:t>无组织排放浓度限值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03" w:type="dxa"/>
                  <w:vMerge w:val="restart"/>
                  <w:tcBorders>
                    <w:tl2br w:val="nil"/>
                    <w:tr2bl w:val="nil"/>
                  </w:tcBorders>
                  <w:noWrap w:val="0"/>
                  <w:vAlign w:val="center"/>
                </w:tcPr>
                <w:p>
                  <w:pPr>
                    <w:pStyle w:val="59"/>
                    <w:snapToGrid w:val="0"/>
                    <w:spacing w:line="300" w:lineRule="auto"/>
                    <w:ind w:left="0"/>
                    <w:jc w:val="center"/>
                    <w:rPr>
                      <w:b w:val="0"/>
                      <w:sz w:val="21"/>
                      <w:szCs w:val="21"/>
                      <w:vertAlign w:val="subscript"/>
                    </w:rPr>
                  </w:pPr>
                  <w:r>
                    <w:rPr>
                      <w:rFonts w:hint="eastAsia"/>
                      <w:b w:val="0"/>
                      <w:sz w:val="21"/>
                      <w:szCs w:val="21"/>
                    </w:rPr>
                    <w:t>VOC</w:t>
                  </w:r>
                  <w:r>
                    <w:rPr>
                      <w:rFonts w:hint="eastAsia"/>
                      <w:b w:val="0"/>
                      <w:sz w:val="21"/>
                      <w:szCs w:val="21"/>
                      <w:vertAlign w:val="subscript"/>
                    </w:rPr>
                    <w:t>S</w:t>
                  </w:r>
                </w:p>
              </w:tc>
              <w:tc>
                <w:tcPr>
                  <w:tcW w:w="1259" w:type="dxa"/>
                  <w:vMerge w:val="restart"/>
                  <w:tcBorders>
                    <w:tl2br w:val="nil"/>
                    <w:tr2bl w:val="nil"/>
                  </w:tcBorders>
                  <w:noWrap w:val="0"/>
                  <w:vAlign w:val="center"/>
                </w:tcPr>
                <w:p>
                  <w:pPr>
                    <w:pStyle w:val="59"/>
                    <w:snapToGrid w:val="0"/>
                    <w:spacing w:line="300" w:lineRule="auto"/>
                    <w:ind w:left="0"/>
                    <w:jc w:val="center"/>
                    <w:rPr>
                      <w:b w:val="0"/>
                      <w:sz w:val="21"/>
                      <w:szCs w:val="21"/>
                      <w:vertAlign w:val="superscript"/>
                    </w:rPr>
                  </w:pPr>
                  <w:r>
                    <w:rPr>
                      <w:rFonts w:hint="eastAsia"/>
                      <w:b w:val="0"/>
                      <w:sz w:val="21"/>
                      <w:szCs w:val="21"/>
                    </w:rPr>
                    <w:t>60mg/m</w:t>
                  </w:r>
                  <w:r>
                    <w:rPr>
                      <w:rFonts w:hint="eastAsia"/>
                      <w:b w:val="0"/>
                      <w:sz w:val="21"/>
                      <w:szCs w:val="21"/>
                      <w:vertAlign w:val="superscript"/>
                    </w:rPr>
                    <w:t>3</w:t>
                  </w:r>
                </w:p>
              </w:tc>
              <w:tc>
                <w:tcPr>
                  <w:tcW w:w="1320"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15m</w:t>
                  </w:r>
                </w:p>
              </w:tc>
              <w:tc>
                <w:tcPr>
                  <w:tcW w:w="1425"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3.4kg/h</w:t>
                  </w:r>
                </w:p>
              </w:tc>
              <w:tc>
                <w:tcPr>
                  <w:tcW w:w="1485" w:type="dxa"/>
                  <w:vMerge w:val="restart"/>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80%</w:t>
                  </w:r>
                </w:p>
              </w:tc>
              <w:tc>
                <w:tcPr>
                  <w:tcW w:w="1392" w:type="dxa"/>
                  <w:vMerge w:val="restart"/>
                  <w:tcBorders>
                    <w:tl2br w:val="nil"/>
                    <w:tr2bl w:val="nil"/>
                  </w:tcBorders>
                  <w:noWrap w:val="0"/>
                  <w:vAlign w:val="center"/>
                </w:tcPr>
                <w:p>
                  <w:pPr>
                    <w:pStyle w:val="59"/>
                    <w:snapToGrid w:val="0"/>
                    <w:spacing w:line="300" w:lineRule="auto"/>
                    <w:ind w:left="0"/>
                    <w:jc w:val="center"/>
                    <w:rPr>
                      <w:rFonts w:hint="default" w:eastAsia="宋体"/>
                      <w:b w:val="0"/>
                      <w:sz w:val="21"/>
                      <w:szCs w:val="21"/>
                      <w:vertAlign w:val="superscript"/>
                      <w:lang w:val="en-US" w:eastAsia="zh-CN"/>
                    </w:rPr>
                  </w:pPr>
                  <w:r>
                    <w:rPr>
                      <w:rFonts w:hint="eastAsia"/>
                      <w:b w:val="0"/>
                      <w:sz w:val="21"/>
                      <w:szCs w:val="21"/>
                      <w:lang w:val="en-US" w:eastAsia="zh-CN"/>
                    </w:rPr>
                    <w:t>2.0mg/m</w:t>
                  </w:r>
                  <w:r>
                    <w:rPr>
                      <w:rFonts w:hint="eastAsia"/>
                      <w:b w:val="0"/>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03"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259"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20"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20m</w:t>
                  </w:r>
                </w:p>
              </w:tc>
              <w:tc>
                <w:tcPr>
                  <w:tcW w:w="1425"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6.8kg/h</w:t>
                  </w:r>
                </w:p>
              </w:tc>
              <w:tc>
                <w:tcPr>
                  <w:tcW w:w="1485"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92" w:type="dxa"/>
                  <w:vMerge w:val="continue"/>
                  <w:tcBorders>
                    <w:tl2br w:val="nil"/>
                    <w:tr2bl w:val="nil"/>
                  </w:tcBorders>
                  <w:noWrap w:val="0"/>
                  <w:vAlign w:val="center"/>
                </w:tcPr>
                <w:p>
                  <w:pPr>
                    <w:pStyle w:val="59"/>
                    <w:snapToGrid w:val="0"/>
                    <w:spacing w:line="300" w:lineRule="auto"/>
                    <w:ind w:left="0"/>
                    <w:jc w:val="center"/>
                    <w:rPr>
                      <w:b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03"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259"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20"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30m</w:t>
                  </w:r>
                </w:p>
              </w:tc>
              <w:tc>
                <w:tcPr>
                  <w:tcW w:w="1425"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20kg/h</w:t>
                  </w:r>
                </w:p>
              </w:tc>
              <w:tc>
                <w:tcPr>
                  <w:tcW w:w="1485"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92" w:type="dxa"/>
                  <w:vMerge w:val="continue"/>
                  <w:tcBorders>
                    <w:tl2br w:val="nil"/>
                    <w:tr2bl w:val="nil"/>
                  </w:tcBorders>
                  <w:noWrap w:val="0"/>
                  <w:vAlign w:val="center"/>
                </w:tcPr>
                <w:p>
                  <w:pPr>
                    <w:pStyle w:val="59"/>
                    <w:snapToGrid w:val="0"/>
                    <w:spacing w:line="300" w:lineRule="auto"/>
                    <w:ind w:left="0"/>
                    <w:jc w:val="center"/>
                    <w:rPr>
                      <w:b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03"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259"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20"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40m</w:t>
                  </w:r>
                </w:p>
              </w:tc>
              <w:tc>
                <w:tcPr>
                  <w:tcW w:w="1425" w:type="dxa"/>
                  <w:tcBorders>
                    <w:tl2br w:val="nil"/>
                    <w:tr2bl w:val="nil"/>
                  </w:tcBorders>
                  <w:noWrap w:val="0"/>
                  <w:vAlign w:val="center"/>
                </w:tcPr>
                <w:p>
                  <w:pPr>
                    <w:pStyle w:val="59"/>
                    <w:snapToGrid w:val="0"/>
                    <w:spacing w:line="300" w:lineRule="auto"/>
                    <w:ind w:left="0"/>
                    <w:jc w:val="center"/>
                    <w:rPr>
                      <w:b w:val="0"/>
                      <w:sz w:val="21"/>
                      <w:szCs w:val="21"/>
                    </w:rPr>
                  </w:pPr>
                  <w:r>
                    <w:rPr>
                      <w:rFonts w:hint="eastAsia"/>
                      <w:b w:val="0"/>
                      <w:sz w:val="21"/>
                      <w:szCs w:val="21"/>
                    </w:rPr>
                    <w:t>36kg/h</w:t>
                  </w:r>
                </w:p>
              </w:tc>
              <w:tc>
                <w:tcPr>
                  <w:tcW w:w="1485" w:type="dxa"/>
                  <w:vMerge w:val="continue"/>
                  <w:tcBorders>
                    <w:tl2br w:val="nil"/>
                    <w:tr2bl w:val="nil"/>
                  </w:tcBorders>
                  <w:noWrap w:val="0"/>
                  <w:vAlign w:val="center"/>
                </w:tcPr>
                <w:p>
                  <w:pPr>
                    <w:pStyle w:val="59"/>
                    <w:snapToGrid w:val="0"/>
                    <w:spacing w:line="300" w:lineRule="auto"/>
                    <w:ind w:left="0"/>
                    <w:jc w:val="center"/>
                    <w:rPr>
                      <w:b w:val="0"/>
                      <w:sz w:val="21"/>
                      <w:szCs w:val="21"/>
                    </w:rPr>
                  </w:pPr>
                </w:p>
              </w:tc>
              <w:tc>
                <w:tcPr>
                  <w:tcW w:w="1392" w:type="dxa"/>
                  <w:vMerge w:val="continue"/>
                  <w:tcBorders>
                    <w:tl2br w:val="nil"/>
                    <w:tr2bl w:val="nil"/>
                  </w:tcBorders>
                  <w:noWrap w:val="0"/>
                  <w:vAlign w:val="center"/>
                </w:tcPr>
                <w:p>
                  <w:pPr>
                    <w:pStyle w:val="59"/>
                    <w:snapToGrid w:val="0"/>
                    <w:spacing w:line="300" w:lineRule="auto"/>
                    <w:ind w:left="0"/>
                    <w:jc w:val="center"/>
                    <w:rPr>
                      <w:b w:val="0"/>
                      <w:sz w:val="21"/>
                      <w:szCs w:val="21"/>
                    </w:rPr>
                  </w:pPr>
                </w:p>
              </w:tc>
            </w:tr>
          </w:tbl>
          <w:p>
            <w:pPr>
              <w:pStyle w:val="9"/>
              <w:keepNext w:val="0"/>
              <w:keepLines w:val="0"/>
              <w:pageBreakBefore w:val="0"/>
              <w:widowControl w:val="0"/>
              <w:kinsoku/>
              <w:wordWrap/>
              <w:overflowPunct w:val="0"/>
              <w:topLinePunct w:val="0"/>
              <w:autoSpaceDE/>
              <w:autoSpaceDN/>
              <w:bidi w:val="0"/>
              <w:adjustRightInd/>
              <w:snapToGrid/>
              <w:spacing w:before="157" w:beforeLines="50" w:after="0" w:afterLines="0" w:line="360" w:lineRule="auto"/>
              <w:ind w:right="113"/>
              <w:jc w:val="center"/>
              <w:textAlignment w:val="auto"/>
              <w:rPr>
                <w:rFonts w:hint="default" w:ascii="Times New Roman" w:hAnsi="Times New Roman" w:eastAsia="黑体" w:cs="Times New Roman"/>
                <w:b w:val="0"/>
                <w:color w:val="auto"/>
                <w:kern w:val="2"/>
                <w:sz w:val="21"/>
                <w:szCs w:val="21"/>
                <w:highlight w:val="none"/>
                <w:lang w:val="en-US" w:eastAsia="zh-CN" w:bidi="ar-SA"/>
              </w:rPr>
            </w:pPr>
            <w:r>
              <w:rPr>
                <w:rFonts w:hint="default" w:ascii="Times New Roman" w:hAnsi="Times New Roman" w:eastAsia="黑体" w:cs="Times New Roman"/>
                <w:b w:val="0"/>
                <w:color w:val="auto"/>
                <w:kern w:val="2"/>
                <w:sz w:val="21"/>
                <w:szCs w:val="21"/>
                <w:highlight w:val="none"/>
                <w:lang w:val="en-US" w:eastAsia="zh-CN" w:bidi="ar-SA"/>
              </w:rPr>
              <w:t>表</w:t>
            </w:r>
            <w:r>
              <w:rPr>
                <w:rFonts w:hint="eastAsia" w:ascii="Times New Roman" w:hAnsi="Times New Roman" w:eastAsia="黑体" w:cs="Times New Roman"/>
                <w:b w:val="0"/>
                <w:color w:val="auto"/>
                <w:kern w:val="2"/>
                <w:sz w:val="21"/>
                <w:szCs w:val="21"/>
                <w:highlight w:val="none"/>
                <w:lang w:val="en-US" w:eastAsia="zh-CN" w:bidi="ar-SA"/>
              </w:rPr>
              <w:t>3-17</w:t>
            </w:r>
            <w:r>
              <w:rPr>
                <w:rFonts w:hint="default" w:ascii="Times New Roman" w:hAnsi="Times New Roman" w:eastAsia="黑体" w:cs="Times New Roman"/>
                <w:b w:val="0"/>
                <w:color w:val="auto"/>
                <w:kern w:val="2"/>
                <w:sz w:val="21"/>
                <w:szCs w:val="21"/>
                <w:highlight w:val="none"/>
                <w:lang w:val="en-US" w:eastAsia="zh-CN" w:bidi="ar-SA"/>
              </w:rPr>
              <w:t xml:space="preserve">   </w:t>
            </w:r>
            <w:r>
              <w:rPr>
                <w:rFonts w:hint="eastAsia" w:ascii="Times New Roman" w:hAnsi="Times New Roman" w:eastAsia="黑体" w:cs="Times New Roman"/>
                <w:b w:val="0"/>
                <w:color w:val="auto"/>
                <w:kern w:val="2"/>
                <w:sz w:val="21"/>
                <w:szCs w:val="21"/>
                <w:highlight w:val="none"/>
                <w:lang w:val="en-US" w:eastAsia="zh-CN" w:bidi="ar-SA"/>
              </w:rPr>
              <w:t>油烟</w:t>
            </w:r>
            <w:r>
              <w:rPr>
                <w:rFonts w:hint="default" w:ascii="Times New Roman" w:hAnsi="Times New Roman" w:eastAsia="黑体" w:cs="Times New Roman"/>
                <w:b w:val="0"/>
                <w:color w:val="auto"/>
                <w:kern w:val="2"/>
                <w:sz w:val="21"/>
                <w:szCs w:val="21"/>
                <w:highlight w:val="none"/>
                <w:lang w:val="en-US" w:eastAsia="zh-CN" w:bidi="ar-SA"/>
              </w:rPr>
              <w:t>排放标准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78"/>
              <w:gridCol w:w="1491"/>
              <w:gridCol w:w="1583"/>
              <w:gridCol w:w="15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478"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规模</w:t>
                  </w:r>
                </w:p>
              </w:tc>
              <w:tc>
                <w:tcPr>
                  <w:tcW w:w="1491"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小型</w:t>
                  </w:r>
                </w:p>
              </w:tc>
              <w:tc>
                <w:tcPr>
                  <w:tcW w:w="1583"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中型</w:t>
                  </w:r>
                </w:p>
              </w:tc>
              <w:tc>
                <w:tcPr>
                  <w:tcW w:w="1594"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大型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478"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最高允许排放浓度（mg/m</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b w:val="0"/>
                      <w:bCs/>
                      <w:color w:val="auto"/>
                      <w:sz w:val="21"/>
                      <w:szCs w:val="21"/>
                      <w:vertAlign w:val="baseline"/>
                      <w:lang w:val="en-US" w:eastAsia="zh-CN"/>
                    </w:rPr>
                    <w:t>)</w:t>
                  </w:r>
                </w:p>
              </w:tc>
              <w:tc>
                <w:tcPr>
                  <w:tcW w:w="4668" w:type="dxa"/>
                  <w:gridSpan w:val="3"/>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478"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净化设施最低去除效率（%）</w:t>
                  </w:r>
                </w:p>
              </w:tc>
              <w:tc>
                <w:tcPr>
                  <w:tcW w:w="1491"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60</w:t>
                  </w:r>
                </w:p>
              </w:tc>
              <w:tc>
                <w:tcPr>
                  <w:tcW w:w="1583"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75</w:t>
                  </w:r>
                </w:p>
              </w:tc>
              <w:tc>
                <w:tcPr>
                  <w:tcW w:w="1594" w:type="dxa"/>
                  <w:tcBorders>
                    <w:tl2br w:val="nil"/>
                    <w:tr2bl w:val="nil"/>
                  </w:tcBorders>
                  <w:noWrap w:val="0"/>
                  <w:vAlign w:val="center"/>
                </w:tcPr>
                <w:p>
                  <w:pPr>
                    <w:pStyle w:val="9"/>
                    <w:keepNext w:val="0"/>
                    <w:keepLines w:val="0"/>
                    <w:pageBreakBefore w:val="0"/>
                    <w:widowControl w:val="0"/>
                    <w:kinsoku/>
                    <w:wordWrap/>
                    <w:overflowPunct w:val="0"/>
                    <w:topLinePunct w:val="0"/>
                    <w:autoSpaceDE/>
                    <w:autoSpaceDN/>
                    <w:bidi w:val="0"/>
                    <w:adjustRightInd/>
                    <w:snapToGrid/>
                    <w:spacing w:before="0" w:after="0" w:afterLines="0" w:line="240" w:lineRule="auto"/>
                    <w:ind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85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2、水污染物排放标准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项目废水排放执行《污水综合排放标准》（</w:t>
            </w:r>
            <w:r>
              <w:rPr>
                <w:rFonts w:hint="default" w:ascii="Times New Roman" w:hAnsi="Times New Roman" w:eastAsia="宋体" w:cs="Times New Roman"/>
                <w:color w:val="000000"/>
                <w:kern w:val="0"/>
                <w:sz w:val="24"/>
                <w:szCs w:val="24"/>
                <w:lang w:val="en-US" w:eastAsia="zh-CN" w:bidi="ar"/>
              </w:rPr>
              <w:t>GB8978-1996</w:t>
            </w:r>
            <w:r>
              <w:rPr>
                <w:rFonts w:hint="eastAsia" w:ascii="宋体" w:hAnsi="宋体" w:eastAsia="宋体" w:cs="宋体"/>
                <w:color w:val="000000"/>
                <w:kern w:val="0"/>
                <w:sz w:val="24"/>
                <w:szCs w:val="24"/>
                <w:lang w:val="en-US" w:eastAsia="zh-CN" w:bidi="ar"/>
              </w:rPr>
              <w:t>）中三级排放标准，其中氨氮、总氮、总磷执行《污水排放城镇下水道水质标准》（</w:t>
            </w:r>
            <w:r>
              <w:rPr>
                <w:rFonts w:hint="default" w:ascii="Times New Roman" w:hAnsi="Times New Roman" w:eastAsia="宋体" w:cs="Times New Roman"/>
                <w:color w:val="000000"/>
                <w:kern w:val="0"/>
                <w:sz w:val="24"/>
                <w:szCs w:val="24"/>
                <w:lang w:val="en-US" w:eastAsia="zh-CN" w:bidi="ar"/>
              </w:rPr>
              <w:t>GB/T31962-2015</w:t>
            </w:r>
            <w:r>
              <w:rPr>
                <w:rFonts w:hint="eastAsia" w:ascii="宋体" w:hAnsi="宋体" w:eastAsia="宋体" w:cs="宋体"/>
                <w:color w:val="000000"/>
                <w:kern w:val="0"/>
                <w:sz w:val="24"/>
                <w:szCs w:val="24"/>
                <w:lang w:val="en-US" w:eastAsia="zh-CN" w:bidi="ar"/>
              </w:rPr>
              <w:t xml:space="preserve">）中 </w:t>
            </w:r>
            <w:r>
              <w:rPr>
                <w:rFonts w:hint="default" w:ascii="Times New Roman" w:hAnsi="Times New Roman" w:eastAsia="宋体" w:cs="Times New Roman"/>
                <w:color w:val="000000"/>
                <w:kern w:val="0"/>
                <w:sz w:val="24"/>
                <w:szCs w:val="24"/>
                <w:lang w:val="en-US" w:eastAsia="zh-CN" w:bidi="ar"/>
              </w:rPr>
              <w:t xml:space="preserve">B </w:t>
            </w:r>
            <w:r>
              <w:rPr>
                <w:rFonts w:hint="eastAsia" w:ascii="宋体" w:hAnsi="宋体" w:eastAsia="宋体" w:cs="宋体"/>
                <w:color w:val="000000"/>
                <w:kern w:val="0"/>
                <w:sz w:val="24"/>
                <w:szCs w:val="24"/>
                <w:lang w:val="en-US" w:eastAsia="zh-CN" w:bidi="ar"/>
              </w:rPr>
              <w:t>等级标准。其最高允许标准排放浓度详见下表。</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3-1</w:t>
            </w:r>
            <w:r>
              <w:rPr>
                <w:rFonts w:hint="eastAsia" w:ascii="Times New Roman" w:hAnsi="Times New Roman" w:eastAsia="黑体" w:cs="Times New Roman"/>
                <w:b w:val="0"/>
                <w:bCs/>
                <w:sz w:val="21"/>
                <w:szCs w:val="21"/>
                <w:lang w:val="en-US" w:eastAsia="zh-CN"/>
              </w:rPr>
              <w:t>8</w:t>
            </w:r>
            <w:r>
              <w:rPr>
                <w:rFonts w:hint="default" w:ascii="Times New Roman" w:hAnsi="Times New Roman" w:eastAsia="黑体" w:cs="Times New Roman"/>
                <w:b w:val="0"/>
                <w:bCs/>
                <w:sz w:val="21"/>
                <w:szCs w:val="21"/>
              </w:rPr>
              <w:t xml:space="preserve">   污水综合排放标准   单位：mg/L</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4"/>
              <w:gridCol w:w="556"/>
              <w:gridCol w:w="853"/>
              <w:gridCol w:w="748"/>
              <w:gridCol w:w="1790"/>
              <w:gridCol w:w="1875"/>
              <w:gridCol w:w="915"/>
              <w:gridCol w:w="5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 w:hRule="atLeast"/>
                <w:jc w:val="center"/>
              </w:trPr>
              <w:tc>
                <w:tcPr>
                  <w:tcW w:w="639" w:type="pct"/>
                  <w:tcBorders>
                    <w:tl2br w:val="nil"/>
                    <w:tr2bl w:val="nil"/>
                  </w:tcBorders>
                  <w:noWrap w:val="0"/>
                  <w:vAlign w:val="center"/>
                </w:tcPr>
                <w:p>
                  <w:pPr>
                    <w:adjustRightInd w:val="0"/>
                    <w:snapToGrid w:val="0"/>
                    <w:spacing w:line="300" w:lineRule="auto"/>
                    <w:jc w:val="center"/>
                    <w:rPr>
                      <w:b/>
                      <w:bCs/>
                      <w:sz w:val="21"/>
                      <w:szCs w:val="21"/>
                    </w:rPr>
                  </w:pPr>
                  <w:r>
                    <w:rPr>
                      <w:rFonts w:hint="eastAsia"/>
                      <w:b/>
                      <w:bCs/>
                      <w:sz w:val="21"/>
                      <w:szCs w:val="21"/>
                    </w:rPr>
                    <w:t>污染物</w:t>
                  </w:r>
                </w:p>
              </w:tc>
              <w:tc>
                <w:tcPr>
                  <w:tcW w:w="331" w:type="pct"/>
                  <w:tcBorders>
                    <w:tl2br w:val="nil"/>
                    <w:tr2bl w:val="nil"/>
                  </w:tcBorders>
                  <w:noWrap w:val="0"/>
                  <w:vAlign w:val="center"/>
                </w:tcPr>
                <w:p>
                  <w:pPr>
                    <w:adjustRightInd w:val="0"/>
                    <w:snapToGrid w:val="0"/>
                    <w:spacing w:line="300" w:lineRule="auto"/>
                    <w:jc w:val="center"/>
                    <w:rPr>
                      <w:b/>
                      <w:bCs/>
                      <w:sz w:val="21"/>
                      <w:szCs w:val="21"/>
                    </w:rPr>
                  </w:pPr>
                  <w:r>
                    <w:rPr>
                      <w:b/>
                      <w:bCs/>
                      <w:sz w:val="21"/>
                      <w:szCs w:val="21"/>
                    </w:rPr>
                    <w:t>pH</w:t>
                  </w:r>
                </w:p>
              </w:tc>
              <w:tc>
                <w:tcPr>
                  <w:tcW w:w="508" w:type="pct"/>
                  <w:tcBorders>
                    <w:tl2br w:val="nil"/>
                    <w:tr2bl w:val="nil"/>
                  </w:tcBorders>
                  <w:noWrap w:val="0"/>
                  <w:vAlign w:val="center"/>
                </w:tcPr>
                <w:p>
                  <w:pPr>
                    <w:adjustRightInd w:val="0"/>
                    <w:snapToGrid w:val="0"/>
                    <w:spacing w:line="300" w:lineRule="auto"/>
                    <w:jc w:val="center"/>
                    <w:rPr>
                      <w:b/>
                      <w:bCs/>
                      <w:sz w:val="21"/>
                      <w:szCs w:val="21"/>
                    </w:rPr>
                  </w:pPr>
                  <w:r>
                    <w:rPr>
                      <w:b/>
                      <w:bCs/>
                      <w:sz w:val="21"/>
                      <w:szCs w:val="21"/>
                    </w:rPr>
                    <w:t>COD</w:t>
                  </w:r>
                  <w:r>
                    <w:rPr>
                      <w:b/>
                      <w:bCs/>
                      <w:sz w:val="21"/>
                      <w:szCs w:val="21"/>
                      <w:vertAlign w:val="subscript"/>
                    </w:rPr>
                    <w:t>Cr</w:t>
                  </w:r>
                </w:p>
              </w:tc>
              <w:tc>
                <w:tcPr>
                  <w:tcW w:w="445" w:type="pct"/>
                  <w:tcBorders>
                    <w:tl2br w:val="nil"/>
                    <w:tr2bl w:val="nil"/>
                  </w:tcBorders>
                  <w:noWrap w:val="0"/>
                  <w:vAlign w:val="center"/>
                </w:tcPr>
                <w:p>
                  <w:pPr>
                    <w:adjustRightInd w:val="0"/>
                    <w:snapToGrid w:val="0"/>
                    <w:spacing w:line="300" w:lineRule="auto"/>
                    <w:jc w:val="center"/>
                    <w:rPr>
                      <w:b/>
                      <w:bCs/>
                      <w:sz w:val="21"/>
                      <w:szCs w:val="21"/>
                    </w:rPr>
                  </w:pPr>
                  <w:r>
                    <w:rPr>
                      <w:b/>
                      <w:bCs/>
                      <w:sz w:val="21"/>
                      <w:szCs w:val="21"/>
                    </w:rPr>
                    <w:t>BOD</w:t>
                  </w:r>
                  <w:r>
                    <w:rPr>
                      <w:b/>
                      <w:bCs/>
                      <w:sz w:val="21"/>
                      <w:szCs w:val="21"/>
                      <w:vertAlign w:val="subscript"/>
                    </w:rPr>
                    <w:t>5</w:t>
                  </w:r>
                </w:p>
              </w:tc>
              <w:tc>
                <w:tcPr>
                  <w:tcW w:w="1066" w:type="pct"/>
                  <w:tcBorders>
                    <w:tl2br w:val="nil"/>
                    <w:tr2bl w:val="nil"/>
                  </w:tcBorders>
                  <w:noWrap w:val="0"/>
                  <w:vAlign w:val="center"/>
                </w:tcPr>
                <w:p>
                  <w:pPr>
                    <w:adjustRightInd w:val="0"/>
                    <w:snapToGrid w:val="0"/>
                    <w:spacing w:line="300" w:lineRule="auto"/>
                    <w:jc w:val="center"/>
                    <w:rPr>
                      <w:b/>
                      <w:bCs/>
                      <w:sz w:val="21"/>
                      <w:szCs w:val="21"/>
                    </w:rPr>
                  </w:pPr>
                  <w:r>
                    <w:rPr>
                      <w:rFonts w:hint="eastAsia"/>
                      <w:b/>
                      <w:bCs/>
                      <w:sz w:val="21"/>
                      <w:szCs w:val="21"/>
                    </w:rPr>
                    <w:t>总磷（以</w:t>
                  </w:r>
                  <w:r>
                    <w:rPr>
                      <w:b/>
                      <w:bCs/>
                      <w:sz w:val="21"/>
                      <w:szCs w:val="21"/>
                    </w:rPr>
                    <w:t>P</w:t>
                  </w:r>
                  <w:r>
                    <w:rPr>
                      <w:rFonts w:hint="eastAsia"/>
                      <w:b/>
                      <w:bCs/>
                      <w:sz w:val="21"/>
                      <w:szCs w:val="21"/>
                    </w:rPr>
                    <w:t>计）</w:t>
                  </w:r>
                </w:p>
              </w:tc>
              <w:tc>
                <w:tcPr>
                  <w:tcW w:w="1117" w:type="pct"/>
                  <w:tcBorders>
                    <w:tl2br w:val="nil"/>
                    <w:tr2bl w:val="nil"/>
                  </w:tcBorders>
                  <w:noWrap w:val="0"/>
                  <w:vAlign w:val="center"/>
                </w:tcPr>
                <w:p>
                  <w:pPr>
                    <w:adjustRightInd w:val="0"/>
                    <w:snapToGrid w:val="0"/>
                    <w:spacing w:line="300" w:lineRule="auto"/>
                    <w:jc w:val="center"/>
                    <w:rPr>
                      <w:rFonts w:hint="default" w:eastAsia="宋体"/>
                      <w:b/>
                      <w:bCs/>
                      <w:color w:val="auto"/>
                      <w:sz w:val="21"/>
                      <w:szCs w:val="21"/>
                      <w:lang w:val="en-US" w:eastAsia="zh-CN"/>
                    </w:rPr>
                  </w:pPr>
                  <w:r>
                    <w:rPr>
                      <w:rFonts w:hint="eastAsia"/>
                      <w:b/>
                      <w:bCs/>
                      <w:color w:val="auto"/>
                      <w:sz w:val="21"/>
                      <w:szCs w:val="21"/>
                      <w:lang w:val="en-US" w:eastAsia="zh-CN"/>
                    </w:rPr>
                    <w:t>总氮（以N计）</w:t>
                  </w:r>
                </w:p>
              </w:tc>
              <w:tc>
                <w:tcPr>
                  <w:tcW w:w="545" w:type="pct"/>
                  <w:tcBorders>
                    <w:tl2br w:val="nil"/>
                    <w:tr2bl w:val="nil"/>
                  </w:tcBorders>
                  <w:noWrap w:val="0"/>
                  <w:vAlign w:val="center"/>
                </w:tcPr>
                <w:p>
                  <w:pPr>
                    <w:adjustRightInd w:val="0"/>
                    <w:snapToGrid w:val="0"/>
                    <w:spacing w:line="300" w:lineRule="auto"/>
                    <w:jc w:val="center"/>
                    <w:rPr>
                      <w:b/>
                      <w:bCs/>
                      <w:sz w:val="21"/>
                      <w:szCs w:val="21"/>
                    </w:rPr>
                  </w:pPr>
                  <w:r>
                    <w:rPr>
                      <w:b/>
                      <w:bCs/>
                      <w:sz w:val="21"/>
                      <w:szCs w:val="21"/>
                    </w:rPr>
                    <w:t>NH</w:t>
                  </w:r>
                  <w:r>
                    <w:rPr>
                      <w:b/>
                      <w:bCs/>
                      <w:sz w:val="21"/>
                      <w:szCs w:val="21"/>
                      <w:vertAlign w:val="subscript"/>
                    </w:rPr>
                    <w:t>3</w:t>
                  </w:r>
                  <w:r>
                    <w:rPr>
                      <w:b/>
                      <w:bCs/>
                      <w:sz w:val="21"/>
                      <w:szCs w:val="21"/>
                    </w:rPr>
                    <w:t>-N</w:t>
                  </w:r>
                </w:p>
              </w:tc>
              <w:tc>
                <w:tcPr>
                  <w:tcW w:w="346" w:type="pct"/>
                  <w:tcBorders>
                    <w:tl2br w:val="nil"/>
                    <w:tr2bl w:val="nil"/>
                  </w:tcBorders>
                  <w:noWrap w:val="0"/>
                  <w:vAlign w:val="center"/>
                </w:tcPr>
                <w:p>
                  <w:pPr>
                    <w:adjustRightInd w:val="0"/>
                    <w:snapToGrid w:val="0"/>
                    <w:spacing w:line="300" w:lineRule="auto"/>
                    <w:jc w:val="center"/>
                    <w:rPr>
                      <w:b/>
                      <w:bCs/>
                      <w:sz w:val="21"/>
                      <w:szCs w:val="21"/>
                    </w:rPr>
                  </w:pPr>
                  <w:r>
                    <w:rPr>
                      <w:b/>
                      <w:bCs/>
                      <w:sz w:val="21"/>
                      <w:szCs w:val="21"/>
                    </w:rPr>
                    <w:t>SS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 w:hRule="atLeast"/>
                <w:jc w:val="center"/>
              </w:trPr>
              <w:tc>
                <w:tcPr>
                  <w:tcW w:w="639" w:type="pct"/>
                  <w:tcBorders>
                    <w:tl2br w:val="nil"/>
                    <w:tr2bl w:val="nil"/>
                  </w:tcBorders>
                  <w:noWrap w:val="0"/>
                  <w:vAlign w:val="center"/>
                </w:tcPr>
                <w:p>
                  <w:pPr>
                    <w:adjustRightInd w:val="0"/>
                    <w:snapToGrid w:val="0"/>
                    <w:spacing w:line="300" w:lineRule="auto"/>
                    <w:jc w:val="center"/>
                    <w:rPr>
                      <w:b w:val="0"/>
                      <w:bCs w:val="0"/>
                      <w:sz w:val="21"/>
                      <w:szCs w:val="21"/>
                    </w:rPr>
                  </w:pPr>
                  <w:r>
                    <w:rPr>
                      <w:rFonts w:hint="eastAsia"/>
                      <w:b w:val="0"/>
                      <w:bCs w:val="0"/>
                      <w:sz w:val="21"/>
                      <w:szCs w:val="21"/>
                    </w:rPr>
                    <w:t>执行标准</w:t>
                  </w:r>
                </w:p>
              </w:tc>
              <w:tc>
                <w:tcPr>
                  <w:tcW w:w="331" w:type="pct"/>
                  <w:tcBorders>
                    <w:tl2br w:val="nil"/>
                    <w:tr2bl w:val="nil"/>
                  </w:tcBorders>
                  <w:noWrap w:val="0"/>
                  <w:vAlign w:val="center"/>
                </w:tcPr>
                <w:p>
                  <w:pPr>
                    <w:adjustRightInd w:val="0"/>
                    <w:snapToGrid w:val="0"/>
                    <w:spacing w:line="300" w:lineRule="auto"/>
                    <w:jc w:val="center"/>
                    <w:rPr>
                      <w:b w:val="0"/>
                      <w:bCs w:val="0"/>
                      <w:sz w:val="21"/>
                      <w:szCs w:val="21"/>
                    </w:rPr>
                  </w:pPr>
                  <w:r>
                    <w:rPr>
                      <w:b w:val="0"/>
                      <w:bCs w:val="0"/>
                      <w:sz w:val="21"/>
                      <w:szCs w:val="21"/>
                    </w:rPr>
                    <w:t>6~9</w:t>
                  </w:r>
                </w:p>
              </w:tc>
              <w:tc>
                <w:tcPr>
                  <w:tcW w:w="508" w:type="pct"/>
                  <w:tcBorders>
                    <w:tl2br w:val="nil"/>
                    <w:tr2bl w:val="nil"/>
                  </w:tcBorders>
                  <w:noWrap w:val="0"/>
                  <w:vAlign w:val="center"/>
                </w:tcPr>
                <w:p>
                  <w:pPr>
                    <w:adjustRightInd w:val="0"/>
                    <w:snapToGrid w:val="0"/>
                    <w:spacing w:line="300" w:lineRule="auto"/>
                    <w:jc w:val="center"/>
                    <w:rPr>
                      <w:b w:val="0"/>
                      <w:bCs w:val="0"/>
                      <w:sz w:val="21"/>
                      <w:szCs w:val="21"/>
                    </w:rPr>
                  </w:pPr>
                  <w:r>
                    <w:rPr>
                      <w:b w:val="0"/>
                      <w:bCs w:val="0"/>
                      <w:sz w:val="21"/>
                      <w:szCs w:val="21"/>
                    </w:rPr>
                    <w:t>500</w:t>
                  </w:r>
                </w:p>
              </w:tc>
              <w:tc>
                <w:tcPr>
                  <w:tcW w:w="445" w:type="pct"/>
                  <w:tcBorders>
                    <w:tl2br w:val="nil"/>
                    <w:tr2bl w:val="nil"/>
                  </w:tcBorders>
                  <w:noWrap w:val="0"/>
                  <w:vAlign w:val="center"/>
                </w:tcPr>
                <w:p>
                  <w:pPr>
                    <w:adjustRightInd w:val="0"/>
                    <w:snapToGrid w:val="0"/>
                    <w:spacing w:line="300" w:lineRule="auto"/>
                    <w:jc w:val="center"/>
                    <w:rPr>
                      <w:b w:val="0"/>
                      <w:bCs w:val="0"/>
                      <w:sz w:val="21"/>
                      <w:szCs w:val="21"/>
                    </w:rPr>
                  </w:pPr>
                  <w:r>
                    <w:rPr>
                      <w:b w:val="0"/>
                      <w:bCs w:val="0"/>
                      <w:sz w:val="21"/>
                      <w:szCs w:val="21"/>
                    </w:rPr>
                    <w:t>300</w:t>
                  </w:r>
                </w:p>
              </w:tc>
              <w:tc>
                <w:tcPr>
                  <w:tcW w:w="1066" w:type="pct"/>
                  <w:tcBorders>
                    <w:tl2br w:val="nil"/>
                    <w:tr2bl w:val="nil"/>
                  </w:tcBorders>
                  <w:noWrap w:val="0"/>
                  <w:vAlign w:val="center"/>
                </w:tcPr>
                <w:p>
                  <w:pPr>
                    <w:adjustRightInd w:val="0"/>
                    <w:snapToGrid w:val="0"/>
                    <w:spacing w:line="300" w:lineRule="auto"/>
                    <w:jc w:val="center"/>
                    <w:rPr>
                      <w:rFonts w:hint="eastAsia" w:eastAsia="宋体"/>
                      <w:b w:val="0"/>
                      <w:bCs w:val="0"/>
                      <w:sz w:val="21"/>
                      <w:szCs w:val="21"/>
                      <w:lang w:val="en-US" w:eastAsia="zh-CN"/>
                    </w:rPr>
                  </w:pPr>
                  <w:r>
                    <w:rPr>
                      <w:rFonts w:hint="eastAsia"/>
                      <w:b w:val="0"/>
                      <w:bCs w:val="0"/>
                      <w:sz w:val="21"/>
                      <w:szCs w:val="21"/>
                      <w:lang w:val="en-US" w:eastAsia="zh-CN"/>
                    </w:rPr>
                    <w:t>8</w:t>
                  </w:r>
                </w:p>
              </w:tc>
              <w:tc>
                <w:tcPr>
                  <w:tcW w:w="1117" w:type="pct"/>
                  <w:tcBorders>
                    <w:tl2br w:val="nil"/>
                    <w:tr2bl w:val="nil"/>
                  </w:tcBorders>
                  <w:noWrap w:val="0"/>
                  <w:vAlign w:val="center"/>
                </w:tcPr>
                <w:p>
                  <w:pPr>
                    <w:adjustRightInd w:val="0"/>
                    <w:snapToGrid w:val="0"/>
                    <w:spacing w:line="300" w:lineRule="auto"/>
                    <w:jc w:val="center"/>
                    <w:rPr>
                      <w:rFonts w:hint="default"/>
                      <w:b w:val="0"/>
                      <w:bCs w:val="0"/>
                      <w:color w:val="auto"/>
                      <w:sz w:val="21"/>
                      <w:szCs w:val="21"/>
                      <w:lang w:val="en-US" w:eastAsia="zh-CN"/>
                    </w:rPr>
                  </w:pPr>
                  <w:r>
                    <w:rPr>
                      <w:rFonts w:hint="eastAsia"/>
                      <w:b w:val="0"/>
                      <w:bCs w:val="0"/>
                      <w:color w:val="auto"/>
                      <w:sz w:val="21"/>
                      <w:szCs w:val="21"/>
                      <w:lang w:val="en-US" w:eastAsia="zh-CN"/>
                    </w:rPr>
                    <w:t>70</w:t>
                  </w:r>
                </w:p>
              </w:tc>
              <w:tc>
                <w:tcPr>
                  <w:tcW w:w="545" w:type="pct"/>
                  <w:tcBorders>
                    <w:tl2br w:val="nil"/>
                    <w:tr2bl w:val="nil"/>
                  </w:tcBorders>
                  <w:noWrap w:val="0"/>
                  <w:vAlign w:val="center"/>
                </w:tcPr>
                <w:p>
                  <w:pPr>
                    <w:adjustRightInd w:val="0"/>
                    <w:snapToGrid w:val="0"/>
                    <w:spacing w:line="300" w:lineRule="auto"/>
                    <w:jc w:val="center"/>
                    <w:rPr>
                      <w:rFonts w:hint="default" w:eastAsia="宋体"/>
                      <w:b w:val="0"/>
                      <w:bCs w:val="0"/>
                      <w:sz w:val="21"/>
                      <w:szCs w:val="21"/>
                      <w:lang w:val="en-US" w:eastAsia="zh-CN"/>
                    </w:rPr>
                  </w:pPr>
                  <w:r>
                    <w:rPr>
                      <w:rFonts w:hint="eastAsia"/>
                      <w:b w:val="0"/>
                      <w:bCs w:val="0"/>
                      <w:sz w:val="21"/>
                      <w:szCs w:val="21"/>
                      <w:lang w:val="en-US" w:eastAsia="zh-CN"/>
                    </w:rPr>
                    <w:t>45</w:t>
                  </w:r>
                </w:p>
              </w:tc>
              <w:tc>
                <w:tcPr>
                  <w:tcW w:w="346" w:type="pct"/>
                  <w:tcBorders>
                    <w:tl2br w:val="nil"/>
                    <w:tr2bl w:val="nil"/>
                  </w:tcBorders>
                  <w:noWrap w:val="0"/>
                  <w:vAlign w:val="center"/>
                </w:tcPr>
                <w:p>
                  <w:pPr>
                    <w:adjustRightInd w:val="0"/>
                    <w:snapToGrid w:val="0"/>
                    <w:spacing w:line="300" w:lineRule="auto"/>
                    <w:jc w:val="center"/>
                    <w:rPr>
                      <w:b w:val="0"/>
                      <w:bCs w:val="0"/>
                      <w:sz w:val="21"/>
                      <w:szCs w:val="21"/>
                    </w:rPr>
                  </w:pPr>
                  <w:r>
                    <w:rPr>
                      <w:b w:val="0"/>
                      <w:bCs w:val="0"/>
                      <w:sz w:val="21"/>
                      <w:szCs w:val="21"/>
                    </w:rPr>
                    <w:t>400</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eastAsia="宋体"/>
                <w:b/>
                <w:bCs/>
                <w:sz w:val="24"/>
                <w:szCs w:val="24"/>
                <w:lang w:val="en-US" w:eastAsia="zh-CN"/>
              </w:rPr>
            </w:pPr>
            <w:r>
              <w:rPr>
                <w:rFonts w:hint="eastAsia"/>
                <w:b/>
                <w:bCs/>
                <w:sz w:val="24"/>
                <w:szCs w:val="24"/>
                <w:lang w:val="en-US" w:eastAsia="zh-CN"/>
              </w:rPr>
              <w:t>3、噪声排放标准</w:t>
            </w:r>
          </w:p>
          <w:p>
            <w:pPr>
              <w:adjustRightInd w:val="0"/>
              <w:snapToGrid w:val="0"/>
              <w:spacing w:line="360" w:lineRule="auto"/>
              <w:ind w:firstLine="480" w:firstLineChars="200"/>
              <w:rPr>
                <w:sz w:val="24"/>
              </w:rPr>
            </w:pPr>
            <w:r>
              <w:rPr>
                <w:rFonts w:hint="eastAsia"/>
                <w:sz w:val="24"/>
              </w:rPr>
              <w:t>施工期执行《建筑施工场界环境噪声排放标准》（</w:t>
            </w:r>
            <w:r>
              <w:rPr>
                <w:sz w:val="24"/>
              </w:rPr>
              <w:t>GB12523-2011</w:t>
            </w:r>
            <w:r>
              <w:rPr>
                <w:rFonts w:hint="eastAsia"/>
                <w:sz w:val="24"/>
              </w:rPr>
              <w:t>）；营运期执行《工业企业厂界环境噪声排放标准》（</w:t>
            </w:r>
            <w:r>
              <w:rPr>
                <w:sz w:val="24"/>
              </w:rPr>
              <w:t>GB12348-2008</w:t>
            </w:r>
            <w:r>
              <w:rPr>
                <w:rFonts w:hint="eastAsia"/>
                <w:sz w:val="24"/>
              </w:rPr>
              <w:t>）中的2类标准，标准值见下表。</w:t>
            </w:r>
          </w:p>
          <w:p>
            <w:pPr>
              <w:pStyle w:val="59"/>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eastAsia" w:ascii="Times New Roman" w:hAnsi="Times New Roman" w:eastAsia="黑体" w:cs="Times New Roman"/>
                <w:b w:val="0"/>
                <w:bCs/>
                <w:sz w:val="21"/>
                <w:szCs w:val="21"/>
                <w:lang w:eastAsia="zh-CN"/>
              </w:rPr>
            </w:pPr>
            <w:r>
              <w:rPr>
                <w:rFonts w:hint="eastAsia" w:ascii="Times New Roman" w:hAnsi="Times New Roman" w:eastAsia="黑体" w:cs="Times New Roman"/>
                <w:b w:val="0"/>
                <w:bCs/>
                <w:sz w:val="21"/>
                <w:szCs w:val="21"/>
              </w:rPr>
              <w:t>表</w:t>
            </w:r>
            <w:r>
              <w:rPr>
                <w:rFonts w:hint="eastAsia" w:ascii="Times New Roman" w:hAnsi="Times New Roman" w:eastAsia="黑体" w:cs="Times New Roman"/>
                <w:b w:val="0"/>
                <w:bCs/>
                <w:sz w:val="21"/>
                <w:szCs w:val="21"/>
                <w:lang w:val="en-US" w:eastAsia="zh-CN"/>
              </w:rPr>
              <w:t>3-19</w:t>
            </w:r>
            <w:r>
              <w:rPr>
                <w:rFonts w:hint="default" w:ascii="Times New Roman" w:hAnsi="Times New Roman" w:eastAsia="黑体" w:cs="Times New Roman"/>
                <w:b w:val="0"/>
                <w:bCs/>
                <w:sz w:val="21"/>
                <w:szCs w:val="21"/>
              </w:rPr>
              <w:t xml:space="preserve">  </w:t>
            </w:r>
            <w:r>
              <w:rPr>
                <w:rFonts w:hint="eastAsia" w:ascii="Times New Roman" w:hAnsi="Times New Roman" w:eastAsia="黑体" w:cs="Times New Roman"/>
                <w:b w:val="0"/>
                <w:bCs/>
                <w:sz w:val="21"/>
                <w:szCs w:val="21"/>
              </w:rPr>
              <w:t xml:space="preserve"> 环境噪声排放标准</w:t>
            </w:r>
            <w:r>
              <w:rPr>
                <w:rFonts w:hint="default" w:ascii="Times New Roman" w:hAnsi="Times New Roman" w:eastAsia="黑体" w:cs="Times New Roman"/>
                <w:b w:val="0"/>
                <w:bCs/>
                <w:sz w:val="21"/>
                <w:szCs w:val="21"/>
              </w:rPr>
              <w:t xml:space="preserve">  </w:t>
            </w:r>
            <w:r>
              <w:rPr>
                <w:rFonts w:hint="eastAsia" w:ascii="Times New Roman" w:hAnsi="Times New Roman" w:eastAsia="黑体" w:cs="Times New Roman"/>
                <w:b w:val="0"/>
                <w:bCs/>
                <w:sz w:val="21"/>
                <w:szCs w:val="21"/>
              </w:rPr>
              <w:t xml:space="preserve"> 单位：</w:t>
            </w:r>
            <w:r>
              <w:rPr>
                <w:rFonts w:hint="default" w:ascii="Times New Roman" w:hAnsi="Times New Roman" w:eastAsia="黑体" w:cs="Times New Roman"/>
                <w:b w:val="0"/>
                <w:bCs/>
                <w:sz w:val="21"/>
                <w:szCs w:val="21"/>
              </w:rPr>
              <w:t>dB</w:t>
            </w:r>
            <w:r>
              <w:rPr>
                <w:rFonts w:hint="eastAsia" w:ascii="Times New Roman" w:hAnsi="Times New Roman" w:eastAsia="黑体" w:cs="Times New Roman"/>
                <w:b w:val="0"/>
                <w:bCs/>
                <w:sz w:val="21"/>
                <w:szCs w:val="21"/>
                <w:lang w:eastAsia="zh-CN"/>
              </w:rPr>
              <w:t>（</w:t>
            </w:r>
            <w:r>
              <w:rPr>
                <w:rFonts w:hint="default" w:ascii="Times New Roman" w:hAnsi="Times New Roman" w:eastAsia="黑体" w:cs="Times New Roman"/>
                <w:b w:val="0"/>
                <w:bCs/>
                <w:sz w:val="21"/>
                <w:szCs w:val="21"/>
              </w:rPr>
              <w:t>A</w:t>
            </w:r>
            <w:r>
              <w:rPr>
                <w:rFonts w:hint="eastAsia" w:ascii="Times New Roman" w:hAnsi="Times New Roman" w:eastAsia="黑体" w:cs="Times New Roman"/>
                <w:b w:val="0"/>
                <w:bCs/>
                <w:sz w:val="21"/>
                <w:szCs w:val="21"/>
                <w:lang w:eastAsia="zh-CN"/>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2699"/>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施工期排放限值〔dB（A）〕</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运营期排放限值〔dB（A）〕</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606" w:type="pct"/>
                  <w:noWrap w:val="0"/>
                  <w:vAlign w:val="center"/>
                </w:tcPr>
                <w:p>
                  <w:pPr>
                    <w:keepNext w:val="0"/>
                    <w:keepLines w:val="0"/>
                    <w:pageBreakBefore w:val="0"/>
                    <w:kinsoku/>
                    <w:wordWrap/>
                    <w:overflowPunct/>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4、固体废物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kern w:val="0"/>
                <w:szCs w:val="21"/>
                <w:lang w:val="en-US" w:eastAsia="zh-CN"/>
              </w:rPr>
            </w:pPr>
            <w:r>
              <w:rPr>
                <w:sz w:val="24"/>
              </w:rPr>
              <w:t>一般固废执行</w:t>
            </w:r>
            <w:r>
              <w:rPr>
                <w:rFonts w:hint="default" w:ascii="Times New Roman" w:hAnsi="Times New Roman" w:cs="Times New Roman"/>
                <w:color w:val="auto"/>
                <w:sz w:val="24"/>
                <w:szCs w:val="24"/>
                <w:highlight w:val="none"/>
              </w:rPr>
              <w:t>《一般工业固体废物贮存和填埋污染控制标准》（GB18599-2020）</w:t>
            </w:r>
            <w:r>
              <w:rPr>
                <w:rFonts w:hint="eastAsia"/>
                <w:sz w:val="24"/>
              </w:rPr>
              <w:t>；危险废物执行</w:t>
            </w:r>
            <w:r>
              <w:rPr>
                <w:sz w:val="24"/>
              </w:rPr>
              <w:t>《危险废物贮存污染物控制标准》</w:t>
            </w:r>
            <w:r>
              <w:rPr>
                <w:rFonts w:hint="eastAsia"/>
                <w:sz w:val="24"/>
                <w:lang w:eastAsia="zh-CN"/>
              </w:rPr>
              <w:t>（</w:t>
            </w:r>
            <w:r>
              <w:rPr>
                <w:sz w:val="24"/>
              </w:rPr>
              <w:t>GB18597-20</w:t>
            </w:r>
            <w:r>
              <w:rPr>
                <w:rFonts w:hint="eastAsia"/>
                <w:sz w:val="24"/>
                <w:lang w:val="en-US" w:eastAsia="zh-CN"/>
              </w:rPr>
              <w:t>23</w:t>
            </w:r>
            <w:r>
              <w:rPr>
                <w:rFonts w:hint="eastAsia"/>
                <w:sz w:val="24"/>
                <w:lang w:eastAsia="zh-CN"/>
              </w:rPr>
              <w:t>）</w:t>
            </w: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6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627" w:type="dxa"/>
            <w:noWrap w:val="0"/>
            <w:vAlign w:val="top"/>
          </w:tcPr>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val="0"/>
                <w:bCs/>
                <w:color w:val="auto"/>
                <w:sz w:val="24"/>
                <w:szCs w:val="24"/>
              </w:rPr>
              <w:t>目前国家的总量指标为</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化学需氧量、氨氮、</w:t>
            </w:r>
            <w:r>
              <w:rPr>
                <w:rFonts w:hint="eastAsia" w:ascii="Times New Roman" w:hAnsi="Times New Roman" w:eastAsia="宋体" w:cs="Times New Roman"/>
                <w:b w:val="0"/>
                <w:bCs/>
                <w:color w:val="auto"/>
                <w:sz w:val="24"/>
                <w:szCs w:val="24"/>
                <w:lang w:val="en-US" w:eastAsia="zh-CN"/>
              </w:rPr>
              <w:t>总磷、</w:t>
            </w:r>
            <w:r>
              <w:rPr>
                <w:rFonts w:hint="default" w:ascii="Times New Roman" w:hAnsi="Times New Roman" w:eastAsia="宋体" w:cs="Times New Roman"/>
                <w:b w:val="0"/>
                <w:bCs/>
                <w:color w:val="auto"/>
                <w:sz w:val="24"/>
                <w:szCs w:val="24"/>
              </w:rPr>
              <w:t>二氧化硫、氮氧化物</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VOC</w:t>
            </w:r>
            <w:r>
              <w:rPr>
                <w:rFonts w:hint="default" w:ascii="Times New Roman" w:hAnsi="Times New Roman" w:eastAsia="宋体" w:cs="Times New Roman"/>
                <w:b w:val="0"/>
                <w:bCs/>
                <w:color w:val="auto"/>
                <w:sz w:val="24"/>
                <w:szCs w:val="24"/>
                <w:vertAlign w:val="subscript"/>
                <w:lang w:val="en-US" w:eastAsia="zh-CN"/>
              </w:rPr>
              <w:t>S</w:t>
            </w:r>
            <w:r>
              <w:rPr>
                <w:rFonts w:hint="default" w:ascii="Times New Roman" w:hAnsi="Times New Roman" w:eastAsia="宋体" w:cs="Times New Roman"/>
                <w:b w:val="0"/>
                <w:bCs/>
                <w:color w:val="auto"/>
                <w:sz w:val="24"/>
                <w:szCs w:val="24"/>
              </w:rPr>
              <w:t>。</w:t>
            </w:r>
            <w:r>
              <w:rPr>
                <w:rFonts w:hint="eastAsia" w:ascii="宋体" w:hAnsi="宋体" w:eastAsia="宋体" w:cs="宋体"/>
                <w:b w:val="0"/>
                <w:bCs/>
                <w:color w:val="auto"/>
                <w:sz w:val="24"/>
                <w:szCs w:val="24"/>
              </w:rPr>
              <w:t>项目废水经预处理后排入市政污水管网，最终进入达州市第二污水处理厂集中处理后达标排入州河。项目废水污染物的总量控制指标纳入达州市第二污水处理厂已有的总量指标管理。本项目不设置大气污染物总量指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p>
          <w:p>
            <w:pPr>
              <w:pStyle w:val="13"/>
              <w:rPr>
                <w:rFonts w:hint="default" w:ascii="Times New Roman" w:hAnsi="Times New Roman" w:eastAsia="宋体" w:cs="Times New Roman"/>
                <w:color w:val="000000"/>
                <w:kern w:val="0"/>
                <w:sz w:val="24"/>
                <w:szCs w:val="24"/>
                <w:lang w:val="en-US" w:eastAsia="zh-CN" w:bidi="ar"/>
              </w:rPr>
            </w:pPr>
          </w:p>
          <w:p>
            <w:pPr>
              <w:rPr>
                <w:rFonts w:hint="default" w:ascii="Times New Roman" w:hAnsi="Times New Roman" w:eastAsia="宋体" w:cs="Times New Roman"/>
                <w:color w:val="000000"/>
                <w:kern w:val="0"/>
                <w:sz w:val="24"/>
                <w:szCs w:val="24"/>
                <w:lang w:val="en-US" w:eastAsia="zh-CN" w:bidi="ar"/>
              </w:rPr>
            </w:pPr>
          </w:p>
          <w:p>
            <w:pPr>
              <w:pStyle w:val="13"/>
              <w:rPr>
                <w:rFonts w:hint="default" w:ascii="Times New Roman" w:hAnsi="Times New Roman" w:eastAsia="宋体" w:cs="Times New Roman"/>
                <w:color w:val="000000"/>
                <w:kern w:val="0"/>
                <w:sz w:val="24"/>
                <w:szCs w:val="24"/>
                <w:lang w:val="en-US" w:eastAsia="zh-CN" w:bidi="ar"/>
              </w:rPr>
            </w:pPr>
          </w:p>
          <w:p>
            <w:pPr>
              <w:adjustRightInd w:val="0"/>
              <w:snapToGrid w:val="0"/>
              <w:jc w:val="both"/>
              <w:rPr>
                <w:rFonts w:ascii="宋体" w:hAnsi="宋体" w:cs="宋体"/>
                <w:kern w:val="0"/>
                <w:szCs w:val="21"/>
              </w:rPr>
            </w:pPr>
          </w:p>
        </w:tc>
      </w:tr>
    </w:tbl>
    <w:p>
      <w:pPr>
        <w:pStyle w:val="22"/>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2"/>
        <w:gridCol w:w="8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dxa"/>
            <w:noWrap w:val="0"/>
            <w:tcMar>
              <w:left w:w="28" w:type="dxa"/>
              <w:right w:w="28" w:type="dxa"/>
            </w:tcMar>
            <w:vAlign w:val="center"/>
          </w:tcPr>
          <w:p>
            <w:pPr>
              <w:pStyle w:val="22"/>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pPr>
              <w:pStyle w:val="22"/>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pPr>
              <w:pStyle w:val="22"/>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pPr>
              <w:pStyle w:val="22"/>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pPr>
              <w:pStyle w:val="22"/>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w:t>
            </w:r>
          </w:p>
        </w:tc>
        <w:tc>
          <w:tcPr>
            <w:tcW w:w="8586"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bCs w:val="0"/>
                <w:spacing w:val="-10"/>
                <w:sz w:val="24"/>
                <w:szCs w:val="24"/>
                <w:lang w:val="en-US" w:eastAsia="zh-CN"/>
              </w:rPr>
            </w:pPr>
            <w:r>
              <w:rPr>
                <w:rFonts w:hint="eastAsia" w:ascii="Times New Roman" w:hAnsi="Times New Roman" w:eastAsia="宋体" w:cs="Times New Roman"/>
                <w:b/>
                <w:bCs w:val="0"/>
                <w:spacing w:val="-10"/>
                <w:sz w:val="24"/>
                <w:szCs w:val="24"/>
                <w:lang w:val="en-US" w:eastAsia="zh-CN"/>
              </w:rPr>
              <w:t>1、废气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本项目施工期大气污染源主要来自于施工扬尘、机械</w:t>
            </w:r>
            <w:r>
              <w:rPr>
                <w:rFonts w:hint="eastAsia" w:ascii="Times New Roman" w:hAnsi="Times New Roman" w:eastAsia="宋体" w:cs="Times New Roman"/>
                <w:color w:val="000000"/>
                <w:kern w:val="0"/>
                <w:sz w:val="24"/>
                <w:szCs w:val="24"/>
                <w:lang w:val="en-US" w:eastAsia="zh-CN" w:bidi="ar"/>
              </w:rPr>
              <w:t>尾气、装修废气</w:t>
            </w:r>
            <w:r>
              <w:rPr>
                <w:rFonts w:hint="eastAsia" w:ascii="宋体" w:hAnsi="宋体" w:eastAsia="宋体" w:cs="宋体"/>
                <w:b w:val="0"/>
                <w:bCs w:val="0"/>
                <w:color w:val="000000"/>
                <w:kern w:val="0"/>
                <w:sz w:val="24"/>
                <w:szCs w:val="24"/>
                <w:lang w:val="en-US" w:eastAsia="zh-CN" w:bidi="ar"/>
              </w:rPr>
              <w:t>等。</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（1）施工扬尘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扬尘主要来源于以下几个方面</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土方挖掘、堆放、清运、回填及场地平整过程产生的粉尘；建筑材料如水泥、白灰、砂子等在其装卸、运输、堆放等过程中，因风力作用而产生的扬尘；搅拌车辆和运输车辆往来造成地面扬尘；施工垃圾在其堆放过程和清运过程中产生扬尘。根据类比资料可知，施工及运输车辆引起的扬尘对路边30m范围内影响较大，路边的TSP浓度可达到10mg/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以上，这些扬尘尽管是短期行为，但会对附近区域带来不利的影响。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为减少施工扬尘的产生和排放，在施工过程中，施工单位必须严格按照《四川省人民政府关于印发四川省打赢蓝天保卫战等九个实施方案的通知》</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川府发〔2019</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4号</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中有关施工工地和道路扬尘污染防治规定，积极推行绿色施工，施工现场必须全封闭设置围墙，严禁敞开式作业，施工现场道路、作业区、生活区必须进行地面硬化</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制定、完善和严格执行建设施工管理制度，全面推行现场标准化管理，</w:t>
            </w:r>
            <w:r>
              <w:rPr>
                <w:rFonts w:hint="default" w:ascii="Times New Roman" w:hAnsi="Times New Roman" w:eastAsia="宋体" w:cs="Times New Roman"/>
                <w:sz w:val="24"/>
                <w:szCs w:val="24"/>
                <w:lang w:val="en-US" w:eastAsia="zh-CN"/>
              </w:rPr>
              <w:t>认真落实施工现场管理</w:t>
            </w:r>
            <w:r>
              <w:rPr>
                <w:rFonts w:hint="default" w:ascii="Times New Roman" w:hAnsi="Times New Roman" w:eastAsia="宋体" w:cs="Times New Roman"/>
                <w:b w:val="0"/>
                <w:bCs w:val="0"/>
                <w:color w:val="000000"/>
                <w:kern w:val="0"/>
                <w:sz w:val="24"/>
                <w:szCs w:val="24"/>
                <w:lang w:val="en-US" w:eastAsia="zh-CN" w:bidi="ar"/>
              </w:rPr>
              <w:t>“六必须”</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必须围挡作业</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必须硬化道路</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必须设置冲洗设施</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必须及时洒水作业</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必须配齐保洁人员</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必须及时清扫施工现场</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、“六不准”</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不准车辆带泥出门</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不准运渣车辆冒载</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不准高空抛洒建筑垃圾</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不准现场搅拌混凝土</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不准场地积水</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不准现场焚烧废弃物），加强建设工地监督检查，督促责任单位落实降尘、压尘和抑尘措施。为此，施工单位应根据本项目分阶段建设的特殊性采取以下扬尘治理措施</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①</w:t>
            </w:r>
            <w:r>
              <w:rPr>
                <w:rFonts w:hint="default" w:ascii="Times New Roman" w:hAnsi="Times New Roman" w:eastAsia="宋体" w:cs="Times New Roman"/>
                <w:b w:val="0"/>
                <w:bCs w:val="0"/>
                <w:color w:val="000000"/>
                <w:kern w:val="0"/>
                <w:sz w:val="24"/>
                <w:szCs w:val="24"/>
                <w:lang w:val="en-US" w:eastAsia="zh-CN" w:bidi="ar"/>
              </w:rPr>
              <w:t>施工现场四周采用封闭的钢结构墙围挡，墙高2.</w:t>
            </w:r>
            <w:r>
              <w:rPr>
                <w:rFonts w:hint="eastAsia" w:ascii="Times New Roman" w:hAnsi="Times New Roman" w:eastAsia="宋体" w:cs="Times New Roman"/>
                <w:b w:val="0"/>
                <w:bCs w:val="0"/>
                <w:color w:val="000000"/>
                <w:kern w:val="0"/>
                <w:sz w:val="24"/>
                <w:szCs w:val="24"/>
                <w:lang w:val="en-US" w:eastAsia="zh-CN" w:bidi="ar"/>
              </w:rPr>
              <w:t>5</w:t>
            </w:r>
            <w:r>
              <w:rPr>
                <w:rFonts w:hint="default" w:ascii="Times New Roman" w:hAnsi="Times New Roman" w:eastAsia="宋体" w:cs="Times New Roman"/>
                <w:b w:val="0"/>
                <w:bCs w:val="0"/>
                <w:color w:val="000000"/>
                <w:kern w:val="0"/>
                <w:sz w:val="24"/>
                <w:szCs w:val="24"/>
                <w:lang w:val="en-US" w:eastAsia="zh-CN" w:bidi="ar"/>
              </w:rPr>
              <w:t>m，并在挡墙顶部安装高压喷雾装置</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挡墙长度约2</w:t>
            </w:r>
            <w:r>
              <w:rPr>
                <w:rFonts w:hint="eastAsia"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00m，每隔2m安装一个高压喷雾头</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，以减少结构和装修过程中的粉尘飞扬现象，降低粉尘向大气中的排放</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挡墙在拆除前，先将脚手板上的垃圾清理干净，清理时应避免扬尘</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②</w:t>
            </w:r>
            <w:r>
              <w:rPr>
                <w:rFonts w:hint="default" w:ascii="Times New Roman" w:hAnsi="Times New Roman" w:eastAsia="宋体" w:cs="Times New Roman"/>
                <w:b w:val="0"/>
                <w:bCs w:val="0"/>
                <w:color w:val="000000"/>
                <w:kern w:val="0"/>
                <w:sz w:val="24"/>
                <w:szCs w:val="24"/>
                <w:lang w:val="en-US" w:eastAsia="zh-CN" w:bidi="ar"/>
              </w:rPr>
              <w:t>要求施工单位文明施工，定期对地面洒水，并对散落在路面的渣土及时清除，清理阶段做到先洒水后清扫，避免产生扬尘对项目</w:t>
            </w:r>
            <w:r>
              <w:rPr>
                <w:rFonts w:hint="eastAsia" w:ascii="Times New Roman" w:hAnsi="Times New Roman" w:eastAsia="宋体" w:cs="Times New Roman"/>
                <w:b w:val="0"/>
                <w:bCs w:val="0"/>
                <w:color w:val="000000"/>
                <w:kern w:val="0"/>
                <w:sz w:val="24"/>
                <w:szCs w:val="24"/>
                <w:lang w:val="en-US" w:eastAsia="zh-CN" w:bidi="ar"/>
              </w:rPr>
              <w:t>较近的</w:t>
            </w:r>
            <w:r>
              <w:rPr>
                <w:rFonts w:hint="default" w:ascii="Times New Roman" w:hAnsi="Times New Roman" w:eastAsia="宋体" w:cs="Times New Roman"/>
                <w:b w:val="0"/>
                <w:bCs w:val="0"/>
                <w:color w:val="auto"/>
                <w:sz w:val="24"/>
                <w:szCs w:val="24"/>
                <w:highlight w:val="none"/>
                <w:lang w:val="en-US" w:eastAsia="zh-CN"/>
              </w:rPr>
              <w:t>南侧</w:t>
            </w:r>
            <w:r>
              <w:rPr>
                <w:rFonts w:hint="default" w:ascii="Times New Roman" w:hAnsi="Times New Roman" w:cs="Times New Roman"/>
                <w:color w:val="auto"/>
                <w:sz w:val="24"/>
                <w:szCs w:val="24"/>
                <w:lang w:val="en-US" w:eastAsia="zh-CN"/>
              </w:rPr>
              <w:t>达县职高</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东南侧</w:t>
            </w:r>
            <w:r>
              <w:rPr>
                <w:rFonts w:hint="eastAsia" w:ascii="Times New Roman" w:hAnsi="Times New Roman" w:cs="Times New Roman"/>
                <w:color w:val="auto"/>
                <w:sz w:val="24"/>
                <w:szCs w:val="24"/>
                <w:lang w:val="en-US" w:eastAsia="zh-CN"/>
              </w:rPr>
              <w:t>居民楼</w:t>
            </w:r>
            <w:r>
              <w:rPr>
                <w:rFonts w:hint="default" w:ascii="Times New Roman" w:hAnsi="Times New Roman" w:eastAsia="宋体" w:cs="Times New Roman"/>
                <w:b w:val="0"/>
                <w:bCs w:val="0"/>
                <w:color w:val="000000"/>
                <w:kern w:val="0"/>
                <w:sz w:val="24"/>
                <w:szCs w:val="24"/>
                <w:lang w:val="en-US" w:eastAsia="zh-CN" w:bidi="ar"/>
              </w:rPr>
              <w:t>造成影响</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③</w:t>
            </w:r>
            <w:r>
              <w:rPr>
                <w:rFonts w:hint="default" w:ascii="Times New Roman" w:hAnsi="Times New Roman" w:cs="Times New Roman"/>
                <w:color w:val="auto"/>
                <w:sz w:val="24"/>
                <w:szCs w:val="24"/>
                <w:highlight w:val="none"/>
              </w:rPr>
              <w:t>施工车辆实施限速管理，施工现场主要运输道路</w:t>
            </w:r>
            <w:r>
              <w:rPr>
                <w:rFonts w:hint="default" w:ascii="Times New Roman" w:hAnsi="Times New Roman" w:eastAsia="宋体" w:cs="Times New Roman"/>
                <w:b w:val="0"/>
                <w:bCs w:val="0"/>
                <w:color w:val="000000"/>
                <w:kern w:val="0"/>
                <w:sz w:val="24"/>
                <w:szCs w:val="24"/>
                <w:lang w:val="en-US" w:eastAsia="zh-CN" w:bidi="ar"/>
              </w:rPr>
              <w:t>采用硬化路面并进行洒水抑尘</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b w:val="0"/>
                <w:bCs w:val="0"/>
                <w:color w:val="000000"/>
                <w:kern w:val="0"/>
                <w:sz w:val="24"/>
                <w:szCs w:val="24"/>
                <w:lang w:val="en-US" w:eastAsia="zh-CN" w:bidi="ar"/>
              </w:rPr>
              <w:t>工地出入口处设置</w:t>
            </w:r>
            <w:r>
              <w:rPr>
                <w:rFonts w:hint="eastAsia" w:ascii="Times New Roman" w:hAnsi="Times New Roman" w:eastAsia="宋体" w:cs="Times New Roman"/>
                <w:b w:val="0"/>
                <w:bCs w:val="0"/>
                <w:color w:val="000000"/>
                <w:kern w:val="0"/>
                <w:sz w:val="24"/>
                <w:szCs w:val="24"/>
                <w:lang w:val="en-US" w:eastAsia="zh-CN" w:bidi="ar"/>
              </w:rPr>
              <w:t>车辆冲洗平台</w:t>
            </w:r>
            <w:r>
              <w:rPr>
                <w:rFonts w:hint="default" w:ascii="Times New Roman" w:hAnsi="Times New Roman" w:eastAsia="宋体" w:cs="Times New Roman"/>
                <w:b w:val="0"/>
                <w:bCs w:val="0"/>
                <w:color w:val="000000"/>
                <w:kern w:val="0"/>
                <w:sz w:val="24"/>
                <w:szCs w:val="24"/>
                <w:lang w:val="en-US" w:eastAsia="zh-CN" w:bidi="ar"/>
              </w:rPr>
              <w:t>，</w:t>
            </w:r>
            <w:r>
              <w:rPr>
                <w:rFonts w:hint="default" w:ascii="Times New Roman" w:hAnsi="Times New Roman" w:cs="Times New Roman"/>
                <w:color w:val="auto"/>
                <w:sz w:val="24"/>
                <w:szCs w:val="24"/>
                <w:highlight w:val="none"/>
              </w:rPr>
              <w:t>配套设置地面排水沟、沉淀池。</w:t>
            </w:r>
            <w:r>
              <w:rPr>
                <w:rFonts w:hint="default" w:ascii="Times New Roman" w:hAnsi="Times New Roman" w:eastAsia="宋体" w:cs="Times New Roman"/>
                <w:b w:val="0"/>
                <w:bCs w:val="0"/>
                <w:color w:val="000000"/>
                <w:kern w:val="0"/>
                <w:sz w:val="24"/>
                <w:szCs w:val="24"/>
                <w:lang w:val="en-US" w:eastAsia="zh-CN" w:bidi="ar"/>
              </w:rPr>
              <w:t>确保出入工地车轮不带泥</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④</w:t>
            </w:r>
            <w:r>
              <w:rPr>
                <w:rFonts w:hint="default" w:ascii="Times New Roman" w:hAnsi="Times New Roman" w:eastAsia="宋体" w:cs="Times New Roman"/>
                <w:b w:val="0"/>
                <w:bCs w:val="0"/>
                <w:color w:val="000000"/>
                <w:kern w:val="0"/>
                <w:sz w:val="24"/>
                <w:szCs w:val="24"/>
                <w:lang w:val="en-US" w:eastAsia="zh-CN" w:bidi="ar"/>
              </w:rPr>
              <w:t>施工过程中，楼上施工产生的建筑渣土不得在楼上向下倾倒，必须运送地面</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加强施工现场及其周边环境卫生管理，禁止在风天进行渣土堆放作业，建材堆放地点要相对集中（尽量堆放于项目</w:t>
            </w:r>
            <w:r>
              <w:rPr>
                <w:rFonts w:hint="eastAsia" w:ascii="Times New Roman" w:hAnsi="Times New Roman" w:eastAsia="宋体" w:cs="Times New Roman"/>
                <w:b w:val="0"/>
                <w:bCs w:val="0"/>
                <w:color w:val="000000"/>
                <w:kern w:val="0"/>
                <w:sz w:val="24"/>
                <w:szCs w:val="24"/>
                <w:lang w:val="en-US" w:eastAsia="zh-CN" w:bidi="ar"/>
              </w:rPr>
              <w:t>北</w:t>
            </w:r>
            <w:r>
              <w:rPr>
                <w:rFonts w:hint="default" w:ascii="Times New Roman" w:hAnsi="Times New Roman" w:eastAsia="宋体" w:cs="Times New Roman"/>
                <w:b w:val="0"/>
                <w:bCs w:val="0"/>
                <w:color w:val="000000"/>
                <w:kern w:val="0"/>
                <w:sz w:val="24"/>
                <w:szCs w:val="24"/>
                <w:lang w:val="en-US" w:eastAsia="zh-CN" w:bidi="ar"/>
              </w:rPr>
              <w:t>侧，远离</w:t>
            </w:r>
            <w:r>
              <w:rPr>
                <w:rFonts w:hint="default" w:ascii="Times New Roman" w:hAnsi="Times New Roman" w:eastAsia="宋体" w:cs="Times New Roman"/>
                <w:b w:val="0"/>
                <w:bCs w:val="0"/>
                <w:color w:val="auto"/>
                <w:sz w:val="24"/>
                <w:szCs w:val="24"/>
                <w:highlight w:val="none"/>
                <w:lang w:val="en-US" w:eastAsia="zh-CN"/>
              </w:rPr>
              <w:t>南侧</w:t>
            </w:r>
            <w:r>
              <w:rPr>
                <w:rFonts w:hint="default" w:ascii="Times New Roman" w:hAnsi="Times New Roman" w:cs="Times New Roman"/>
                <w:color w:val="auto"/>
                <w:sz w:val="24"/>
                <w:szCs w:val="24"/>
                <w:lang w:val="en-US" w:eastAsia="zh-CN"/>
              </w:rPr>
              <w:t>达县职高</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东南侧</w:t>
            </w:r>
            <w:r>
              <w:rPr>
                <w:rFonts w:hint="eastAsia" w:ascii="Times New Roman" w:hAnsi="Times New Roman" w:cs="Times New Roman"/>
                <w:color w:val="auto"/>
                <w:sz w:val="24"/>
                <w:szCs w:val="24"/>
                <w:lang w:val="en-US" w:eastAsia="zh-CN"/>
              </w:rPr>
              <w:t>居民楼</w:t>
            </w:r>
            <w:r>
              <w:rPr>
                <w:rFonts w:hint="default" w:ascii="Times New Roman" w:hAnsi="Times New Roman" w:eastAsia="宋体" w:cs="Times New Roman"/>
                <w:b w:val="0"/>
                <w:bCs w:val="0"/>
                <w:color w:val="000000"/>
                <w:kern w:val="0"/>
                <w:sz w:val="24"/>
                <w:szCs w:val="24"/>
                <w:lang w:val="en-US" w:eastAsia="zh-CN" w:bidi="ar"/>
              </w:rPr>
              <w:t>），并加盖篷布等防尘措施，抑制扬尘量</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开挖出的土石方应加强围栏，表面用毡布覆盖，并及时回填</w:t>
            </w:r>
            <w:r>
              <w:rPr>
                <w:rFonts w:hint="eastAsia" w:ascii="Times New Roman" w:hAnsi="Times New Roman" w:eastAsia="宋体" w:cs="Times New Roman"/>
                <w:b w:val="0"/>
                <w:bCs w:val="0"/>
                <w:color w:val="000000"/>
                <w:kern w:val="0"/>
                <w:sz w:val="24"/>
                <w:szCs w:val="24"/>
                <w:lang w:val="en-US" w:eastAsia="zh-CN" w:bidi="ar"/>
              </w:rPr>
              <w:t>。</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运输车辆采取密闭运输（使用防尘布覆盖），装填时需进行压实，装填高度严禁超过车斗防护栏；车辆卸货时禁止直接倾倒、抛撒；施工期材料尽可能适量、适时采购，运至施工场地后，应尽快使用，禁止在施工场地长时间堆放。</w:t>
            </w:r>
          </w:p>
          <w:p>
            <w:pPr>
              <w:pageBreakBefore w:val="0"/>
              <w:kinsoku/>
              <w:wordWrap/>
              <w:bidi w:val="0"/>
              <w:spacing w:line="360" w:lineRule="auto"/>
              <w:ind w:left="0" w:leftChars="0" w:right="0" w:firstLine="480" w:firstLineChars="200"/>
              <w:rPr>
                <w:rFonts w:hint="eastAsia" w:ascii="宋体" w:hAnsi="宋体" w:eastAsia="宋体" w:cs="宋体"/>
                <w:b w:val="0"/>
                <w:bCs w:val="0"/>
                <w:color w:val="000000"/>
                <w:kern w:val="0"/>
                <w:sz w:val="24"/>
                <w:szCs w:val="24"/>
                <w:lang w:val="en-US" w:eastAsia="zh-CN" w:bidi="ar"/>
              </w:rPr>
            </w:pPr>
            <w:r>
              <w:rPr>
                <w:rFonts w:hint="eastAsia" w:ascii="Times New Roman" w:hAnsi="Times New Roman" w:cs="Times New Roman"/>
                <w:color w:val="auto"/>
                <w:sz w:val="24"/>
                <w:szCs w:val="24"/>
                <w:highlight w:val="none"/>
                <w:lang w:val="en-US" w:eastAsia="zh-CN"/>
              </w:rPr>
              <w:t>⑤</w:t>
            </w:r>
            <w:r>
              <w:rPr>
                <w:rFonts w:hint="default" w:ascii="Times New Roman" w:hAnsi="Times New Roman" w:cs="Times New Roman"/>
                <w:color w:val="auto"/>
                <w:sz w:val="24"/>
                <w:szCs w:val="24"/>
                <w:highlight w:val="none"/>
              </w:rPr>
              <w:t>尽可能的加快施工进度安排，使项目挖、填方作业尽快完成。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w:t>
            </w:r>
            <w:r>
              <w:rPr>
                <w:rFonts w:hint="default" w:ascii="Times New Roman" w:hAnsi="Times New Roman" w:eastAsia="宋体" w:cs="Times New Roman"/>
                <w:sz w:val="24"/>
                <w:szCs w:val="24"/>
                <w:lang w:val="en-US" w:eastAsia="zh-CN"/>
              </w:rPr>
              <w:t>施工结束后，应尽快对裸露的地面进行硬化和绿化。</w:t>
            </w:r>
          </w:p>
          <w:p>
            <w:pPr>
              <w:pageBreakBefore w:val="0"/>
              <w:kinsoku/>
              <w:wordWrap/>
              <w:bidi w:val="0"/>
              <w:spacing w:line="360" w:lineRule="auto"/>
              <w:ind w:left="0" w:leftChars="0" w:right="0"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评价认为在项目施工期，对扬尘严格采取了上述防治措施后，其浓度可得到有效控制，可满足《四川省施工场地扬尘排放标准》（DB51/2682-2020）表1标准限值要求，实现达标排放。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bCs w:val="0"/>
                <w:spacing w:val="-10"/>
                <w:sz w:val="24"/>
                <w:szCs w:val="24"/>
                <w:lang w:val="en-US" w:eastAsia="zh-CN"/>
              </w:rPr>
            </w:pPr>
            <w:r>
              <w:rPr>
                <w:rFonts w:hint="eastAsia" w:ascii="Times New Roman" w:hAnsi="Times New Roman" w:eastAsia="宋体" w:cs="Times New Roman"/>
                <w:b/>
                <w:bCs w:val="0"/>
                <w:spacing w:val="-10"/>
                <w:sz w:val="24"/>
                <w:szCs w:val="24"/>
                <w:lang w:val="en-US" w:eastAsia="zh-CN"/>
              </w:rPr>
              <w:t>（2）机械尾气</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项目施工设备和建筑机械设备的运转，会排放一定量的CO、NO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bCs w:val="0"/>
                <w:spacing w:val="-10"/>
                <w:sz w:val="24"/>
                <w:szCs w:val="24"/>
                <w:lang w:val="en-US" w:eastAsia="zh-CN"/>
              </w:rPr>
            </w:pPr>
            <w:r>
              <w:rPr>
                <w:rFonts w:hint="eastAsia" w:ascii="Times New Roman" w:hAnsi="Times New Roman" w:eastAsia="宋体" w:cs="Times New Roman"/>
                <w:b/>
                <w:bCs w:val="0"/>
                <w:spacing w:val="-10"/>
                <w:sz w:val="24"/>
                <w:szCs w:val="24"/>
                <w:lang w:val="en-US" w:eastAsia="zh-CN"/>
              </w:rPr>
              <w:t>（3）装修废气</w:t>
            </w:r>
          </w:p>
          <w:p>
            <w:pPr>
              <w:pageBreakBefore w:val="0"/>
              <w:kinsoku/>
              <w:wordWrap/>
              <w:bidi w:val="0"/>
              <w:spacing w:line="360" w:lineRule="auto"/>
              <w:ind w:left="0" w:leftChars="0" w:right="0" w:firstLine="480" w:firstLineChars="200"/>
              <w:rPr>
                <w:rFonts w:hint="default" w:ascii="Times New Roman" w:hAnsi="Times New Roman" w:eastAsia="宋体" w:cs="Times New Roman"/>
                <w:b/>
                <w:bCs w:val="0"/>
                <w:spacing w:val="-10"/>
                <w:sz w:val="24"/>
                <w:szCs w:val="24"/>
                <w:lang w:val="en-US" w:eastAsia="zh-CN"/>
              </w:rPr>
            </w:pPr>
            <w:r>
              <w:rPr>
                <w:rFonts w:hint="default" w:ascii="Times New Roman" w:hAnsi="Times New Roman" w:cs="Times New Roman"/>
                <w:color w:val="auto"/>
                <w:sz w:val="24"/>
                <w:szCs w:val="24"/>
                <w:highlight w:val="none"/>
              </w:rPr>
              <w:t>装修废气主要来自房屋装修阶段，主要污染因子是涂料挥发废气，该废气的排放属无组织排放，由于装修阶段的装修废气排放周期短，且装修面积较少、作业点分散，故装修期间应加强通风换气。</w:t>
            </w:r>
            <w:r>
              <w:rPr>
                <w:rFonts w:hint="default" w:ascii="Times New Roman" w:hAnsi="Times New Roman" w:cs="Times New Roman"/>
                <w:bCs/>
                <w:color w:val="auto"/>
                <w:sz w:val="24"/>
                <w:szCs w:val="24"/>
                <w:highlight w:val="none"/>
              </w:rPr>
              <w:t>环</w:t>
            </w:r>
            <w:r>
              <w:rPr>
                <w:rFonts w:hint="default" w:ascii="Times New Roman" w:hAnsi="Times New Roman" w:cs="Times New Roman"/>
                <w:color w:val="auto"/>
                <w:sz w:val="24"/>
                <w:szCs w:val="24"/>
                <w:highlight w:val="none"/>
              </w:rPr>
              <w:t>评要求采用优质环保的装修材料，使用无污染性废气产生的材料、涂料，减少废气中有害物质的排放</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Cs/>
                <w:spacing w:val="-10"/>
                <w:sz w:val="24"/>
                <w:szCs w:val="24"/>
                <w:lang w:val="en-US" w:eastAsia="zh-CN"/>
              </w:rPr>
            </w:pPr>
            <w:r>
              <w:rPr>
                <w:rFonts w:hint="default" w:ascii="Times New Roman" w:hAnsi="Times New Roman" w:eastAsia="宋体" w:cs="Times New Roman"/>
                <w:b/>
                <w:bCs w:val="0"/>
                <w:spacing w:val="-10"/>
                <w:sz w:val="24"/>
                <w:szCs w:val="24"/>
                <w:lang w:val="en-US" w:eastAsia="zh-CN"/>
              </w:rPr>
              <w:t>2、废水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本项目施工期废水主要来自于施工人员产生的生活污水、施工作业产生的施工废水、车辆冲洗废水。</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施工高峰期施工人员预计约</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人，均为当地民工，项目不设施工营地，</w:t>
            </w:r>
            <w:r>
              <w:rPr>
                <w:rFonts w:hint="eastAsia" w:cs="Times New Roman"/>
                <w:color w:val="auto"/>
                <w:sz w:val="24"/>
                <w:szCs w:val="24"/>
                <w:highlight w:val="none"/>
                <w:lang w:val="en-US" w:eastAsia="zh-CN"/>
              </w:rPr>
              <w:t>租用周围民房，</w:t>
            </w:r>
            <w:r>
              <w:rPr>
                <w:rFonts w:hint="default" w:ascii="Times New Roman" w:hAnsi="Times New Roman" w:cs="Times New Roman"/>
                <w:color w:val="auto"/>
                <w:sz w:val="24"/>
                <w:szCs w:val="24"/>
                <w:highlight w:val="none"/>
              </w:rPr>
              <w:t>施工人员均不在工地食宿，施工人员生活用水量按0.1m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/d，生活污水产生系数取0.85，则生活污水产生量为</w:t>
            </w:r>
            <w:r>
              <w:rPr>
                <w:rFonts w:hint="eastAsia" w:cs="Times New Roman"/>
                <w:color w:val="auto"/>
                <w:sz w:val="24"/>
                <w:szCs w:val="24"/>
                <w:highlight w:val="none"/>
                <w:lang w:val="en-US" w:eastAsia="zh-CN"/>
              </w:rPr>
              <w:t>4.25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生活污水</w:t>
            </w:r>
            <w:r>
              <w:rPr>
                <w:rFonts w:hint="default" w:ascii="Times New Roman" w:hAnsi="Times New Roman" w:cs="Times New Roman"/>
                <w:color w:val="auto"/>
                <w:sz w:val="24"/>
                <w:szCs w:val="24"/>
                <w:highlight w:val="none"/>
              </w:rPr>
              <w:t>利用周边公共生活设施，由已建预处理池处理达《污水综合排放标准》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GB8978-1996</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中三级标准后排入市政污水管网。</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（2）施工废水</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000000"/>
                <w:kern w:val="0"/>
                <w:sz w:val="24"/>
                <w:szCs w:val="24"/>
                <w:lang w:val="en-US" w:eastAsia="zh-CN" w:bidi="ar"/>
              </w:rPr>
              <w:t>主要包括</w:t>
            </w:r>
            <w:r>
              <w:rPr>
                <w:rFonts w:hint="default" w:ascii="Times New Roman" w:hAnsi="Times New Roman" w:eastAsia="宋体" w:cs="Times New Roman"/>
                <w:color w:val="auto"/>
                <w:sz w:val="24"/>
                <w:szCs w:val="24"/>
                <w:lang w:eastAsia="zh-CN"/>
              </w:rPr>
              <w:t>河道</w:t>
            </w:r>
            <w:r>
              <w:rPr>
                <w:rFonts w:hint="default" w:ascii="Times New Roman" w:hAnsi="Times New Roman" w:eastAsia="宋体" w:cs="Times New Roman"/>
                <w:color w:val="auto"/>
                <w:sz w:val="24"/>
                <w:szCs w:val="24"/>
              </w:rPr>
              <w:t>基坑排水、砼堤岸养护废水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围堰施工废水等，</w:t>
            </w:r>
            <w:r>
              <w:rPr>
                <w:rFonts w:hint="default" w:ascii="Times New Roman" w:hAnsi="Times New Roman" w:cs="Times New Roman"/>
                <w:color w:val="auto"/>
                <w:sz w:val="24"/>
                <w:szCs w:val="24"/>
                <w:highlight w:val="none"/>
              </w:rPr>
              <w:t>施工废水中的主要污染物为pH（一般大于7）、SS、COD，污水中COD浓度值最高约500m/L、BOD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约400mg/L、SS 约1000mg/L。经类比分析，项目施工期施工废水预计排放量为</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/d，为防止施工废水对区域地表水环境造成影响，本环评要求建设单位应采取以下污染防治措施：</w:t>
            </w:r>
          </w:p>
          <w:p>
            <w:pPr>
              <w:spacing w:line="360" w:lineRule="auto"/>
              <w:ind w:firstLine="480" w:firstLineChars="200"/>
              <w:rPr>
                <w:rFonts w:cs="Times New Roman"/>
                <w:sz w:val="24"/>
                <w:szCs w:val="24"/>
              </w:rPr>
            </w:pPr>
            <w:r>
              <w:rPr>
                <w:rFonts w:hint="eastAsia" w:cs="Times New Roman"/>
                <w:sz w:val="24"/>
                <w:szCs w:val="24"/>
              </w:rPr>
              <w:t>①</w:t>
            </w:r>
            <w:r>
              <w:rPr>
                <w:rFonts w:cs="Times New Roman"/>
                <w:sz w:val="24"/>
                <w:szCs w:val="24"/>
              </w:rPr>
              <w:t>施工场地设置排水沟（沟宽×深≥300×300mm，排水坡度应大于3%）和三级沉淀池（池体容积≥4m³），废水经沉淀处理后全部回用。</w:t>
            </w:r>
          </w:p>
          <w:p>
            <w:pPr>
              <w:spacing w:line="360" w:lineRule="auto"/>
              <w:ind w:firstLine="480" w:firstLineChars="200"/>
              <w:rPr>
                <w:rFonts w:hint="default" w:eastAsia="宋体" w:cs="Times New Roman"/>
                <w:sz w:val="24"/>
                <w:szCs w:val="24"/>
                <w:lang w:val="en-US" w:eastAsia="zh-CN"/>
              </w:rPr>
            </w:pPr>
            <w:r>
              <w:rPr>
                <w:rFonts w:hint="eastAsia" w:cs="Times New Roman"/>
                <w:sz w:val="24"/>
                <w:szCs w:val="24"/>
                <w:lang w:val="en-US" w:eastAsia="zh-CN"/>
              </w:rPr>
              <w:t>②围堰施工废水</w:t>
            </w:r>
            <w:r>
              <w:rPr>
                <w:rFonts w:hint="eastAsia" w:ascii="Times New Roman" w:hAnsi="Times New Roman" w:cs="Times New Roman"/>
                <w:color w:val="auto"/>
                <w:sz w:val="24"/>
                <w:lang w:val="en-US" w:eastAsia="zh-CN"/>
              </w:rPr>
              <w:t>用</w:t>
            </w:r>
            <w:r>
              <w:rPr>
                <w:rFonts w:hint="eastAsia" w:cs="Times New Roman"/>
                <w:b w:val="0"/>
                <w:bCs w:val="0"/>
                <w:color w:val="auto"/>
                <w:sz w:val="24"/>
                <w:szCs w:val="24"/>
                <w:highlight w:val="none"/>
                <w:lang w:val="en-US" w:eastAsia="zh-CN"/>
              </w:rPr>
              <w:t>离心泵</w:t>
            </w:r>
            <w:r>
              <w:rPr>
                <w:rFonts w:hint="eastAsia" w:ascii="Times New Roman" w:hAnsi="Times New Roman" w:cs="Times New Roman"/>
                <w:color w:val="auto"/>
                <w:sz w:val="24"/>
                <w:lang w:val="en-US" w:eastAsia="zh-CN"/>
              </w:rPr>
              <w:t>抽</w:t>
            </w:r>
            <w:r>
              <w:rPr>
                <w:rFonts w:hint="default" w:ascii="Times New Roman" w:hAnsi="Times New Roman" w:eastAsia="宋体" w:cs="Times New Roman"/>
                <w:color w:val="auto"/>
                <w:sz w:val="24"/>
              </w:rPr>
              <w:t>至临时</w:t>
            </w:r>
            <w:r>
              <w:rPr>
                <w:rFonts w:hint="eastAsia" w:ascii="Times New Roman" w:hAnsi="Times New Roman" w:eastAsia="宋体" w:cs="Times New Roman"/>
                <w:color w:val="auto"/>
                <w:sz w:val="24"/>
                <w:lang w:val="en-US" w:eastAsia="zh-CN"/>
              </w:rPr>
              <w:t>三级</w:t>
            </w:r>
            <w:r>
              <w:rPr>
                <w:rFonts w:hint="default" w:ascii="Times New Roman" w:hAnsi="Times New Roman" w:eastAsia="宋体" w:cs="Times New Roman"/>
                <w:color w:val="auto"/>
                <w:sz w:val="24"/>
              </w:rPr>
              <w:t>沉淀池沉淀后回用于降尘，禁止外排。同时在施工结束后清理河床将其恢复原貌。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③</w:t>
            </w:r>
            <w:r>
              <w:rPr>
                <w:rFonts w:hint="eastAsia"/>
                <w:sz w:val="24"/>
                <w:szCs w:val="24"/>
              </w:rPr>
              <w:t>加强施工管理，严格避免超挖、禁止雨天开挖作业；场地内地下渗水等应收集后用作车辆冲洗、洒水降尘等。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eastAsia="宋体"/>
                <w:sz w:val="24"/>
                <w:szCs w:val="24"/>
                <w:lang w:val="en-US" w:eastAsia="zh-CN"/>
              </w:rPr>
            </w:pPr>
            <w:r>
              <w:rPr>
                <w:rFonts w:hint="eastAsia"/>
                <w:sz w:val="24"/>
                <w:szCs w:val="24"/>
                <w:lang w:val="en-US" w:eastAsia="zh-CN"/>
              </w:rPr>
              <w:t>④</w:t>
            </w:r>
            <w:r>
              <w:rPr>
                <w:rFonts w:hint="default" w:ascii="Times New Roman" w:hAnsi="Times New Roman" w:cs="Times New Roman"/>
                <w:b w:val="0"/>
                <w:bCs w:val="0"/>
                <w:color w:val="auto"/>
                <w:sz w:val="24"/>
                <w:szCs w:val="24"/>
                <w:highlight w:val="none"/>
              </w:rPr>
              <w:t>项目施工地点离</w:t>
            </w:r>
            <w:r>
              <w:rPr>
                <w:rFonts w:hint="eastAsia" w:ascii="Times New Roman" w:hAnsi="Times New Roman" w:cs="Times New Roman"/>
                <w:b w:val="0"/>
                <w:bCs w:val="0"/>
                <w:color w:val="auto"/>
                <w:sz w:val="24"/>
                <w:szCs w:val="24"/>
                <w:highlight w:val="none"/>
                <w:lang w:val="en-US" w:eastAsia="zh-CN"/>
              </w:rPr>
              <w:t>子槽沟</w:t>
            </w:r>
            <w:r>
              <w:rPr>
                <w:rFonts w:hint="default" w:ascii="Times New Roman" w:hAnsi="Times New Roman" w:cs="Times New Roman"/>
                <w:b w:val="0"/>
                <w:bCs w:val="0"/>
                <w:color w:val="auto"/>
                <w:sz w:val="24"/>
                <w:szCs w:val="24"/>
                <w:highlight w:val="none"/>
              </w:rPr>
              <w:t>较近，环评要求：</w:t>
            </w:r>
            <w:r>
              <w:rPr>
                <w:rFonts w:hint="default" w:ascii="Times New Roman" w:hAnsi="Times New Roman" w:cs="Times New Roman"/>
                <w:b w:val="0"/>
                <w:bCs w:val="0"/>
                <w:color w:val="auto"/>
                <w:kern w:val="0"/>
                <w:sz w:val="24"/>
                <w:highlight w:val="none"/>
              </w:rPr>
              <w:t>严禁将施工弃渣、弃土、垃圾以及未经处理的废水、废液直接倾倒至</w:t>
            </w:r>
            <w:r>
              <w:rPr>
                <w:rFonts w:hint="eastAsia" w:ascii="Times New Roman" w:hAnsi="Times New Roman" w:cs="Times New Roman"/>
                <w:b w:val="0"/>
                <w:bCs w:val="0"/>
                <w:color w:val="auto"/>
                <w:sz w:val="24"/>
                <w:szCs w:val="24"/>
                <w:highlight w:val="none"/>
                <w:lang w:val="en-US" w:eastAsia="zh-CN"/>
              </w:rPr>
              <w:t>子槽沟</w:t>
            </w:r>
            <w:r>
              <w:rPr>
                <w:rFonts w:hint="default" w:ascii="Times New Roman" w:hAnsi="Times New Roman" w:cs="Times New Roman"/>
                <w:b w:val="0"/>
                <w:bCs w:val="0"/>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（3）车辆冲洗废水</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施工作业使用的燃油动力机械在维护和冲洗时，将产生含少量SS污染物的废水。项目区进出口设置车辆冲洗平台，</w:t>
            </w:r>
            <w:r>
              <w:rPr>
                <w:rFonts w:cs="Times New Roman"/>
                <w:sz w:val="24"/>
                <w:szCs w:val="24"/>
              </w:rPr>
              <w:t>车辆冲洗点配套修建隔油</w:t>
            </w:r>
            <w:r>
              <w:rPr>
                <w:rFonts w:hint="eastAsia" w:cs="Times New Roman"/>
                <w:sz w:val="24"/>
                <w:szCs w:val="24"/>
                <w:lang w:val="en-US" w:eastAsia="zh-CN"/>
              </w:rPr>
              <w:t>沉淀</w:t>
            </w:r>
            <w:r>
              <w:rPr>
                <w:rFonts w:cs="Times New Roman"/>
                <w:sz w:val="24"/>
                <w:szCs w:val="24"/>
              </w:rPr>
              <w:t>设施（池体容积≥1m</w:t>
            </w:r>
            <w:r>
              <w:rPr>
                <w:rFonts w:cs="Times New Roman"/>
                <w:sz w:val="24"/>
                <w:szCs w:val="24"/>
                <w:vertAlign w:val="superscript"/>
              </w:rPr>
              <w:t>3</w:t>
            </w:r>
            <w:r>
              <w:rPr>
                <w:rFonts w:hint="eastAsia" w:cs="Times New Roman"/>
                <w:sz w:val="24"/>
                <w:szCs w:val="24"/>
                <w:vertAlign w:val="baseline"/>
                <w:lang w:eastAsia="zh-CN"/>
              </w:rPr>
              <w:t>），</w:t>
            </w:r>
            <w:r>
              <w:rPr>
                <w:rFonts w:hint="default" w:ascii="Times New Roman" w:hAnsi="Times New Roman" w:eastAsia="宋体" w:cs="Times New Roman"/>
                <w:color w:val="000000"/>
                <w:kern w:val="0"/>
                <w:sz w:val="24"/>
                <w:szCs w:val="24"/>
                <w:lang w:val="en-US" w:eastAsia="zh-CN" w:bidi="ar"/>
              </w:rPr>
              <w:t>车辆冲洗废水经</w:t>
            </w:r>
            <w:r>
              <w:rPr>
                <w:rFonts w:hint="eastAsia" w:ascii="Times New Roman" w:hAnsi="Times New Roman" w:eastAsia="宋体" w:cs="Times New Roman"/>
                <w:color w:val="000000"/>
                <w:kern w:val="0"/>
                <w:sz w:val="24"/>
                <w:szCs w:val="24"/>
                <w:lang w:val="en-US" w:eastAsia="zh-CN" w:bidi="ar"/>
              </w:rPr>
              <w:t>隔油</w:t>
            </w:r>
            <w:r>
              <w:rPr>
                <w:rFonts w:hint="default" w:ascii="Times New Roman" w:hAnsi="Times New Roman" w:eastAsia="宋体" w:cs="Times New Roman"/>
                <w:color w:val="000000"/>
                <w:kern w:val="0"/>
                <w:sz w:val="24"/>
                <w:szCs w:val="24"/>
                <w:lang w:val="en-US" w:eastAsia="zh-CN" w:bidi="ar"/>
              </w:rPr>
              <w:t>沉淀处理后回用于车辆冲洗、</w:t>
            </w:r>
            <w:r>
              <w:rPr>
                <w:rFonts w:hint="eastAsia" w:ascii="Times New Roman" w:hAnsi="Times New Roman" w:eastAsia="宋体" w:cs="Times New Roman"/>
                <w:color w:val="000000"/>
                <w:kern w:val="0"/>
                <w:sz w:val="24"/>
                <w:szCs w:val="24"/>
                <w:lang w:val="en-US" w:eastAsia="zh-CN" w:bidi="ar"/>
              </w:rPr>
              <w:t>洒水降尘</w:t>
            </w:r>
            <w:r>
              <w:rPr>
                <w:rFonts w:hint="default" w:ascii="Times New Roman" w:hAnsi="Times New Roman" w:eastAsia="宋体" w:cs="Times New Roman"/>
                <w:color w:val="000000"/>
                <w:kern w:val="0"/>
                <w:sz w:val="24"/>
                <w:szCs w:val="24"/>
                <w:lang w:val="en-US" w:eastAsia="zh-CN" w:bidi="ar"/>
              </w:rPr>
              <w:t>，不外排。</w:t>
            </w:r>
          </w:p>
          <w:p>
            <w:pPr>
              <w:pageBreakBefore w:val="0"/>
              <w:kinsoku/>
              <w:wordWrap/>
              <w:bidi w:val="0"/>
              <w:spacing w:line="360" w:lineRule="auto"/>
              <w:ind w:left="0" w:leftChars="0" w:right="0" w:firstLine="480"/>
            </w:pPr>
            <w:r>
              <w:rPr>
                <w:rFonts w:hint="default" w:ascii="Times New Roman" w:hAnsi="Times New Roman" w:cs="Times New Roman"/>
                <w:bCs/>
                <w:color w:val="auto"/>
                <w:kern w:val="0"/>
                <w:sz w:val="24"/>
                <w:highlight w:val="none"/>
              </w:rPr>
              <w:t>综上，采取上述污染防治措施后不会对项目周边水体产生不良影响。</w:t>
            </w:r>
            <w:r>
              <w:rPr>
                <w:rFonts w:hint="default" w:ascii="Times New Roman" w:hAnsi="Times New Roman" w:cs="Times New Roman"/>
                <w:color w:val="auto"/>
                <w:sz w:val="24"/>
                <w:szCs w:val="24"/>
                <w:highlight w:val="none"/>
              </w:rPr>
              <w:t>其对环境的影响是可接受的。</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bCs w:val="0"/>
                <w:spacing w:val="-10"/>
                <w:sz w:val="24"/>
                <w:szCs w:val="24"/>
                <w:lang w:val="en-US" w:eastAsia="zh-CN"/>
              </w:rPr>
            </w:pPr>
            <w:r>
              <w:rPr>
                <w:rFonts w:hint="eastAsia" w:ascii="Times New Roman" w:hAnsi="Times New Roman" w:eastAsia="宋体" w:cs="Times New Roman"/>
                <w:b/>
                <w:bCs w:val="0"/>
                <w:spacing w:val="-10"/>
                <w:sz w:val="24"/>
                <w:szCs w:val="24"/>
                <w:lang w:val="en-US" w:eastAsia="zh-CN"/>
              </w:rPr>
              <w:t>3、噪声</w:t>
            </w:r>
          </w:p>
          <w:p>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①选用符合国家标准的低噪声设备，定期加强对设备的维修保养，避免由于设备非正常工作而产生噪声污染。</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②合理安排施工时序和施工时间，禁止夜间（22:00~6:00）施工，如夜间需进行施工工艺要求必须连续作业的强噪声施工，须事先征得周围居民同意，向当地管理部门申报。</w:t>
            </w:r>
          </w:p>
          <w:p>
            <w:pPr>
              <w:pageBreakBefore w:val="0"/>
              <w:kinsoku/>
              <w:wordWrap/>
              <w:bidi w:val="0"/>
              <w:spacing w:line="360" w:lineRule="auto"/>
              <w:ind w:left="0" w:leftChars="0" w:right="0"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③加强管理，文明施工。装卸、搬运木材、模具、钢材等严禁抛掷，材料运输车辆进场要专人指挥，厂内运输车辆实施限速、禁止鸣笛。施工监理单位应做好噪声控制措施，确保施工场界噪声达标排放。</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④施工运输车辆应按照有关部门同意的运输路线行进，运输时间应避开居民进出高峰期，同时严格限速、限载管理，禁止鸣笛。</w:t>
            </w:r>
          </w:p>
          <w:p>
            <w:pPr>
              <w:pageBreakBefore w:val="0"/>
              <w:kinsoku/>
              <w:wordWrap/>
              <w:bidi w:val="0"/>
              <w:spacing w:line="360" w:lineRule="auto"/>
              <w:ind w:left="0" w:leftChars="0" w:right="0"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⑤合理布置施工总平面。施工期高噪声尽量设备布置在场地中央，有效利用距离的衰减，确保场界达标排放。</w:t>
            </w:r>
          </w:p>
          <w:p>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⑥施工前应进行公示，施工单位应在现场张贴通告和投诉电话，建设单位在接到投诉电话后及时与当地环保部门联系，及时处理各种环境纠纷。</w:t>
            </w:r>
          </w:p>
          <w:p>
            <w:pPr>
              <w:pageBreakBefore w:val="0"/>
              <w:kinsoku/>
              <w:wordWrap/>
              <w:bidi w:val="0"/>
              <w:spacing w:line="360" w:lineRule="auto"/>
              <w:ind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⑦本项目施工期较长，建议对接近</w:t>
            </w:r>
            <w:r>
              <w:rPr>
                <w:rFonts w:hint="default" w:ascii="Times New Roman" w:hAnsi="Times New Roman" w:cs="Times New Roman"/>
                <w:color w:val="auto"/>
                <w:sz w:val="24"/>
                <w:szCs w:val="24"/>
                <w:lang w:val="en-US" w:eastAsia="zh-CN"/>
              </w:rPr>
              <w:t>达县职高</w:t>
            </w:r>
            <w:r>
              <w:rPr>
                <w:rFonts w:hint="eastAsia" w:ascii="Times New Roman" w:hAnsi="Times New Roman" w:cs="Times New Roman"/>
                <w:color w:val="auto"/>
                <w:sz w:val="24"/>
                <w:szCs w:val="24"/>
                <w:highlight w:val="none"/>
                <w:lang w:val="en-US" w:eastAsia="zh-CN"/>
              </w:rPr>
              <w:t>部分的施工可以调整在寒暑假期间施工。若遇到中高考期间则停止施工。</w:t>
            </w:r>
          </w:p>
          <w:p>
            <w:pPr>
              <w:pageBreakBefore w:val="0"/>
              <w:kinsoku/>
              <w:wordWrap/>
              <w:bidi w:val="0"/>
              <w:spacing w:line="360" w:lineRule="auto"/>
              <w:ind w:left="0" w:leftChars="0" w:right="0" w:firstLine="425"/>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施工期经过采取上述噪声治理措施后，场界噪声可以满足《建筑施工场界环境噪声排放标准》（GB12523-2011）标准的要求，实现达标排放</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bCs w:val="0"/>
                <w:spacing w:val="-10"/>
                <w:sz w:val="24"/>
                <w:szCs w:val="24"/>
                <w:lang w:val="en-US" w:eastAsia="zh-CN"/>
              </w:rPr>
            </w:pPr>
            <w:r>
              <w:rPr>
                <w:rFonts w:hint="eastAsia" w:ascii="Times New Roman" w:hAnsi="Times New Roman" w:eastAsia="宋体" w:cs="Times New Roman"/>
                <w:b/>
                <w:bCs w:val="0"/>
                <w:spacing w:val="-10"/>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eastAsia="宋体" w:cs="宋体"/>
                <w:color w:val="000000"/>
                <w:kern w:val="0"/>
                <w:sz w:val="24"/>
                <w:szCs w:val="24"/>
                <w:lang w:val="en-US" w:eastAsia="zh-CN" w:bidi="ar"/>
              </w:rPr>
              <w:t>本项目施工期间产生的固体废物主要有土方开挖产生的弃土、废弃河道的淤泥、工程装修期间产生的建筑垃圾、施工人员产生的生活垃圾。</w:t>
            </w:r>
          </w:p>
          <w:p>
            <w:pPr>
              <w:pageBreakBefore w:val="0"/>
              <w:kinsoku/>
              <w:wordWrap/>
              <w:bidi w:val="0"/>
              <w:spacing w:line="360" w:lineRule="auto"/>
              <w:ind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（1）土石方</w:t>
            </w:r>
          </w:p>
          <w:p>
            <w:pPr>
              <w:keepNext w:val="0"/>
              <w:keepLines w:val="0"/>
              <w:pageBreakBefore w:val="0"/>
              <w:widowControl/>
              <w:suppressLineNumbers w:val="0"/>
              <w:kinsoku/>
              <w:wordWrap/>
              <w:overflowPunct/>
              <w:topLinePunct w:val="0"/>
              <w:autoSpaceDE/>
              <w:autoSpaceDN/>
              <w:bidi w:val="0"/>
              <w:spacing w:line="360" w:lineRule="auto"/>
              <w:ind w:firstLine="456" w:firstLineChars="200"/>
              <w:jc w:val="left"/>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spacing w:val="-6"/>
                <w:sz w:val="24"/>
                <w:szCs w:val="24"/>
                <w:lang w:val="en-US" w:eastAsia="zh-CN"/>
              </w:rPr>
              <w:t>本项目</w:t>
            </w:r>
            <w:r>
              <w:rPr>
                <w:rFonts w:hint="default" w:ascii="Times New Roman" w:hAnsi="Times New Roman" w:eastAsia="宋体" w:cs="Times New Roman"/>
                <w:spacing w:val="-6"/>
                <w:sz w:val="24"/>
                <w:szCs w:val="24"/>
              </w:rPr>
              <w:t>总计开挖土石方</w:t>
            </w:r>
            <w:r>
              <w:rPr>
                <w:rFonts w:hint="eastAsia" w:ascii="Times New Roman" w:hAnsi="Times New Roman" w:eastAsia="宋体" w:cs="Times New Roman"/>
                <w:spacing w:val="-6"/>
                <w:sz w:val="24"/>
                <w:szCs w:val="24"/>
                <w:lang w:val="en-US" w:eastAsia="zh-CN"/>
              </w:rPr>
              <w:t>882439.9</w:t>
            </w:r>
            <w:r>
              <w:rPr>
                <w:rFonts w:hint="default" w:ascii="Times New Roman" w:hAnsi="Times New Roman" w:eastAsia="宋体" w:cs="Times New Roman"/>
                <w:sz w:val="24"/>
                <w:szCs w:val="24"/>
              </w:rPr>
              <w:t xml:space="preserve"> 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eastAsia="zh-CN"/>
              </w:rPr>
              <w:t>，</w:t>
            </w:r>
            <w:r>
              <w:rPr>
                <w:rFonts w:hint="eastAsia"/>
                <w:color w:val="auto"/>
                <w:sz w:val="24"/>
              </w:rPr>
              <w:t>包括表土剥离和围堰拆除</w:t>
            </w:r>
            <w:r>
              <w:rPr>
                <w:rFonts w:hint="default" w:ascii="Times New Roman" w:hAnsi="Times New Roman" w:eastAsia="宋体" w:cs="Times New Roman"/>
                <w:sz w:val="24"/>
                <w:szCs w:val="24"/>
                <w:vertAlign w:val="baseline"/>
              </w:rPr>
              <w:t>），</w:t>
            </w:r>
            <w:r>
              <w:rPr>
                <w:rFonts w:hint="default" w:ascii="Times New Roman" w:hAnsi="Times New Roman" w:eastAsia="宋体" w:cs="Times New Roman"/>
                <w:spacing w:val="-12"/>
                <w:sz w:val="24"/>
                <w:szCs w:val="24"/>
                <w:vertAlign w:val="baseline"/>
              </w:rPr>
              <w:t>其中土方</w:t>
            </w:r>
            <w:r>
              <w:rPr>
                <w:rFonts w:hint="eastAsia" w:ascii="Times New Roman" w:hAnsi="Times New Roman" w:eastAsia="宋体" w:cs="Times New Roman"/>
                <w:spacing w:val="-12"/>
                <w:sz w:val="24"/>
                <w:szCs w:val="24"/>
                <w:vertAlign w:val="baseline"/>
                <w:lang w:val="en-US" w:eastAsia="zh-CN"/>
              </w:rPr>
              <w:t>177287.98</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val="en-US" w:eastAsia="zh-CN"/>
              </w:rPr>
              <w:t>石方</w:t>
            </w:r>
            <w:r>
              <w:rPr>
                <w:rFonts w:hint="eastAsia" w:ascii="Times New Roman" w:hAnsi="Times New Roman" w:eastAsia="宋体" w:cs="Times New Roman"/>
                <w:spacing w:val="-20"/>
                <w:sz w:val="24"/>
                <w:szCs w:val="24"/>
                <w:vertAlign w:val="baseline"/>
                <w:lang w:val="en-US" w:eastAsia="zh-CN"/>
              </w:rPr>
              <w:t>705151.92万</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default" w:ascii="Times New Roman" w:hAnsi="Times New Roman" w:eastAsia="宋体" w:cs="Times New Roman"/>
                <w:spacing w:val="-6"/>
                <w:sz w:val="24"/>
                <w:szCs w:val="24"/>
                <w:vertAlign w:val="baseline"/>
              </w:rPr>
              <w:t>土石回填利用开挖料</w:t>
            </w:r>
            <w:r>
              <w:rPr>
                <w:rFonts w:hint="eastAsia" w:ascii="Times New Roman" w:hAnsi="Times New Roman" w:eastAsia="宋体" w:cs="Times New Roman"/>
                <w:spacing w:val="-6"/>
                <w:sz w:val="24"/>
                <w:szCs w:val="24"/>
                <w:lang w:val="en-US" w:eastAsia="zh-CN"/>
              </w:rPr>
              <w:t>882439.9</w:t>
            </w:r>
            <w:r>
              <w:rPr>
                <w:rFonts w:hint="eastAsia" w:ascii="Times New Roman" w:hAnsi="Times New Roman" w:eastAsia="宋体" w:cs="Times New Roman"/>
                <w:spacing w:val="-6"/>
                <w:sz w:val="24"/>
                <w:szCs w:val="24"/>
                <w:vertAlign w:val="baseline"/>
                <w:lang w:val="en-US" w:eastAsia="zh-CN"/>
              </w:rPr>
              <w:t>万</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（自然方</w:t>
            </w:r>
            <w:r>
              <w:rPr>
                <w:rFonts w:hint="eastAsia" w:ascii="Times New Roman" w:hAnsi="Times New Roman" w:eastAsia="宋体" w:cs="Times New Roman"/>
                <w:sz w:val="24"/>
                <w:szCs w:val="24"/>
                <w:vertAlign w:val="baseline"/>
                <w:lang w:eastAsia="zh-CN"/>
              </w:rPr>
              <w:t>，</w:t>
            </w:r>
            <w:r>
              <w:rPr>
                <w:rFonts w:hint="eastAsia"/>
                <w:color w:val="auto"/>
                <w:sz w:val="24"/>
                <w:szCs w:val="24"/>
              </w:rPr>
              <w:t>包括表土回覆</w:t>
            </w:r>
            <w:r>
              <w:rPr>
                <w:rFonts w:hint="eastAsia"/>
                <w:color w:val="auto"/>
                <w:sz w:val="24"/>
                <w:szCs w:val="24"/>
                <w:lang w:eastAsia="zh-CN"/>
              </w:rPr>
              <w:t>、</w:t>
            </w:r>
            <w:r>
              <w:rPr>
                <w:rFonts w:hint="default" w:ascii="Times New Roman" w:hAnsi="Times New Roman" w:cs="Times New Roman"/>
                <w:color w:val="auto"/>
                <w:sz w:val="24"/>
                <w:szCs w:val="24"/>
                <w:highlight w:val="none"/>
              </w:rPr>
              <w:t>场地回填</w:t>
            </w:r>
            <w:r>
              <w:rPr>
                <w:rFonts w:hint="eastAsia" w:ascii="Times New Roman" w:hAnsi="Times New Roman" w:cs="Times New Roman"/>
                <w:color w:val="auto"/>
                <w:sz w:val="24"/>
                <w:szCs w:val="24"/>
                <w:highlight w:val="none"/>
                <w:lang w:eastAsia="zh-CN"/>
              </w:rPr>
              <w:t>、</w:t>
            </w:r>
            <w:r>
              <w:rPr>
                <w:rFonts w:hint="eastAsia"/>
                <w:color w:val="auto"/>
                <w:sz w:val="24"/>
                <w:szCs w:val="24"/>
              </w:rPr>
              <w:t>围堰填筑</w:t>
            </w:r>
            <w:r>
              <w:rPr>
                <w:rFonts w:hint="eastAsia"/>
                <w:color w:val="auto"/>
                <w:sz w:val="24"/>
                <w:szCs w:val="24"/>
                <w:lang w:eastAsia="zh-CN"/>
              </w:rPr>
              <w:t>、</w:t>
            </w:r>
            <w:r>
              <w:rPr>
                <w:rFonts w:hint="eastAsia"/>
                <w:color w:val="auto"/>
                <w:sz w:val="24"/>
                <w:szCs w:val="24"/>
                <w:lang w:val="en-US" w:eastAsia="zh-CN"/>
              </w:rPr>
              <w:t>废弃河道回填</w:t>
            </w:r>
            <w:r>
              <w:rPr>
                <w:rFonts w:hint="default" w:ascii="Times New Roman" w:hAnsi="Times New Roman" w:eastAsia="宋体" w:cs="Times New Roman"/>
                <w:sz w:val="24"/>
                <w:szCs w:val="24"/>
                <w:vertAlign w:val="baseline"/>
              </w:rPr>
              <w:t>）</w:t>
            </w:r>
            <w:r>
              <w:rPr>
                <w:rFonts w:hint="eastAsia"/>
                <w:color w:val="auto"/>
                <w:sz w:val="24"/>
              </w:rPr>
              <w:t>，</w:t>
            </w:r>
            <w:r>
              <w:rPr>
                <w:rFonts w:hint="eastAsia"/>
                <w:color w:val="auto"/>
                <w:sz w:val="24"/>
                <w:lang w:val="en-US" w:eastAsia="zh-CN"/>
              </w:rPr>
              <w:t>无</w:t>
            </w:r>
            <w:r>
              <w:rPr>
                <w:rFonts w:hint="eastAsia" w:ascii="宋体" w:hAnsi="宋体"/>
                <w:kern w:val="0"/>
                <w:sz w:val="24"/>
                <w:szCs w:val="24"/>
              </w:rPr>
              <w:t>弃渣</w:t>
            </w:r>
            <w:r>
              <w:rPr>
                <w:rFonts w:hint="eastAsia" w:ascii="宋体" w:hAnsi="宋体"/>
                <w:kern w:val="0"/>
                <w:sz w:val="24"/>
                <w:szCs w:val="24"/>
                <w:lang w:val="en-US" w:eastAsia="zh-CN"/>
              </w:rPr>
              <w:t>产生</w:t>
            </w:r>
            <w:r>
              <w:rPr>
                <w:rFonts w:hint="default" w:ascii="Times New Roman" w:hAnsi="Times New Roman" w:cs="Times New Roman"/>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sz w:val="24"/>
                <w:szCs w:val="24"/>
              </w:rPr>
            </w:pPr>
            <w:r>
              <w:rPr>
                <w:rFonts w:hint="eastAsia" w:ascii="宋体" w:hAnsi="宋体" w:eastAsia="宋体" w:cs="宋体"/>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）淤泥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w:t>
            </w:r>
            <w:r>
              <w:rPr>
                <w:rFonts w:hint="eastAsia" w:ascii="Times New Roman" w:hAnsi="Times New Roman" w:eastAsia="宋体" w:cs="Times New Roman"/>
                <w:color w:val="000000"/>
                <w:kern w:val="0"/>
                <w:sz w:val="24"/>
                <w:szCs w:val="24"/>
                <w:lang w:val="en-US" w:eastAsia="zh-CN" w:bidi="ar"/>
              </w:rPr>
              <w:t>废弃河道</w:t>
            </w:r>
            <w:r>
              <w:rPr>
                <w:rFonts w:hint="default" w:ascii="Times New Roman" w:hAnsi="Times New Roman" w:eastAsia="宋体" w:cs="Times New Roman"/>
                <w:color w:val="000000"/>
                <w:kern w:val="0"/>
                <w:sz w:val="24"/>
                <w:szCs w:val="24"/>
                <w:lang w:val="en-US" w:eastAsia="zh-CN" w:bidi="ar"/>
              </w:rPr>
              <w:t>疏浚</w:t>
            </w:r>
            <w:r>
              <w:rPr>
                <w:rFonts w:hint="eastAsia" w:ascii="Times New Roman" w:hAnsi="Times New Roman" w:eastAsia="宋体" w:cs="Times New Roman"/>
                <w:color w:val="000000"/>
                <w:kern w:val="0"/>
                <w:sz w:val="24"/>
                <w:szCs w:val="24"/>
                <w:lang w:val="en-US" w:eastAsia="zh-CN" w:bidi="ar"/>
              </w:rPr>
              <w:t>淤泥</w:t>
            </w:r>
            <w:r>
              <w:rPr>
                <w:rFonts w:hint="default" w:ascii="Times New Roman" w:hAnsi="Times New Roman" w:eastAsia="宋体" w:cs="Times New Roman"/>
                <w:color w:val="000000"/>
                <w:kern w:val="0"/>
                <w:sz w:val="24"/>
                <w:szCs w:val="24"/>
                <w:lang w:val="en-US" w:eastAsia="zh-CN" w:bidi="ar"/>
              </w:rPr>
              <w:t>量</w:t>
            </w:r>
            <w:r>
              <w:rPr>
                <w:rFonts w:hint="eastAsia" w:ascii="Times New Roman" w:hAnsi="Times New Roman" w:eastAsia="宋体" w:cs="Times New Roman"/>
                <w:color w:val="000000"/>
                <w:kern w:val="0"/>
                <w:sz w:val="24"/>
                <w:szCs w:val="24"/>
                <w:lang w:val="en-US" w:eastAsia="zh-CN" w:bidi="ar"/>
              </w:rPr>
              <w:t>约</w:t>
            </w:r>
            <w:r>
              <w:rPr>
                <w:rFonts w:hint="default" w:ascii="Times New Roman" w:hAnsi="Times New Roman" w:eastAsia="宋体" w:cs="Times New Roman"/>
                <w:color w:val="000000"/>
                <w:kern w:val="0"/>
                <w:sz w:val="24"/>
                <w:szCs w:val="24"/>
                <w:lang w:val="en-US" w:eastAsia="zh-CN" w:bidi="ar"/>
              </w:rPr>
              <w:t>为</w:t>
            </w:r>
            <w:r>
              <w:rPr>
                <w:rFonts w:hint="default" w:ascii="Times New Roman" w:hAnsi="Times New Roman" w:eastAsia="宋体" w:cs="Times New Roman"/>
                <w:i w:val="0"/>
                <w:iCs w:val="0"/>
                <w:color w:val="000000"/>
                <w:kern w:val="0"/>
                <w:sz w:val="24"/>
                <w:szCs w:val="24"/>
                <w:u w:val="none"/>
                <w:lang w:val="en-US" w:eastAsia="zh-CN" w:bidi="ar"/>
              </w:rPr>
              <w:t>11933.34</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，疏浚</w:t>
            </w:r>
            <w:r>
              <w:rPr>
                <w:rFonts w:hint="eastAsia" w:ascii="Times New Roman" w:hAnsi="Times New Roman" w:eastAsia="宋体" w:cs="Times New Roman"/>
                <w:color w:val="000000"/>
                <w:kern w:val="0"/>
                <w:sz w:val="24"/>
                <w:szCs w:val="24"/>
                <w:lang w:val="en-US" w:eastAsia="zh-CN" w:bidi="ar"/>
              </w:rPr>
              <w:t>淤泥</w:t>
            </w:r>
            <w:r>
              <w:rPr>
                <w:rFonts w:hint="default" w:ascii="Times New Roman" w:hAnsi="Times New Roman" w:eastAsia="宋体" w:cs="Times New Roman"/>
                <w:color w:val="000000"/>
                <w:kern w:val="0"/>
                <w:sz w:val="24"/>
                <w:szCs w:val="24"/>
                <w:lang w:val="en-US" w:eastAsia="zh-CN" w:bidi="ar"/>
              </w:rPr>
              <w:t>料主要成分为各条河道淤积物主要为动植物腐烂物及有机物，淤泥沉积结构具有十分明显的两段式层序结构，即顶部为流动浮泥层，底部为灰黑色淤泥质粉质粘土、淤泥质砂土，其含水率约为80%。根据本项目底泥监测结果，项目底泥</w:t>
            </w:r>
            <w:r>
              <w:rPr>
                <w:rFonts w:hint="eastAsia" w:ascii="Times New Roman" w:hAnsi="Times New Roman" w:eastAsia="宋体" w:cs="Times New Roman"/>
                <w:color w:val="000000"/>
                <w:kern w:val="0"/>
                <w:sz w:val="24"/>
                <w:szCs w:val="24"/>
                <w:lang w:val="en-US" w:eastAsia="zh-CN" w:bidi="ar"/>
              </w:rPr>
              <w:t>满足</w:t>
            </w:r>
            <w:r>
              <w:rPr>
                <w:rFonts w:hint="default" w:ascii="Times New Roman" w:hAnsi="Times New Roman" w:eastAsia="宋体" w:cs="Times New Roman"/>
                <w:color w:val="000000"/>
                <w:kern w:val="0"/>
                <w:sz w:val="24"/>
                <w:szCs w:val="24"/>
                <w:lang w:val="en-US" w:eastAsia="zh-CN" w:bidi="ar"/>
              </w:rPr>
              <w:t>《土壤环境质量农用地土壤污染风险管控标准（试行</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GB15618-2018</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auto"/>
                <w:sz w:val="24"/>
                <w:szCs w:val="24"/>
                <w:lang w:val="en-US" w:eastAsia="zh-CN"/>
              </w:rPr>
              <w:t>表1中相关标准</w:t>
            </w:r>
            <w:r>
              <w:rPr>
                <w:rFonts w:hint="default" w:ascii="Times New Roman" w:hAnsi="Times New Roman" w:eastAsia="宋体" w:cs="Times New Roman"/>
                <w:color w:val="000000"/>
                <w:kern w:val="0"/>
                <w:sz w:val="24"/>
                <w:szCs w:val="24"/>
                <w:lang w:val="en-US" w:eastAsia="zh-CN" w:bidi="ar"/>
              </w:rPr>
              <w:t>，淤泥污染风险较低，可采用还林、还田利用。本项目拟将疏浚</w:t>
            </w:r>
            <w:r>
              <w:rPr>
                <w:rFonts w:hint="eastAsia" w:ascii="Times New Roman" w:hAnsi="Times New Roman" w:eastAsia="宋体" w:cs="Times New Roman"/>
                <w:color w:val="000000"/>
                <w:kern w:val="0"/>
                <w:sz w:val="24"/>
                <w:szCs w:val="24"/>
                <w:lang w:val="en-US" w:eastAsia="zh-CN" w:bidi="ar"/>
              </w:rPr>
              <w:t>淤泥</w:t>
            </w:r>
            <w:r>
              <w:rPr>
                <w:rFonts w:hint="default" w:ascii="Times New Roman" w:hAnsi="Times New Roman" w:eastAsia="宋体" w:cs="Times New Roman"/>
                <w:color w:val="000000"/>
                <w:kern w:val="0"/>
                <w:sz w:val="24"/>
                <w:szCs w:val="24"/>
                <w:lang w:val="en-US" w:eastAsia="zh-CN" w:bidi="ar"/>
              </w:rPr>
              <w:t>料</w:t>
            </w:r>
            <w:r>
              <w:rPr>
                <w:rFonts w:hint="eastAsia" w:ascii="宋体" w:hAnsi="宋体" w:eastAsia="宋体" w:cs="宋体"/>
                <w:color w:val="000000"/>
                <w:kern w:val="0"/>
                <w:sz w:val="24"/>
                <w:szCs w:val="24"/>
                <w:lang w:val="en-US" w:eastAsia="zh-CN" w:bidi="ar"/>
              </w:rPr>
              <w:t>直接密闭吸入专门罐车进行密闭运输至当地农业合作社、家庭农场等资源化利用于果树、苗圃等种植。日产日清，不在施工区存放。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（3）建筑垃圾</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建筑垃圾主要来自拆除工程和新建工程，包括砂石、石块、碎砖瓦、废混凝土、砂浆、包装材料、废管道等杂物，</w:t>
            </w:r>
            <w:r>
              <w:rPr>
                <w:rFonts w:hint="eastAsia" w:ascii="Times New Roman" w:hAnsi="Times New Roman" w:cs="Times New Roman"/>
                <w:color w:val="auto"/>
                <w:sz w:val="24"/>
                <w:szCs w:val="24"/>
                <w:highlight w:val="none"/>
                <w:lang w:val="en-US" w:eastAsia="zh-CN"/>
              </w:rPr>
              <w:t>产生量约5290t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在施工期加强对废物的收集和管理，将建筑垃圾中能回收利用的废料（如钢筋、钢板、木材等下角料）通过分类收集后交废物收购站处理；对不能回收的建筑废物不能随意倾倒，而应用编织袋包装后清运到</w:t>
            </w:r>
            <w:r>
              <w:rPr>
                <w:rFonts w:hint="eastAsia" w:ascii="Times New Roman" w:hAnsi="Times New Roman" w:cs="Times New Roman"/>
                <w:color w:val="auto"/>
                <w:sz w:val="24"/>
                <w:szCs w:val="24"/>
                <w:highlight w:val="none"/>
                <w:lang w:val="en-US" w:eastAsia="zh-CN"/>
              </w:rPr>
              <w:t>政府指定的</w:t>
            </w:r>
            <w:r>
              <w:rPr>
                <w:rFonts w:hint="default" w:ascii="Times New Roman" w:hAnsi="Times New Roman" w:cs="Times New Roman"/>
                <w:color w:val="auto"/>
                <w:sz w:val="24"/>
                <w:szCs w:val="24"/>
                <w:highlight w:val="none"/>
              </w:rPr>
              <w:t>建筑垃圾处置场。</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sz w:val="24"/>
                <w:szCs w:val="24"/>
              </w:rPr>
            </w:pPr>
            <w:r>
              <w:rPr>
                <w:rFonts w:hint="eastAsia" w:ascii="宋体" w:hAnsi="宋体" w:eastAsia="宋体" w:cs="宋体"/>
                <w:b/>
                <w:bCs/>
                <w:color w:val="000000"/>
                <w:kern w:val="0"/>
                <w:sz w:val="24"/>
                <w:szCs w:val="24"/>
                <w:lang w:val="en-US" w:eastAsia="zh-CN" w:bidi="ar"/>
              </w:rPr>
              <w:t xml:space="preserve">（4）生活垃圾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本项目施工期施工高峰期施工人员按50人计，生活垃圾按0.5kg/人•d计，日产生量约25 kg/d。 </w:t>
            </w:r>
            <w:r>
              <w:rPr>
                <w:rFonts w:hint="default" w:ascii="Times New Roman" w:hAnsi="Times New Roman" w:cs="Times New Roman"/>
                <w:color w:val="auto"/>
                <w:sz w:val="24"/>
                <w:szCs w:val="24"/>
                <w:highlight w:val="none"/>
              </w:rPr>
              <w:t>生活垃圾经袋装收集后，由环卫部门统一运送到垃圾处理场集中处理。</w:t>
            </w:r>
          </w:p>
          <w:p>
            <w:pPr>
              <w:pageBreakBefore w:val="0"/>
              <w:kinsoku/>
              <w:wordWrap/>
              <w:bidi w:val="0"/>
              <w:spacing w:line="360" w:lineRule="auto"/>
              <w:ind w:left="0" w:leftChars="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综上所述，本项目施工期在严格落实本环评提出的上述防治要求后，施工期产生的固体废物可实现资源化利用或无害化处置，不会造成二次污染。</w:t>
            </w:r>
          </w:p>
          <w:p>
            <w:pPr>
              <w:pageBreakBefore w:val="0"/>
              <w:kinsoku/>
              <w:wordWrap/>
              <w:bidi w:val="0"/>
              <w:spacing w:line="360" w:lineRule="auto"/>
              <w:ind w:left="0" w:leftChars="0" w:right="0"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5、生态环境影响分析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20" w:firstLineChars="200"/>
              <w:jc w:val="left"/>
              <w:textAlignment w:val="auto"/>
              <w:rPr>
                <w:rFonts w:hint="default" w:ascii="宋体" w:hAnsi="宋体" w:eastAsia="宋体" w:cs="宋体"/>
                <w:b w:val="0"/>
                <w:bCs w:val="0"/>
                <w:color w:val="000000"/>
                <w:kern w:val="0"/>
                <w:sz w:val="24"/>
                <w:szCs w:val="24"/>
                <w:lang w:val="en-US" w:eastAsia="zh-CN" w:bidi="ar"/>
              </w:rPr>
            </w:pPr>
            <w:r>
              <w:rPr>
                <w:rFonts w:hint="eastAsia"/>
                <w:sz w:val="26"/>
                <w:szCs w:val="28"/>
                <w:lang w:val="en-US" w:eastAsia="zh-CN"/>
              </w:rPr>
              <w:t>本项目位于</w:t>
            </w:r>
            <w:r>
              <w:rPr>
                <w:rFonts w:hint="eastAsia"/>
                <w:sz w:val="26"/>
                <w:szCs w:val="28"/>
                <w:lang w:eastAsia="zh-CN"/>
              </w:rPr>
              <w:t>达州市通川区西南职教园区，</w:t>
            </w:r>
            <w:r>
              <w:rPr>
                <w:rFonts w:hint="default" w:ascii="Times New Roman" w:hAnsi="Times New Roman" w:cs="Times New Roman"/>
                <w:color w:val="auto"/>
                <w:sz w:val="24"/>
                <w:highlight w:val="none"/>
              </w:rPr>
              <w:t>永久占地</w:t>
            </w:r>
            <w:r>
              <w:rPr>
                <w:rFonts w:hint="eastAsia" w:ascii="Times New Roman" w:hAnsi="Times New Roman" w:eastAsia="宋体" w:cs="Times New Roman"/>
                <w:sz w:val="24"/>
                <w:szCs w:val="24"/>
                <w:lang w:val="en-US" w:eastAsia="zh-CN"/>
              </w:rPr>
              <w:t>243634.63</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default" w:ascii="Times New Roman" w:hAnsi="Times New Roman" w:cs="Times New Roman"/>
                <w:color w:val="auto"/>
                <w:sz w:val="24"/>
                <w:highlight w:val="none"/>
              </w:rPr>
              <w:t>，</w:t>
            </w:r>
            <w:r>
              <w:rPr>
                <w:rFonts w:hint="eastAsia"/>
                <w:sz w:val="26"/>
                <w:szCs w:val="28"/>
                <w:lang w:val="en-US" w:eastAsia="zh-CN"/>
              </w:rPr>
              <w:t>占地类型为规划的</w:t>
            </w:r>
            <w:r>
              <w:rPr>
                <w:rFonts w:hint="eastAsia" w:ascii="Times New Roman" w:hAnsi="Times New Roman" w:eastAsia="宋体" w:cs="Times New Roman"/>
                <w:b w:val="0"/>
                <w:bCs w:val="0"/>
                <w:color w:val="auto"/>
                <w:sz w:val="24"/>
                <w:szCs w:val="24"/>
                <w:lang w:val="en-US" w:eastAsia="zh-CN"/>
              </w:rPr>
              <w:t>职业教育用地、防护</w:t>
            </w:r>
            <w:r>
              <w:rPr>
                <w:rFonts w:hint="default" w:ascii="Times New Roman" w:hAnsi="Times New Roman" w:eastAsia="宋体" w:cs="Times New Roman"/>
                <w:b w:val="0"/>
                <w:bCs w:val="0"/>
                <w:color w:val="auto"/>
                <w:sz w:val="24"/>
                <w:szCs w:val="24"/>
                <w:lang w:val="en-US" w:eastAsia="zh-CN"/>
              </w:rPr>
              <w:t>绿地</w:t>
            </w:r>
            <w:r>
              <w:rPr>
                <w:rFonts w:hint="eastAsia" w:ascii="Times New Roman" w:hAnsi="Times New Roman" w:eastAsia="宋体" w:cs="Times New Roman"/>
                <w:b w:val="0"/>
                <w:bCs w:val="0"/>
                <w:color w:val="auto"/>
                <w:sz w:val="24"/>
                <w:szCs w:val="24"/>
                <w:lang w:val="en-US" w:eastAsia="zh-CN"/>
              </w:rPr>
              <w:t>，现状用地类型为建设用地、耕地、其他农用地。</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rPr>
              <w:t>建设期</w:t>
            </w:r>
            <w:r>
              <w:rPr>
                <w:rFonts w:hint="default" w:ascii="Times New Roman" w:hAnsi="Times New Roman" w:eastAsia="宋体" w:cs="Times New Roman"/>
                <w:color w:val="auto"/>
                <w:sz w:val="24"/>
                <w:highlight w:val="none"/>
              </w:rPr>
              <w:t>间的施工作业带、</w:t>
            </w:r>
            <w:r>
              <w:rPr>
                <w:rFonts w:hint="default" w:ascii="Times New Roman" w:hAnsi="Times New Roman" w:eastAsia="宋体" w:cs="Times New Roman"/>
                <w:color w:val="auto"/>
                <w:sz w:val="24"/>
                <w:highlight w:val="none"/>
                <w:lang w:eastAsia="zh-CN"/>
              </w:rPr>
              <w:t>土料挖填方</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材料堆放</w:t>
            </w:r>
            <w:r>
              <w:rPr>
                <w:rFonts w:hint="default" w:ascii="Times New Roman" w:hAnsi="Times New Roman" w:cs="Times New Roman"/>
                <w:color w:val="auto"/>
                <w:sz w:val="24"/>
                <w:highlight w:val="none"/>
              </w:rPr>
              <w:t>将破坏原有植被，造成一定的新增水土流失，对</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rPr>
              <w:t>直接影响区生态环境有一定的不利影响。由于</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rPr>
              <w:t>建设期短，不利影响很快就消失。施工结束后对破坏区域进行恢复和绿化。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陆生植物</w:t>
            </w:r>
            <w:r>
              <w:rPr>
                <w:rFonts w:hint="eastAsia" w:cs="Times New Roman"/>
                <w:b/>
                <w:bCs/>
                <w:color w:val="auto"/>
                <w:sz w:val="24"/>
                <w:highlight w:val="none"/>
                <w:lang w:eastAsia="zh-CN"/>
              </w:rPr>
              <w:t>：</w:t>
            </w:r>
            <w:r>
              <w:rPr>
                <w:rFonts w:hint="default" w:ascii="Times New Roman" w:hAnsi="Times New Roman" w:eastAsia="宋体" w:cs="Times New Roman"/>
                <w:color w:val="auto"/>
                <w:sz w:val="24"/>
                <w:szCs w:val="24"/>
                <w:highlight w:val="none"/>
              </w:rPr>
              <w:t>经</w:t>
            </w:r>
            <w:r>
              <w:rPr>
                <w:rFonts w:hint="eastAsia" w:ascii="Times New Roman" w:hAnsi="Times New Roman" w:eastAsia="宋体" w:cs="Times New Roman"/>
                <w:color w:val="auto"/>
                <w:sz w:val="24"/>
                <w:szCs w:val="24"/>
                <w:highlight w:val="none"/>
                <w:lang w:val="en-US" w:eastAsia="zh-CN"/>
              </w:rPr>
              <w:t>调查</w:t>
            </w:r>
            <w:r>
              <w:rPr>
                <w:rFonts w:hint="default" w:ascii="Times New Roman" w:hAnsi="Times New Roman" w:eastAsia="宋体" w:cs="Times New Roman"/>
                <w:color w:val="auto"/>
                <w:sz w:val="24"/>
                <w:szCs w:val="24"/>
                <w:highlight w:val="none"/>
              </w:rPr>
              <w:t>，评价范围内植被以农业栽培植被为主，零星分布有</w:t>
            </w:r>
            <w:r>
              <w:rPr>
                <w:rFonts w:hint="default" w:ascii="Times New Roman" w:hAnsi="Times New Roman" w:eastAsia="宋体" w:cs="Times New Roman"/>
                <w:color w:val="auto"/>
                <w:spacing w:val="-2"/>
                <w:sz w:val="24"/>
                <w:szCs w:val="24"/>
              </w:rPr>
              <w:t>次生常绿针叶林</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eastAsia="zh-CN"/>
              </w:rPr>
              <w:t>麻柳树、</w:t>
            </w:r>
            <w:r>
              <w:rPr>
                <w:rFonts w:hint="default" w:ascii="Times New Roman" w:hAnsi="Times New Roman" w:eastAsia="宋体" w:cs="Times New Roman"/>
                <w:color w:val="auto"/>
                <w:sz w:val="24"/>
                <w:szCs w:val="24"/>
                <w:lang w:eastAsia="zh-CN"/>
              </w:rPr>
              <w:t>柏树、竹子</w:t>
            </w:r>
            <w:r>
              <w:rPr>
                <w:rFonts w:hint="default" w:ascii="Times New Roman" w:hAnsi="Times New Roman" w:eastAsia="宋体" w:cs="Times New Roman"/>
                <w:color w:val="auto"/>
                <w:sz w:val="24"/>
                <w:szCs w:val="24"/>
                <w:highlight w:val="none"/>
              </w:rPr>
              <w:t>、灌木林等森林植被</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国家保护的珍稀植物分布。</w:t>
            </w:r>
            <w:r>
              <w:rPr>
                <w:rFonts w:hint="default" w:ascii="Times New Roman" w:hAnsi="Times New Roman" w:cs="Times New Roman"/>
                <w:color w:val="auto"/>
                <w:sz w:val="24"/>
                <w:highlight w:val="none"/>
              </w:rPr>
              <w:t>施工过程中，局部开挖和工程占地将导致植被遭到破坏，区域环境中绿地数量较施工前相对减少。</w:t>
            </w:r>
          </w:p>
          <w:p>
            <w:pPr>
              <w:pageBreakBefore w:val="0"/>
              <w:kinsoku/>
              <w:wordWrap/>
              <w:bidi w:val="0"/>
              <w:spacing w:line="360" w:lineRule="auto"/>
              <w:ind w:left="0" w:leftChars="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陆生动物</w:t>
            </w:r>
            <w:r>
              <w:rPr>
                <w:rFonts w:hint="eastAsia" w:cs="Times New Roman"/>
                <w:b/>
                <w:bCs/>
                <w:color w:val="auto"/>
                <w:sz w:val="24"/>
                <w:highlight w:val="none"/>
                <w:lang w:eastAsia="zh-CN"/>
              </w:rPr>
              <w:t>：</w:t>
            </w:r>
            <w:r>
              <w:rPr>
                <w:rFonts w:hint="default" w:ascii="Times New Roman" w:hAnsi="Times New Roman" w:eastAsia="宋体" w:cs="Times New Roman"/>
                <w:color w:val="auto"/>
                <w:sz w:val="24"/>
                <w:szCs w:val="24"/>
                <w:highlight w:val="none"/>
              </w:rPr>
              <w:t>经</w:t>
            </w:r>
            <w:r>
              <w:rPr>
                <w:rFonts w:hint="eastAsia" w:ascii="Times New Roman" w:hAnsi="Times New Roman" w:eastAsia="宋体" w:cs="Times New Roman"/>
                <w:color w:val="auto"/>
                <w:sz w:val="24"/>
                <w:szCs w:val="24"/>
                <w:highlight w:val="none"/>
                <w:lang w:val="en-US" w:eastAsia="zh-CN"/>
              </w:rPr>
              <w:t>调查</w:t>
            </w:r>
            <w:r>
              <w:rPr>
                <w:rFonts w:hint="default" w:ascii="Times New Roman" w:hAnsi="Times New Roman" w:eastAsia="宋体" w:cs="Times New Roman"/>
                <w:color w:val="auto"/>
                <w:sz w:val="24"/>
                <w:szCs w:val="24"/>
                <w:highlight w:val="none"/>
              </w:rPr>
              <w:t>，</w:t>
            </w:r>
            <w:r>
              <w:rPr>
                <w:rFonts w:hint="eastAsia" w:cs="Times New Roman"/>
                <w:b w:val="0"/>
                <w:bCs w:val="0"/>
                <w:color w:val="auto"/>
                <w:sz w:val="24"/>
                <w:highlight w:val="none"/>
                <w:lang w:eastAsia="zh-CN"/>
              </w:rPr>
              <w:t>评价</w:t>
            </w:r>
            <w:r>
              <w:rPr>
                <w:rFonts w:hint="eastAsia" w:cs="Times New Roman"/>
                <w:b w:val="0"/>
                <w:bCs w:val="0"/>
                <w:color w:val="auto"/>
                <w:sz w:val="24"/>
                <w:highlight w:val="none"/>
                <w:lang w:val="en-US" w:eastAsia="zh-CN"/>
              </w:rPr>
              <w:t>范围</w:t>
            </w:r>
            <w:r>
              <w:rPr>
                <w:rFonts w:hint="eastAsia" w:cs="Times New Roman"/>
                <w:b w:val="0"/>
                <w:bCs w:val="0"/>
                <w:color w:val="auto"/>
                <w:sz w:val="24"/>
                <w:highlight w:val="none"/>
                <w:lang w:eastAsia="zh-CN"/>
              </w:rPr>
              <w:t>内野生动物资源主要种类有</w:t>
            </w:r>
            <w:r>
              <w:rPr>
                <w:rFonts w:hint="default" w:ascii="Times New Roman" w:hAnsi="Times New Roman" w:eastAsia="宋体" w:cs="Times New Roman"/>
                <w:color w:val="auto"/>
                <w:sz w:val="24"/>
                <w:szCs w:val="24"/>
                <w:lang w:eastAsia="zh-CN"/>
              </w:rPr>
              <w:t>家燕、麻雀、八哥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壁虎、蛇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鼠</w:t>
            </w:r>
            <w:r>
              <w:rPr>
                <w:rFonts w:hint="eastAsia" w:cs="Times New Roman"/>
                <w:b w:val="0"/>
                <w:bCs w:val="0"/>
                <w:color w:val="auto"/>
                <w:sz w:val="24"/>
                <w:highlight w:val="none"/>
                <w:lang w:eastAsia="zh-CN"/>
              </w:rPr>
              <w:t>，无</w:t>
            </w:r>
            <w:r>
              <w:rPr>
                <w:rFonts w:hint="default" w:ascii="Times New Roman" w:hAnsi="Times New Roman" w:eastAsia="宋体" w:cs="Times New Roman"/>
                <w:b w:val="0"/>
                <w:bCs w:val="0"/>
                <w:color w:val="auto"/>
                <w:sz w:val="24"/>
                <w:szCs w:val="24"/>
                <w:highlight w:val="none"/>
              </w:rPr>
              <w:t>国家级和省级保护的珍稀野生动物</w:t>
            </w:r>
            <w:r>
              <w:rPr>
                <w:rFonts w:hint="eastAsia" w:cs="Times New Roman"/>
                <w:b w:val="0"/>
                <w:bCs w:val="0"/>
                <w:color w:val="auto"/>
                <w:sz w:val="24"/>
                <w:highlight w:val="none"/>
                <w:lang w:eastAsia="zh-CN"/>
              </w:rPr>
              <w:t>分布。</w:t>
            </w:r>
            <w:r>
              <w:rPr>
                <w:rFonts w:hint="default" w:ascii="Times New Roman" w:hAnsi="Times New Roman" w:cs="Times New Roman"/>
                <w:color w:val="auto"/>
                <w:sz w:val="24"/>
                <w:highlight w:val="none"/>
              </w:rPr>
              <w:t>工程建设开始后，随着工程的实施，将破坏施工区内现有野生动物的生存环境</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使该区域的动物不得不迁移到适宜的环境中去栖息和繁衍，使该区域的动物数量呈减少趋势。</w:t>
            </w:r>
          </w:p>
          <w:p>
            <w:pPr>
              <w:pageBreakBefore w:val="0"/>
              <w:kinsoku/>
              <w:wordWrap/>
              <w:bidi w:val="0"/>
              <w:spacing w:line="360" w:lineRule="auto"/>
              <w:ind w:left="0" w:leftChars="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水生生物</w:t>
            </w:r>
            <w:r>
              <w:rPr>
                <w:rFonts w:hint="eastAsia" w:cs="Times New Roman"/>
                <w:b/>
                <w:bCs/>
                <w:color w:val="auto"/>
                <w:sz w:val="24"/>
                <w:highlight w:val="none"/>
                <w:lang w:eastAsia="zh-CN"/>
              </w:rPr>
              <w:t>：</w:t>
            </w:r>
            <w:r>
              <w:rPr>
                <w:rFonts w:hint="default" w:ascii="Times New Roman" w:hAnsi="Times New Roman" w:cs="Times New Roman"/>
                <w:color w:val="auto"/>
                <w:sz w:val="24"/>
                <w:highlight w:val="none"/>
              </w:rPr>
              <w:t>经调查，</w:t>
            </w:r>
            <w:r>
              <w:rPr>
                <w:rFonts w:hint="eastAsia" w:ascii="Times New Roman" w:hAnsi="Times New Roman" w:cs="Times New Roman"/>
                <w:color w:val="auto"/>
                <w:sz w:val="24"/>
                <w:highlight w:val="none"/>
                <w:lang w:val="en-US" w:eastAsia="zh-CN"/>
              </w:rPr>
              <w:t>子槽沟改道</w:t>
            </w:r>
            <w:r>
              <w:rPr>
                <w:rFonts w:hint="default" w:ascii="Times New Roman" w:hAnsi="Times New Roman" w:cs="Times New Roman"/>
                <w:color w:val="auto"/>
                <w:sz w:val="24"/>
                <w:highlight w:val="none"/>
              </w:rPr>
              <w:t>河段没有珍稀保护水生物和</w:t>
            </w:r>
            <w:r>
              <w:rPr>
                <w:rFonts w:hint="eastAsia" w:cs="Times New Roman"/>
                <w:color w:val="auto"/>
                <w:sz w:val="24"/>
                <w:highlight w:val="none"/>
                <w:lang w:val="en-US" w:eastAsia="zh-CN"/>
              </w:rPr>
              <w:t>鱼</w:t>
            </w:r>
            <w:r>
              <w:rPr>
                <w:rFonts w:hint="default" w:ascii="Times New Roman" w:hAnsi="Times New Roman" w:cs="Times New Roman"/>
                <w:color w:val="auto"/>
                <w:sz w:val="24"/>
                <w:highlight w:val="none"/>
              </w:rPr>
              <w:t>类，水生</w:t>
            </w:r>
            <w:r>
              <w:rPr>
                <w:rFonts w:hint="eastAsia" w:cs="Times New Roman"/>
                <w:color w:val="auto"/>
                <w:sz w:val="24"/>
                <w:highlight w:val="none"/>
                <w:lang w:val="en-US" w:eastAsia="zh-CN"/>
              </w:rPr>
              <w:t>植物</w:t>
            </w:r>
            <w:r>
              <w:rPr>
                <w:rFonts w:hint="default" w:ascii="Times New Roman" w:hAnsi="Times New Roman" w:cs="Times New Roman"/>
                <w:color w:val="auto"/>
                <w:sz w:val="24"/>
                <w:highlight w:val="none"/>
              </w:rPr>
              <w:t>以南方常见水生植被藻类及水草等为主，水生动物以常见鱼类为主</w:t>
            </w:r>
            <w:r>
              <w:rPr>
                <w:rFonts w:hint="eastAsia" w:cs="Times New Roman"/>
                <w:color w:val="auto"/>
                <w:sz w:val="24"/>
                <w:highlight w:val="none"/>
                <w:lang w:eastAsia="zh-CN"/>
              </w:rPr>
              <w:t>，</w:t>
            </w:r>
            <w:r>
              <w:rPr>
                <w:rFonts w:hint="eastAsia" w:cs="Times New Roman"/>
                <w:color w:val="auto"/>
                <w:sz w:val="24"/>
                <w:highlight w:val="none"/>
                <w:lang w:val="en-US" w:eastAsia="zh-CN"/>
              </w:rPr>
              <w:t>无鱼类“三场”，</w:t>
            </w:r>
            <w:r>
              <w:rPr>
                <w:rFonts w:hint="default" w:ascii="Times New Roman" w:hAnsi="Times New Roman" w:cs="Times New Roman"/>
                <w:color w:val="auto"/>
                <w:sz w:val="24"/>
                <w:highlight w:val="none"/>
              </w:rPr>
              <w:t>也没有重要保护湿地，因此本项目取水对水生生物生存环境影响</w:t>
            </w:r>
            <w:r>
              <w:rPr>
                <w:rFonts w:hint="eastAsia" w:cs="Times New Roman"/>
                <w:color w:val="auto"/>
                <w:sz w:val="24"/>
                <w:highlight w:val="none"/>
                <w:lang w:val="en-US" w:eastAsia="zh-CN"/>
              </w:rPr>
              <w:t>较小</w:t>
            </w:r>
            <w:r>
              <w:rPr>
                <w:rFonts w:hint="default" w:ascii="Times New Roman" w:hAnsi="Times New Roman" w:cs="Times New Roman"/>
                <w:color w:val="auto"/>
                <w:sz w:val="24"/>
                <w:highlight w:val="none"/>
              </w:rPr>
              <w:t>。</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防治措施：</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①慎重、合理地选择工程建设的施工场地，明确施工范围，减少对红线外植被区域的占用，尽量避免对现有植被的破坏。</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②合理安排施工进度，尽量减少过多的施工区域，缩短临时占地使用时间，施工完毕立即恢复植被。</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③所有临时占用的土地，事后都应恢复绿化。</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施工期工程排水修建专门的排水沟渠，通过沟渠排到指定的排放点，严禁随时、随地漫流和乱排</w:t>
            </w:r>
            <w:r>
              <w:rPr>
                <w:rFonts w:hint="default" w:ascii="Times New Roman" w:hAnsi="Times New Roman" w:eastAsia="宋体" w:cs="Times New Roman"/>
                <w:color w:val="auto"/>
                <w:sz w:val="24"/>
                <w:szCs w:val="24"/>
                <w:lang w:eastAsia="zh-CN"/>
              </w:rPr>
              <w:t>。</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⑤土堆表面利用毛毡覆盖，防风防水，临时用地周边设置导排沟，导排沟下游设置污水沉淀池，集中收集雨季冲刷废水，经沉淀后可作为施工用水回用。</w:t>
            </w:r>
          </w:p>
          <w:p>
            <w:pPr>
              <w:pStyle w:val="71"/>
              <w:keepNext w:val="0"/>
              <w:keepLines w:val="0"/>
              <w:pageBreakBefore w:val="0"/>
              <w:widowControl w:val="0"/>
              <w:kinsoku/>
              <w:wordWrap/>
              <w:overflowPunct/>
              <w:topLinePunct w:val="0"/>
              <w:autoSpaceDE/>
              <w:autoSpaceDN/>
              <w:bidi w:val="0"/>
              <w:adjustRightInd w:val="0"/>
              <w:snapToGrid/>
              <w:ind w:left="0" w:leftChars="0" w:right="0"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lang w:eastAsia="zh-CN"/>
              </w:rPr>
              <w:t>加强施工人员环保意识的宣教工作，提高对保护施工区及周边区域生态环境的认识，使之自觉保护区域内的绿地。</w:t>
            </w:r>
          </w:p>
          <w:p>
            <w:pPr>
              <w:pStyle w:val="71"/>
              <w:keepNext w:val="0"/>
              <w:keepLines w:val="0"/>
              <w:pageBreakBefore w:val="0"/>
              <w:widowControl w:val="0"/>
              <w:kinsoku/>
              <w:wordWrap/>
              <w:overflowPunct/>
              <w:topLinePunct w:val="0"/>
              <w:autoSpaceDE/>
              <w:autoSpaceDN/>
              <w:bidi w:val="0"/>
              <w:adjustRightInd w:val="0"/>
              <w:snapToGrid/>
              <w:ind w:left="0" w:leftChars="0" w:right="0" w:firstLine="480"/>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lang w:val="en-US" w:eastAsia="zh-CN"/>
              </w:rPr>
              <w:t>⑦</w:t>
            </w:r>
            <w:r>
              <w:rPr>
                <w:rFonts w:hint="default" w:ascii="Times New Roman" w:hAnsi="Times New Roman" w:cs="Times New Roman"/>
                <w:color w:val="auto"/>
              </w:rPr>
              <w:t>严格限值施工作业带宽度，禁止在施工作业带以外施工、加强野生动植物保护措施，禁止捕猎野生动物、禁止捕鱼</w:t>
            </w:r>
            <w:r>
              <w:rPr>
                <w:rFonts w:hint="default" w:ascii="Times New Roman" w:hAnsi="Times New Roman" w:cs="Times New Roman"/>
                <w:color w:val="auto"/>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6、水土流失影响分析</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本项目施工过程中在基础工程</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河流</w:t>
            </w:r>
            <w:r>
              <w:rPr>
                <w:rFonts w:hint="default" w:ascii="Times New Roman" w:hAnsi="Times New Roman" w:cs="Times New Roman"/>
                <w:color w:val="auto"/>
                <w:sz w:val="24"/>
                <w:highlight w:val="none"/>
              </w:rPr>
              <w:t>开挖区内，因改变表土结构，挖出的土石方因结构松散，如开挖期间遇暴雨，水土流失量将有所增大；在施工区域内，会因机具车辆碾压、施工人员的践踏和土石的堆放等因素会使土地原有植被受破坏，土壤裸露，极易被雨水冲刷，造成一定的水土流失。施工单位采取了以下措施防止水土流失：</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①严格按照《中华人民共和国水土保持法》等有关法律法规以及当地有关部门的要求进行施工。</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②根据对工程建设过程中扰动、破坏原地表面积的预测，工程开挖及施工临时设施占地将对原地表具有水土保持功能的设施构成破坏，按相关法律法规要求应予补偿。</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③严格控制施工作业范围，合理安排施工进度，减少施工裸露面的暴露时间。</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④为防止雨水、洪水径流对堆料场和渣（土）体的冲刷，需采用编织带或其它遮盖物进对其行遮盖，以减少损失。</w:t>
            </w:r>
          </w:p>
          <w:p>
            <w:pPr>
              <w:pageBreakBefore w:val="0"/>
              <w:kinsoku/>
              <w:wordWrap/>
              <w:bidi w:val="0"/>
              <w:spacing w:line="360" w:lineRule="auto"/>
              <w:ind w:left="0" w:leftChars="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w:t>
            </w:r>
            <w:r>
              <w:rPr>
                <w:rFonts w:hint="default" w:ascii="Times New Roman" w:hAnsi="Times New Roman" w:cs="Times New Roman"/>
                <w:color w:val="auto"/>
                <w:sz w:val="24"/>
                <w:szCs w:val="24"/>
                <w:highlight w:val="none"/>
              </w:rPr>
              <w:t>避免雨季进行挖填方作业，</w:t>
            </w:r>
            <w:r>
              <w:rPr>
                <w:rFonts w:hint="default" w:ascii="Times New Roman" w:hAnsi="Times New Roman" w:cs="Times New Roman"/>
                <w:color w:val="auto"/>
                <w:sz w:val="24"/>
                <w:highlight w:val="none"/>
              </w:rPr>
              <w:t>土石方及时回填，回填后及时夯实覆土</w:t>
            </w:r>
            <w:r>
              <w:rPr>
                <w:rFonts w:hint="eastAsia" w:cs="Times New Roman"/>
                <w:color w:val="auto"/>
                <w:sz w:val="24"/>
                <w:highlight w:val="none"/>
                <w:lang w:eastAsia="zh-CN"/>
              </w:rPr>
              <w:t>，</w:t>
            </w:r>
            <w:r>
              <w:rPr>
                <w:rFonts w:hint="eastAsia" w:cs="Times New Roman"/>
                <w:color w:val="auto"/>
                <w:sz w:val="24"/>
                <w:highlight w:val="none"/>
                <w:lang w:val="en-US" w:eastAsia="zh-CN"/>
              </w:rPr>
              <w:t>弃方及时清运</w:t>
            </w:r>
            <w:r>
              <w:rPr>
                <w:rFonts w:hint="default" w:ascii="Times New Roman" w:hAnsi="Times New Roman" w:cs="Times New Roman"/>
                <w:color w:val="auto"/>
                <w:sz w:val="24"/>
                <w:highlight w:val="none"/>
              </w:rPr>
              <w:t>。</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⑥施工完成后，做好施工迹地的恢复工作</w:t>
            </w:r>
            <w:r>
              <w:rPr>
                <w:rFonts w:hint="default" w:ascii="Times New Roman" w:hAnsi="Times New Roman" w:cs="Times New Roman"/>
                <w:color w:val="auto"/>
                <w:sz w:val="24"/>
                <w:szCs w:val="24"/>
                <w:highlight w:val="none"/>
              </w:rPr>
              <w:t>。</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⑦在施工作业带建排水沟，防止雨水冲刷场地，并在排水沟出口设沉淀池，使雨水经沉淀池沉清后回用，尽力减少施工期水土流失。</w:t>
            </w:r>
          </w:p>
          <w:p>
            <w:pPr>
              <w:pStyle w:val="71"/>
              <w:pageBreakBefore w:val="0"/>
              <w:kinsoku/>
              <w:wordWrap/>
              <w:bidi w:val="0"/>
              <w:ind w:left="0" w:leftChars="0" w:right="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总体来讲，施工期生态破坏和水土流失是暂时的，随着主体工程竣工、植被的逐渐恢复，因工程施工而引起的生态破坏和水土流失会逐年减少。在此前提下，项目施工期对该周边生态环境影响小，不会造成二次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default" w:ascii="Times New Roman" w:hAnsi="Times New Roman" w:cs="Times New Roman"/>
                <w:b w:val="0"/>
                <w:bCs w:val="0"/>
                <w:color w:val="auto"/>
                <w:sz w:val="24"/>
                <w:szCs w:val="24"/>
                <w:highlight w:val="none"/>
              </w:rPr>
              <w:t>综上，项目施工期对环境产生的“三废”及噪声影响，均为短期的，项目监测后影响即可消除。建设单位和施工单位在施工过程中切实落实对施工产生的扬尘、</w:t>
            </w:r>
            <w:r>
              <w:rPr>
                <w:rFonts w:hint="eastAsia" w:cs="Times New Roman"/>
                <w:b w:val="0"/>
                <w:bCs w:val="0"/>
                <w:color w:val="auto"/>
                <w:sz w:val="24"/>
                <w:szCs w:val="24"/>
                <w:highlight w:val="none"/>
                <w:lang w:val="en-US" w:eastAsia="zh-CN"/>
              </w:rPr>
              <w:t>废水、</w:t>
            </w:r>
            <w:r>
              <w:rPr>
                <w:rFonts w:hint="default" w:ascii="Times New Roman" w:hAnsi="Times New Roman" w:cs="Times New Roman"/>
                <w:b w:val="0"/>
                <w:bCs w:val="0"/>
                <w:color w:val="auto"/>
                <w:sz w:val="24"/>
                <w:szCs w:val="24"/>
                <w:highlight w:val="none"/>
              </w:rPr>
              <w:t>噪声、固体废物的管理和控制措施，施工期的负面环境影响得到有效控制。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80" w:firstLineChars="200"/>
              <w:jc w:val="left"/>
              <w:textAlignment w:val="auto"/>
              <w:rPr>
                <w:rFonts w:hint="default" w:ascii="宋体" w:hAnsi="宋体" w:eastAsia="宋体" w:cs="宋体"/>
                <w:bCs/>
                <w:spacing w:val="-1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dxa"/>
            <w:noWrap w:val="0"/>
            <w:tcMar>
              <w:left w:w="28" w:type="dxa"/>
              <w:right w:w="28" w:type="dxa"/>
            </w:tcMar>
            <w:vAlign w:val="center"/>
          </w:tcPr>
          <w:p>
            <w:pPr>
              <w:adjustRightInd w:val="0"/>
              <w:snapToGrid w:val="0"/>
              <w:jc w:val="center"/>
              <w:rPr>
                <w:rFonts w:hint="eastAsia" w:ascii="宋体" w:hAnsi="宋体" w:cs="宋体"/>
                <w:bCs/>
                <w:sz w:val="24"/>
                <w:szCs w:val="24"/>
              </w:rPr>
            </w:pPr>
            <w:r>
              <w:rPr>
                <w:rFonts w:hint="eastAsia" w:ascii="宋体" w:hAnsi="宋体" w:cs="宋体"/>
                <w:bCs/>
                <w:sz w:val="24"/>
                <w:szCs w:val="24"/>
              </w:rPr>
              <w:t>运营</w:t>
            </w:r>
          </w:p>
          <w:p>
            <w:pPr>
              <w:adjustRightInd w:val="0"/>
              <w:snapToGrid w:val="0"/>
              <w:jc w:val="center"/>
              <w:rPr>
                <w:rFonts w:hint="eastAsia" w:ascii="宋体" w:hAnsi="宋体" w:cs="宋体"/>
                <w:bCs/>
                <w:sz w:val="24"/>
                <w:szCs w:val="24"/>
              </w:rPr>
            </w:pPr>
            <w:r>
              <w:rPr>
                <w:rFonts w:hint="eastAsia" w:ascii="宋体" w:hAnsi="宋体" w:cs="宋体"/>
                <w:bCs/>
                <w:sz w:val="24"/>
                <w:szCs w:val="24"/>
              </w:rPr>
              <w:t>期环</w:t>
            </w:r>
          </w:p>
          <w:p>
            <w:pPr>
              <w:adjustRightInd w:val="0"/>
              <w:snapToGrid w:val="0"/>
              <w:jc w:val="center"/>
              <w:rPr>
                <w:rFonts w:hint="eastAsia" w:ascii="宋体" w:hAnsi="宋体" w:cs="宋体"/>
                <w:bCs/>
                <w:sz w:val="24"/>
                <w:szCs w:val="24"/>
              </w:rPr>
            </w:pPr>
            <w:r>
              <w:rPr>
                <w:rFonts w:hint="eastAsia" w:ascii="宋体" w:hAnsi="宋体" w:cs="宋体"/>
                <w:bCs/>
                <w:sz w:val="24"/>
                <w:szCs w:val="24"/>
              </w:rPr>
              <w:t>境影</w:t>
            </w:r>
          </w:p>
          <w:p>
            <w:pPr>
              <w:adjustRightInd w:val="0"/>
              <w:snapToGrid w:val="0"/>
              <w:jc w:val="center"/>
              <w:rPr>
                <w:rFonts w:hint="eastAsia" w:ascii="宋体" w:hAnsi="宋体" w:cs="宋体"/>
                <w:bCs/>
                <w:sz w:val="24"/>
                <w:szCs w:val="24"/>
              </w:rPr>
            </w:pPr>
            <w:r>
              <w:rPr>
                <w:rFonts w:hint="eastAsia" w:ascii="宋体" w:hAnsi="宋体" w:cs="宋体"/>
                <w:bCs/>
                <w:sz w:val="24"/>
                <w:szCs w:val="24"/>
              </w:rPr>
              <w:t>响和</w:t>
            </w:r>
          </w:p>
          <w:p>
            <w:pPr>
              <w:adjustRightInd w:val="0"/>
              <w:snapToGrid w:val="0"/>
              <w:jc w:val="center"/>
              <w:rPr>
                <w:rFonts w:hint="eastAsia" w:ascii="宋体" w:hAnsi="宋体" w:cs="宋体"/>
                <w:bCs/>
                <w:sz w:val="24"/>
                <w:szCs w:val="24"/>
              </w:rPr>
            </w:pPr>
            <w:r>
              <w:rPr>
                <w:rFonts w:hint="eastAsia" w:ascii="宋体" w:hAnsi="宋体" w:cs="宋体"/>
                <w:bCs/>
                <w:sz w:val="24"/>
                <w:szCs w:val="24"/>
              </w:rPr>
              <w:t>保护</w:t>
            </w:r>
          </w:p>
          <w:p>
            <w:pPr>
              <w:pStyle w:val="22"/>
              <w:adjustRightInd w:val="0"/>
              <w:snapToGrid w:val="0"/>
              <w:spacing w:before="0" w:beforeAutospacing="0" w:after="0" w:afterAutospacing="0"/>
              <w:jc w:val="center"/>
              <w:rPr>
                <w:rFonts w:hint="eastAsia" w:cs="宋体"/>
                <w:kern w:val="2"/>
                <w:sz w:val="24"/>
                <w:szCs w:val="24"/>
              </w:rPr>
            </w:pPr>
            <w:r>
              <w:rPr>
                <w:rFonts w:hint="eastAsia" w:ascii="宋体" w:hAnsi="宋体" w:cs="宋体"/>
                <w:bCs/>
                <w:sz w:val="24"/>
                <w:szCs w:val="24"/>
              </w:rPr>
              <w:t>措施</w:t>
            </w:r>
          </w:p>
        </w:tc>
        <w:tc>
          <w:tcPr>
            <w:tcW w:w="8586" w:type="dxa"/>
            <w:noWrap w:val="0"/>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一、废气</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项目运行期的废气主要为实验室废气、食堂油烟、汽车尾气、柴油发电机废气、垃圾收集点恶臭。</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产排污环节、污染物种类、产生量核算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（1）实验室废气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本项目教学实验室主要是普通的生物实验室、化学实验室，</w:t>
            </w:r>
            <w:r>
              <w:rPr>
                <w:rFonts w:hint="eastAsia" w:ascii="Times New Roman" w:hAnsi="Times New Roman" w:eastAsia="宋体" w:cs="Times New Roman"/>
                <w:color w:val="auto"/>
                <w:sz w:val="24"/>
                <w:szCs w:val="24"/>
                <w:lang w:val="en-US" w:eastAsia="zh-CN"/>
              </w:rPr>
              <w:t>主要进行中药研究实验，包括药学实验、分子生物学实验、细胞学实验、动物解剖实验（注：动物解剖实验仅进行简单解剖观察，不涉及化学试剂使用）、有机及无机化学实验等，</w:t>
            </w:r>
            <w:r>
              <w:rPr>
                <w:rFonts w:hint="eastAsia" w:ascii="宋体" w:hAnsi="宋体" w:eastAsia="宋体" w:cs="宋体"/>
                <w:b w:val="0"/>
                <w:bCs w:val="0"/>
                <w:color w:val="auto"/>
                <w:kern w:val="0"/>
                <w:sz w:val="24"/>
                <w:szCs w:val="24"/>
                <w:lang w:val="en-US" w:eastAsia="zh-CN" w:bidi="ar"/>
              </w:rPr>
              <w:t>实验废气主要为盐酸、</w:t>
            </w:r>
            <w:r>
              <w:rPr>
                <w:rFonts w:hint="default" w:ascii="Times New Roman" w:hAnsi="Times New Roman" w:eastAsia="宋体" w:cs="Times New Roman"/>
                <w:i w:val="0"/>
                <w:iCs w:val="0"/>
                <w:color w:val="000000"/>
                <w:kern w:val="0"/>
                <w:sz w:val="24"/>
                <w:szCs w:val="24"/>
                <w:u w:val="none"/>
                <w:lang w:val="en-US" w:eastAsia="zh-CN" w:bidi="ar"/>
              </w:rPr>
              <w:t>硝酸</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磷酸</w:t>
            </w:r>
            <w:r>
              <w:rPr>
                <w:rFonts w:hint="eastAsia" w:ascii="Times New Roman" w:hAnsi="Times New Roman" w:eastAsia="宋体" w:cs="Times New Roman"/>
                <w:i w:val="0"/>
                <w:iCs w:val="0"/>
                <w:color w:val="000000"/>
                <w:kern w:val="0"/>
                <w:sz w:val="24"/>
                <w:szCs w:val="24"/>
                <w:u w:val="none"/>
                <w:lang w:val="en-US" w:eastAsia="zh-CN" w:bidi="ar"/>
              </w:rPr>
              <w:t>等无机溶剂产生的酸雾</w:t>
            </w:r>
            <w:r>
              <w:rPr>
                <w:rFonts w:hint="eastAsia" w:ascii="宋体" w:hAnsi="宋体" w:eastAsia="宋体" w:cs="宋体"/>
                <w:b w:val="0"/>
                <w:bCs w:val="0"/>
                <w:color w:val="auto"/>
                <w:kern w:val="0"/>
                <w:sz w:val="24"/>
                <w:szCs w:val="24"/>
                <w:lang w:val="en-US" w:eastAsia="zh-CN" w:bidi="ar"/>
              </w:rPr>
              <w:t>，以及乙醇、丁醇、</w:t>
            </w:r>
            <w:r>
              <w:rPr>
                <w:rFonts w:hint="default" w:ascii="Times New Roman" w:hAnsi="Times New Roman" w:eastAsia="宋体" w:cs="Times New Roman"/>
                <w:i w:val="0"/>
                <w:iCs w:val="0"/>
                <w:color w:val="000000"/>
                <w:kern w:val="0"/>
                <w:sz w:val="24"/>
                <w:szCs w:val="24"/>
                <w:u w:val="none"/>
                <w:lang w:val="en-US" w:eastAsia="zh-CN" w:bidi="ar"/>
              </w:rPr>
              <w:t>环己醇</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乙酸乙酯</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石油醚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α-萘酚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香草醛</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对氨基偶氮苯</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苯酚</w:t>
            </w:r>
            <w:r>
              <w:rPr>
                <w:rFonts w:hint="eastAsia" w:ascii="Times New Roman" w:hAnsi="Times New Roman" w:eastAsia="宋体" w:cs="Times New Roman"/>
                <w:i w:val="0"/>
                <w:iCs w:val="0"/>
                <w:color w:val="000000"/>
                <w:kern w:val="0"/>
                <w:sz w:val="24"/>
                <w:szCs w:val="24"/>
                <w:u w:val="none"/>
                <w:lang w:val="en-US" w:eastAsia="zh-CN" w:bidi="ar"/>
              </w:rPr>
              <w:t>、乙酸、丁酸等有机溶剂产生的</w:t>
            </w:r>
            <w:r>
              <w:rPr>
                <w:rFonts w:hint="eastAsia" w:ascii="宋体" w:hAnsi="宋体" w:eastAsia="宋体" w:cs="宋体"/>
                <w:b w:val="0"/>
                <w:bCs w:val="0"/>
                <w:color w:val="auto"/>
                <w:kern w:val="0"/>
                <w:sz w:val="24"/>
                <w:szCs w:val="24"/>
                <w:lang w:val="en-US" w:eastAsia="zh-CN" w:bidi="ar"/>
              </w:rPr>
              <w:t>挥发性有机废气。其产生量与实验项目、实验时间有关，废气类型、排放时间、排放量均不固定，本次评价不进行定量计算，仅进行定性分析。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（2）食堂油烟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本项目设有1个食堂，</w:t>
            </w:r>
            <w:r>
              <w:rPr>
                <w:rFonts w:hint="eastAsia" w:ascii="Times New Roman" w:hAnsi="Times New Roman" w:eastAsia="宋体" w:cs="Times New Roman"/>
                <w:b w:val="0"/>
                <w:bCs w:val="0"/>
                <w:color w:val="auto"/>
                <w:kern w:val="0"/>
                <w:sz w:val="24"/>
                <w:szCs w:val="24"/>
                <w:lang w:val="en-US" w:eastAsia="zh-CN" w:bidi="ar"/>
              </w:rPr>
              <w:t>设4个基准灶头，</w:t>
            </w:r>
            <w:r>
              <w:rPr>
                <w:rFonts w:hint="default" w:ascii="Times New Roman" w:hAnsi="Times New Roman" w:eastAsia="宋体" w:cs="Times New Roman"/>
                <w:b w:val="0"/>
                <w:bCs w:val="0"/>
                <w:color w:val="auto"/>
                <w:kern w:val="0"/>
                <w:sz w:val="24"/>
                <w:szCs w:val="24"/>
                <w:lang w:val="en-US" w:eastAsia="zh-CN" w:bidi="ar"/>
              </w:rPr>
              <w:t>食堂烹饪过程会产生油烟，日就餐人数按</w:t>
            </w:r>
            <w:r>
              <w:rPr>
                <w:rFonts w:hint="eastAsia" w:ascii="Times New Roman" w:hAnsi="Times New Roman" w:eastAsia="宋体" w:cs="Times New Roman"/>
                <w:b w:val="0"/>
                <w:bCs w:val="0"/>
                <w:color w:val="auto"/>
                <w:kern w:val="0"/>
                <w:sz w:val="24"/>
                <w:szCs w:val="24"/>
                <w:lang w:val="en-US" w:eastAsia="zh-CN" w:bidi="ar"/>
              </w:rPr>
              <w:t>10670</w:t>
            </w:r>
            <w:r>
              <w:rPr>
                <w:rFonts w:hint="default" w:ascii="Times New Roman" w:hAnsi="Times New Roman" w:eastAsia="宋体" w:cs="Times New Roman"/>
                <w:b w:val="0"/>
                <w:bCs w:val="0"/>
                <w:color w:val="auto"/>
                <w:kern w:val="0"/>
                <w:sz w:val="24"/>
                <w:szCs w:val="24"/>
                <w:lang w:val="en-US" w:eastAsia="zh-CN" w:bidi="ar"/>
              </w:rPr>
              <w:t>人计，学校年工作时间取280天，食用油消耗量以1kg/100人</w:t>
            </w:r>
            <w:r>
              <w:rPr>
                <w:rFonts w:hint="default"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餐计，餐饮油烟产生量为3.815kg/t</w:t>
            </w:r>
            <w:r>
              <w:rPr>
                <w:rFonts w:hint="eastAsia" w:ascii="Times New Roman" w:hAnsi="Times New Roman" w:eastAsia="宋体" w:cs="Times New Roman"/>
                <w:b w:val="0"/>
                <w:bCs w:val="0"/>
                <w:color w:val="auto"/>
                <w:kern w:val="0"/>
                <w:sz w:val="24"/>
                <w:szCs w:val="24"/>
                <w:lang w:val="en-US" w:eastAsia="zh-CN" w:bidi="ar"/>
              </w:rPr>
              <w:t>-油</w:t>
            </w:r>
            <w:r>
              <w:rPr>
                <w:rFonts w:hint="default" w:ascii="Times New Roman" w:hAnsi="Times New Roman" w:eastAsia="宋体" w:cs="Times New Roman"/>
                <w:b w:val="0"/>
                <w:bCs w:val="0"/>
                <w:color w:val="auto"/>
                <w:kern w:val="0"/>
                <w:sz w:val="24"/>
                <w:szCs w:val="24"/>
                <w:lang w:val="en-US" w:eastAsia="zh-CN" w:bidi="ar"/>
              </w:rPr>
              <w:t>。则本项目</w:t>
            </w:r>
            <w:r>
              <w:rPr>
                <w:rFonts w:hint="eastAsia" w:ascii="Times New Roman" w:hAnsi="Times New Roman" w:eastAsia="宋体" w:cs="Times New Roman"/>
                <w:b w:val="0"/>
                <w:bCs w:val="0"/>
                <w:color w:val="auto"/>
                <w:kern w:val="0"/>
                <w:sz w:val="24"/>
                <w:szCs w:val="24"/>
                <w:lang w:val="en-US" w:eastAsia="zh-CN" w:bidi="ar"/>
              </w:rPr>
              <w:t>食用油消耗量为106.7kg/d，油烟产生量为0.407kg/d（113.96kg/a）。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（3）汽车尾气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本项目建成投入使用后以教学为主要功能，进出的车辆以小型车为主，中型车较少，基本无大型车。</w:t>
            </w:r>
            <w:r>
              <w:rPr>
                <w:rFonts w:hint="default" w:ascii="Times New Roman" w:hAnsi="Times New Roman" w:cs="Times New Roman"/>
                <w:color w:val="auto"/>
                <w:sz w:val="24"/>
              </w:rPr>
              <w:t>尾气主要含有CO、NOx、TSP和未完全燃烧的碳氢化合物THC。</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柴油发电机废气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柴油发电机作为消防和市政电网停电时学校的应急电源，</w:t>
            </w:r>
            <w:r>
              <w:rPr>
                <w:rFonts w:hint="default" w:ascii="Times New Roman" w:hAnsi="Times New Roman" w:cs="Times New Roman"/>
                <w:color w:val="auto"/>
                <w:sz w:val="24"/>
              </w:rPr>
              <w:t>采用0#柴油作为燃料</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cs="Times New Roman"/>
                <w:color w:val="auto"/>
                <w:sz w:val="24"/>
              </w:rPr>
              <w:t>主要污染物为烟尘、CO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、CO、HC、NOx、SO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w:t>
            </w:r>
            <w:r>
              <w:rPr>
                <w:rFonts w:hint="eastAsia" w:ascii="宋体" w:hAnsi="宋体" w:eastAsia="宋体" w:cs="宋体"/>
                <w:b w:val="0"/>
                <w:bCs w:val="0"/>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垃圾收集点恶臭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本项目垃圾主要为学生及教职工的生活垃圾，产生的恶臭气体主要来自垃圾收集点。恶臭是一个感官性指标，难以定量，本次评价仅进行定性分析。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w:t>
            </w:r>
            <w:r>
              <w:rPr>
                <w:rFonts w:hint="default" w:ascii="Times New Roman" w:hAnsi="Times New Roman" w:cs="Times New Roman"/>
                <w:b/>
                <w:bCs/>
                <w:color w:val="auto"/>
                <w:sz w:val="24"/>
              </w:rPr>
              <w:t>排放形式、治理措施、排放量及排放口基本情况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（1）实验室废气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所需各类化学试剂较少，均为常见化学试剂，产生有毒有害气体的实验在通风橱内进行，减少实验者和实验气体的接触，同时能够提高实验室的通风环境。通风橱上方安装活性炭吸附罐，废气通过活性炭吸附后引至楼顶</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DA00</w:t>
            </w:r>
            <w:r>
              <w:rPr>
                <w:rFonts w:hint="eastAsia" w:ascii="Times New Roman" w:hAnsi="Times New Roman" w:eastAsia="宋体" w:cs="Times New Roman"/>
                <w:b w:val="0"/>
                <w:bCs w:val="0"/>
                <w:color w:val="auto"/>
                <w:kern w:val="0"/>
                <w:sz w:val="24"/>
                <w:szCs w:val="24"/>
                <w:lang w:val="en-US" w:eastAsia="zh-CN" w:bidi="ar"/>
              </w:rPr>
              <w:t>1</w:t>
            </w:r>
            <w:r>
              <w:rPr>
                <w:rFonts w:hint="default" w:ascii="Times New Roman" w:hAnsi="Times New Roman" w:eastAsia="宋体" w:cs="Times New Roman"/>
                <w:b w:val="0"/>
                <w:bCs w:val="0"/>
                <w:color w:val="auto"/>
                <w:kern w:val="0"/>
                <w:sz w:val="24"/>
                <w:szCs w:val="24"/>
                <w:lang w:val="en-US" w:eastAsia="zh-CN" w:bidi="ar"/>
              </w:rPr>
              <w:t>）排放，其他实验在一般实验台进行，通过加强通风等措施进行处理。</w:t>
            </w:r>
            <w:r>
              <w:rPr>
                <w:rFonts w:hint="eastAsia" w:ascii="Times New Roman" w:hAnsi="Times New Roman" w:eastAsia="宋体" w:cs="Times New Roman"/>
                <w:b w:val="0"/>
                <w:bCs w:val="0"/>
                <w:color w:val="auto"/>
                <w:kern w:val="0"/>
                <w:sz w:val="24"/>
                <w:szCs w:val="24"/>
                <w:lang w:val="en-US" w:eastAsia="zh-CN" w:bidi="ar"/>
              </w:rPr>
              <w:t>采取上述措施后</w:t>
            </w:r>
            <w:r>
              <w:rPr>
                <w:rFonts w:hint="default" w:ascii="Times New Roman" w:hAnsi="Times New Roman" w:eastAsia="宋体" w:cs="Times New Roman"/>
                <w:b w:val="0"/>
                <w:bCs w:val="0"/>
                <w:color w:val="auto"/>
                <w:kern w:val="0"/>
                <w:sz w:val="24"/>
                <w:szCs w:val="24"/>
                <w:lang w:val="en-US" w:eastAsia="zh-CN" w:bidi="ar"/>
              </w:rPr>
              <w:t>实验室产生废气对环境影响很小</w:t>
            </w:r>
            <w:r>
              <w:rPr>
                <w:rFonts w:hint="eastAsia" w:ascii="Times New Roman" w:hAnsi="Times New Roman" w:eastAsia="宋体" w:cs="Times New Roman"/>
                <w:b w:val="0"/>
                <w:bCs w:val="0"/>
                <w:color w:val="auto"/>
                <w:kern w:val="0"/>
                <w:sz w:val="24"/>
                <w:szCs w:val="24"/>
                <w:lang w:val="en-US" w:eastAsia="zh-CN" w:bidi="ar"/>
              </w:rPr>
              <w:t>。</w:t>
            </w:r>
          </w:p>
          <w:p>
            <w:pPr>
              <w:adjustRightInd w:val="0"/>
              <w:snapToGrid w:val="0"/>
              <w:spacing w:line="360" w:lineRule="auto"/>
              <w:ind w:firstLine="482" w:firstLineChars="200"/>
              <w:rPr>
                <w:sz w:val="24"/>
                <w:szCs w:val="24"/>
              </w:rPr>
            </w:pPr>
            <w:r>
              <w:rPr>
                <w:rFonts w:hint="eastAsia"/>
                <w:b/>
                <w:sz w:val="24"/>
                <w:szCs w:val="24"/>
              </w:rPr>
              <w:t>活性炭吸附原理：</w:t>
            </w:r>
            <w:r>
              <w:rPr>
                <w:rFonts w:hint="eastAsia"/>
                <w:sz w:val="24"/>
                <w:szCs w:val="24"/>
              </w:rPr>
              <w:t>由于活性炭固体表面上存在着未平衡和未饱和的分子引力或化学键力，因此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w:t>
            </w:r>
            <w:r>
              <w:rPr>
                <w:rFonts w:hint="eastAsia" w:ascii="宋体" w:hAnsi="宋体" w:eastAsia="宋体" w:cs="宋体"/>
                <w:color w:val="000000"/>
                <w:kern w:val="0"/>
                <w:sz w:val="24"/>
                <w:szCs w:val="24"/>
                <w:lang w:val="en-US" w:eastAsia="zh-CN" w:bidi="ar"/>
              </w:rPr>
              <w:t xml:space="preserve">活性炭吸附是一种对有机废气较为成熟的处理工艺，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单级处理效率约为</w:t>
            </w:r>
            <w:r>
              <w:rPr>
                <w:rFonts w:hint="default" w:ascii="Times New Roman" w:hAnsi="Times New Roman" w:eastAsia="宋体" w:cs="Times New Roman"/>
                <w:color w:val="000000"/>
                <w:kern w:val="0"/>
                <w:sz w:val="24"/>
                <w:szCs w:val="24"/>
                <w:lang w:val="en-US" w:eastAsia="zh-CN" w:bidi="ar"/>
              </w:rPr>
              <w:t>70%</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二级处理效率约为90%。</w:t>
            </w:r>
            <w:r>
              <w:rPr>
                <w:rFonts w:hint="eastAsia" w:ascii="宋体" w:hAnsi="宋体" w:eastAsia="宋体" w:cs="宋体"/>
                <w:color w:val="000000"/>
                <w:kern w:val="0"/>
                <w:sz w:val="24"/>
                <w:szCs w:val="24"/>
                <w:lang w:val="en-US" w:eastAsia="zh-CN" w:bidi="ar"/>
              </w:rPr>
              <w:t>本项目采用</w:t>
            </w:r>
            <w:r>
              <w:rPr>
                <w:rFonts w:hint="default" w:ascii="Times New Roman" w:hAnsi="Times New Roman" w:eastAsia="宋体" w:cs="Times New Roman"/>
                <w:b w:val="0"/>
                <w:bCs w:val="0"/>
                <w:color w:val="auto"/>
                <w:kern w:val="0"/>
                <w:sz w:val="24"/>
                <w:szCs w:val="24"/>
                <w:lang w:val="en-US" w:eastAsia="zh-CN" w:bidi="ar"/>
              </w:rPr>
              <w:t>活性炭吸附罐</w:t>
            </w:r>
            <w:r>
              <w:rPr>
                <w:rFonts w:hint="eastAsia" w:ascii="Times New Roman" w:hAnsi="Times New Roman" w:eastAsia="宋体" w:cs="Times New Roman"/>
                <w:b w:val="0"/>
                <w:bCs w:val="0"/>
                <w:color w:val="auto"/>
                <w:kern w:val="0"/>
                <w:sz w:val="24"/>
                <w:szCs w:val="24"/>
                <w:lang w:val="en-US" w:eastAsia="zh-CN" w:bidi="ar"/>
              </w:rPr>
              <w:t>（二级活性炭）</w:t>
            </w:r>
            <w:r>
              <w:rPr>
                <w:rFonts w:hint="eastAsia" w:ascii="宋体" w:hAnsi="宋体" w:eastAsia="宋体" w:cs="宋体"/>
                <w:color w:val="000000"/>
                <w:kern w:val="0"/>
                <w:sz w:val="24"/>
                <w:szCs w:val="24"/>
                <w:lang w:val="en-US" w:eastAsia="zh-CN" w:bidi="ar"/>
              </w:rPr>
              <w:t>，去除率</w:t>
            </w:r>
            <w:r>
              <w:rPr>
                <w:rFonts w:hint="eastAsia" w:ascii="宋体" w:hAnsi="宋体" w:eastAsia="宋体" w:cs="宋体"/>
                <w:b w:val="0"/>
                <w:bCs w:val="0"/>
                <w:color w:val="000000"/>
                <w:kern w:val="0"/>
                <w:sz w:val="24"/>
                <w:szCs w:val="24"/>
                <w:lang w:val="en-US" w:eastAsia="zh-CN" w:bidi="ar"/>
              </w:rPr>
              <w:t xml:space="preserve">约为 </w:t>
            </w:r>
            <w:r>
              <w:rPr>
                <w:rFonts w:hint="default" w:ascii="Times New Roman" w:hAnsi="Times New Roman" w:eastAsia="宋体" w:cs="Times New Roman"/>
                <w:b w:val="0"/>
                <w:bCs w:val="0"/>
                <w:color w:val="000000"/>
                <w:kern w:val="0"/>
                <w:sz w:val="24"/>
                <w:szCs w:val="24"/>
                <w:lang w:val="en-US" w:eastAsia="zh-CN" w:bidi="ar"/>
              </w:rPr>
              <w:t>90%</w:t>
            </w:r>
            <w:r>
              <w:rPr>
                <w:rFonts w:hint="eastAsia" w:ascii="宋体" w:hAnsi="宋体" w:eastAsia="宋体" w:cs="宋体"/>
                <w:b w:val="0"/>
                <w:bCs w:val="0"/>
                <w:color w:val="000000"/>
                <w:kern w:val="0"/>
                <w:sz w:val="24"/>
                <w:szCs w:val="24"/>
                <w:lang w:val="en-US" w:eastAsia="zh-CN" w:bidi="ar"/>
              </w:rPr>
              <w:t>。本次环评要求建设单位使用的活性炭更换周期为半年</w:t>
            </w:r>
            <w:r>
              <w:rPr>
                <w:rFonts w:hint="default" w:ascii="Times New Roman" w:hAnsi="Times New Roman" w:eastAsia="宋体" w:cs="Times New Roman"/>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次，</w:t>
            </w:r>
            <w:r>
              <w:rPr>
                <w:rFonts w:hint="default" w:ascii="Times New Roman" w:hAnsi="Times New Roman" w:eastAsia="宋体" w:cs="Times New Roman"/>
                <w:b w:val="0"/>
                <w:bCs w:val="0"/>
                <w:color w:val="auto"/>
                <w:kern w:val="0"/>
                <w:sz w:val="24"/>
                <w:szCs w:val="24"/>
                <w:lang w:val="en-US" w:eastAsia="zh-CN" w:bidi="ar"/>
              </w:rPr>
              <w:t>填充量</w:t>
            </w:r>
            <w:r>
              <w:rPr>
                <w:rFonts w:hint="eastAsia" w:ascii="Times New Roman" w:hAnsi="Times New Roman" w:eastAsia="宋体" w:cs="Times New Roman"/>
                <w:b w:val="0"/>
                <w:bCs w:val="0"/>
                <w:color w:val="auto"/>
                <w:kern w:val="0"/>
                <w:sz w:val="24"/>
                <w:szCs w:val="24"/>
                <w:lang w:val="en-US" w:eastAsia="zh-CN" w:bidi="ar"/>
              </w:rPr>
              <w:t>至少</w:t>
            </w:r>
            <w:r>
              <w:rPr>
                <w:rFonts w:hint="default" w:ascii="Times New Roman" w:hAnsi="Times New Roman" w:eastAsia="宋体" w:cs="Times New Roman"/>
                <w:b w:val="0"/>
                <w:bCs w:val="0"/>
                <w:color w:val="auto"/>
                <w:kern w:val="0"/>
                <w:sz w:val="24"/>
                <w:szCs w:val="24"/>
                <w:lang w:val="en-US" w:eastAsia="zh-CN" w:bidi="ar"/>
              </w:rPr>
              <w:t>为12.8</w:t>
            </w:r>
            <w:r>
              <w:rPr>
                <w:rFonts w:hint="eastAsia" w:hAnsi="宋体"/>
                <w:sz w:val="24"/>
                <w:szCs w:val="24"/>
              </w:rPr>
              <w:t>kg</w:t>
            </w:r>
            <w:r>
              <w:rPr>
                <w:rFonts w:hAnsi="宋体"/>
                <w:sz w:val="24"/>
                <w:szCs w:val="24"/>
              </w:rPr>
              <w:t>/a</w:t>
            </w:r>
            <w:r>
              <w:rPr>
                <w:rFonts w:hint="default" w:ascii="Times New Roman" w:hAnsi="Times New Roman" w:eastAsia="宋体" w:cs="Times New Roman"/>
                <w:b w:val="0"/>
                <w:bCs w:val="0"/>
                <w:color w:val="auto"/>
                <w:kern w:val="0"/>
                <w:sz w:val="24"/>
                <w:szCs w:val="24"/>
                <w:lang w:val="en-US" w:eastAsia="zh-CN" w:bidi="ar"/>
              </w:rPr>
              <w:t>，</w:t>
            </w:r>
            <w:r>
              <w:rPr>
                <w:rFonts w:hint="eastAsia" w:ascii="宋体" w:hAnsi="宋体" w:eastAsia="宋体" w:cs="宋体"/>
                <w:b w:val="0"/>
                <w:bCs w:val="0"/>
                <w:color w:val="auto"/>
                <w:kern w:val="0"/>
                <w:sz w:val="24"/>
                <w:szCs w:val="24"/>
                <w:lang w:val="en-US" w:eastAsia="zh-CN" w:bidi="ar"/>
              </w:rPr>
              <w:t>使用的</w:t>
            </w:r>
            <w:r>
              <w:rPr>
                <w:rFonts w:hint="eastAsia" w:ascii="宋体" w:hAnsi="宋体" w:eastAsia="宋体" w:cs="宋体"/>
                <w:b w:val="0"/>
                <w:bCs w:val="0"/>
                <w:color w:val="000000"/>
                <w:kern w:val="0"/>
                <w:sz w:val="24"/>
                <w:szCs w:val="24"/>
                <w:lang w:val="en-US" w:eastAsia="zh-CN" w:bidi="ar"/>
              </w:rPr>
              <w:t>活性炭碘值不得低于</w:t>
            </w:r>
            <w:r>
              <w:rPr>
                <w:rFonts w:hint="default" w:ascii="Times New Roman" w:hAnsi="Times New Roman" w:eastAsia="宋体" w:cs="Times New Roman"/>
                <w:b w:val="0"/>
                <w:bCs w:val="0"/>
                <w:color w:val="000000"/>
                <w:kern w:val="0"/>
                <w:sz w:val="24"/>
                <w:szCs w:val="24"/>
                <w:lang w:val="en-US" w:eastAsia="zh-CN" w:bidi="ar"/>
              </w:rPr>
              <w:t>800mg/g</w:t>
            </w:r>
            <w:r>
              <w:rPr>
                <w:rFonts w:hint="eastAsia" w:ascii="宋体" w:hAnsi="宋体" w:eastAsia="宋体" w:cs="宋体"/>
                <w:b w:val="0"/>
                <w:bCs w:val="0"/>
                <w:color w:val="000000"/>
                <w:kern w:val="0"/>
                <w:sz w:val="24"/>
                <w:szCs w:val="24"/>
                <w:lang w:val="en-US" w:eastAsia="zh-CN" w:bidi="ar"/>
              </w:rPr>
              <w:t>。</w:t>
            </w:r>
          </w:p>
          <w:p>
            <w:pPr>
              <w:adjustRightInd w:val="0"/>
              <w:snapToGrid w:val="0"/>
              <w:spacing w:line="360" w:lineRule="auto"/>
              <w:ind w:firstLine="482"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lang w:val="en-US" w:eastAsia="zh-CN"/>
              </w:rPr>
              <w:t>废气污染治理设施可行性分析：</w:t>
            </w:r>
            <w:r>
              <w:rPr>
                <w:rFonts w:hint="default" w:ascii="Times New Roman" w:hAnsi="Times New Roman" w:eastAsia="宋体" w:cs="Times New Roman"/>
                <w:b w:val="0"/>
                <w:bCs w:val="0"/>
                <w:color w:val="auto"/>
                <w:sz w:val="24"/>
                <w:szCs w:val="24"/>
                <w:lang w:val="en-US" w:eastAsia="zh-CN"/>
              </w:rPr>
              <w:t>本项目设置的</w:t>
            </w:r>
            <w:r>
              <w:rPr>
                <w:rFonts w:hint="eastAsia" w:ascii="Times New Roman" w:hAnsi="Times New Roman" w:eastAsia="宋体" w:cs="Times New Roman"/>
                <w:b w:val="0"/>
                <w:bCs w:val="0"/>
                <w:color w:val="auto"/>
                <w:sz w:val="24"/>
                <w:szCs w:val="24"/>
                <w:lang w:val="en-US" w:eastAsia="zh-CN"/>
              </w:rPr>
              <w:t>排风系统</w:t>
            </w:r>
            <w:r>
              <w:rPr>
                <w:rFonts w:hint="default" w:ascii="Times New Roman" w:hAnsi="Times New Roman" w:eastAsia="宋体" w:cs="Times New Roman"/>
                <w:b w:val="0"/>
                <w:bCs w:val="0"/>
                <w:color w:val="auto"/>
                <w:sz w:val="24"/>
                <w:szCs w:val="24"/>
                <w:lang w:val="en-US" w:eastAsia="zh-CN"/>
              </w:rPr>
              <w:t>可满足实验过程中废气的收集，避免实验过程中有机废气</w:t>
            </w:r>
            <w:r>
              <w:rPr>
                <w:rFonts w:hint="eastAsia" w:ascii="Times New Roman" w:hAnsi="Times New Roman" w:eastAsia="宋体" w:cs="Times New Roman"/>
                <w:b w:val="0"/>
                <w:bCs w:val="0"/>
                <w:color w:val="auto"/>
                <w:sz w:val="24"/>
                <w:szCs w:val="24"/>
                <w:lang w:val="en-US" w:eastAsia="zh-CN"/>
              </w:rPr>
              <w:t>/酸雾</w:t>
            </w:r>
            <w:r>
              <w:rPr>
                <w:rFonts w:hint="default" w:ascii="Times New Roman" w:hAnsi="Times New Roman" w:eastAsia="宋体" w:cs="Times New Roman"/>
                <w:b w:val="0"/>
                <w:bCs w:val="0"/>
                <w:color w:val="auto"/>
                <w:sz w:val="24"/>
                <w:szCs w:val="24"/>
                <w:lang w:val="en-US" w:eastAsia="zh-CN"/>
              </w:rPr>
              <w:t xml:space="preserve">的逸散而污染实验环境。根据《挥发性有机物（VOCs）污染防治技术政策》“三、末端治理与综合利用”，“(十五)对于含低浓度 VOCs 的废气，有回收价值时可采用吸附技术、吸收技术对有机溶剂回收后达标排放；不宜回收时，可采用吸附浓缩燃烧技术、生物技术、吸收技术、等离子体技术或紫外光高级氧化技术等净化后达标排放。”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sz w:val="24"/>
                <w:szCs w:val="24"/>
                <w:lang w:val="en-US" w:eastAsia="zh-CN"/>
              </w:rPr>
              <w:t>本项目废气浓度为低浓度，选用</w:t>
            </w:r>
            <w:r>
              <w:rPr>
                <w:rFonts w:hint="eastAsia"/>
                <w:b w:val="0"/>
                <w:bCs w:val="0"/>
                <w:color w:val="auto"/>
                <w:sz w:val="24"/>
                <w:szCs w:val="24"/>
              </w:rPr>
              <w:t>“</w:t>
            </w:r>
            <w:r>
              <w:rPr>
                <w:rFonts w:hint="default" w:ascii="Times New Roman" w:hAnsi="Times New Roman" w:eastAsia="宋体" w:cs="Times New Roman"/>
                <w:b w:val="0"/>
                <w:bCs w:val="0"/>
                <w:color w:val="auto"/>
                <w:kern w:val="0"/>
                <w:sz w:val="24"/>
                <w:szCs w:val="24"/>
                <w:lang w:val="en-US" w:eastAsia="zh-CN" w:bidi="ar"/>
              </w:rPr>
              <w:t>通风橱</w:t>
            </w:r>
            <w:r>
              <w:rPr>
                <w:rFonts w:hint="eastAsia"/>
                <w:b w:val="0"/>
                <w:bCs w:val="0"/>
                <w:color w:val="auto"/>
                <w:sz w:val="24"/>
                <w:szCs w:val="24"/>
              </w:rPr>
              <w:t>+</w:t>
            </w:r>
            <w:r>
              <w:rPr>
                <w:rFonts w:hint="default" w:ascii="Times New Roman" w:hAnsi="Times New Roman" w:eastAsia="宋体" w:cs="Times New Roman"/>
                <w:b w:val="0"/>
                <w:bCs w:val="0"/>
                <w:color w:val="auto"/>
                <w:kern w:val="0"/>
                <w:sz w:val="24"/>
                <w:szCs w:val="24"/>
                <w:lang w:val="en-US" w:eastAsia="zh-CN" w:bidi="ar"/>
              </w:rPr>
              <w:t>活性炭吸附罐</w:t>
            </w:r>
            <w:r>
              <w:rPr>
                <w:rFonts w:hint="eastAsia" w:ascii="Times New Roman" w:hAnsi="Times New Roman" w:eastAsia="宋体" w:cs="Times New Roman"/>
                <w:b w:val="0"/>
                <w:bCs w:val="0"/>
                <w:color w:val="auto"/>
                <w:kern w:val="0"/>
                <w:sz w:val="24"/>
                <w:szCs w:val="24"/>
                <w:lang w:val="en-US" w:eastAsia="zh-CN" w:bidi="ar"/>
              </w:rPr>
              <w:t>（</w:t>
            </w:r>
            <w:r>
              <w:rPr>
                <w:rFonts w:hint="eastAsia"/>
                <w:b w:val="0"/>
                <w:bCs w:val="0"/>
                <w:color w:val="auto"/>
                <w:sz w:val="24"/>
                <w:szCs w:val="24"/>
              </w:rPr>
              <w:t>二级活性炭</w:t>
            </w:r>
            <w:r>
              <w:rPr>
                <w:rFonts w:hint="eastAsia"/>
                <w:b w:val="0"/>
                <w:bCs w:val="0"/>
                <w:color w:val="auto"/>
                <w:sz w:val="24"/>
                <w:szCs w:val="24"/>
                <w:lang w:eastAsia="zh-CN"/>
              </w:rPr>
              <w:t>）</w:t>
            </w:r>
            <w:r>
              <w:rPr>
                <w:rFonts w:hint="eastAsia"/>
                <w:b w:val="0"/>
                <w:bCs w:val="0"/>
                <w:color w:val="auto"/>
                <w:sz w:val="24"/>
                <w:szCs w:val="24"/>
              </w:rPr>
              <w:t>”</w:t>
            </w:r>
            <w:r>
              <w:rPr>
                <w:rFonts w:hint="default" w:ascii="Times New Roman" w:hAnsi="Times New Roman" w:eastAsia="宋体" w:cs="Times New Roman"/>
                <w:b w:val="0"/>
                <w:bCs w:val="0"/>
                <w:color w:val="auto"/>
                <w:sz w:val="24"/>
                <w:szCs w:val="24"/>
                <w:lang w:val="en-US" w:eastAsia="zh-CN"/>
              </w:rPr>
              <w:t>装置是符合《挥发性有机物（VOCs）污染防治技术政策》要求，措施可行。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val="en-US" w:eastAsia="zh-CN" w:bidi="ar"/>
              </w:rPr>
              <w:t>食堂油烟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w:t>
            </w:r>
            <w:r>
              <w:rPr>
                <w:rFonts w:hint="default" w:ascii="Times New Roman" w:hAnsi="Times New Roman" w:eastAsia="宋体" w:cs="Times New Roman"/>
                <w:b w:val="0"/>
                <w:bCs w:val="0"/>
                <w:color w:val="auto"/>
                <w:kern w:val="0"/>
                <w:sz w:val="24"/>
                <w:szCs w:val="24"/>
                <w:lang w:val="en-US" w:eastAsia="zh-CN" w:bidi="ar"/>
              </w:rPr>
              <w:t>次评价要求安装油烟净化器处理后，经专用管道引至屋顶排放</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DA00</w:t>
            </w:r>
            <w:r>
              <w:rPr>
                <w:rFonts w:hint="eastAsia" w:ascii="Times New Roman" w:hAnsi="Times New Roman" w:eastAsia="宋体" w:cs="Times New Roman"/>
                <w:b w:val="0"/>
                <w:bCs w:val="0"/>
                <w:color w:val="auto"/>
                <w:kern w:val="0"/>
                <w:sz w:val="24"/>
                <w:szCs w:val="24"/>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。油烟收集效率按100%计，</w:t>
            </w:r>
            <w:r>
              <w:rPr>
                <w:rFonts w:hint="eastAsia"/>
                <w:sz w:val="24"/>
                <w:szCs w:val="24"/>
              </w:rPr>
              <w:t>处理效率按</w:t>
            </w:r>
            <w:r>
              <w:rPr>
                <w:rFonts w:hint="eastAsia"/>
                <w:sz w:val="24"/>
                <w:szCs w:val="24"/>
                <w:lang w:val="en-US" w:eastAsia="zh-CN"/>
              </w:rPr>
              <w:t>85</w:t>
            </w:r>
            <w:r>
              <w:rPr>
                <w:rFonts w:hint="eastAsia"/>
                <w:sz w:val="24"/>
                <w:szCs w:val="24"/>
              </w:rPr>
              <w:t>%计，风机风量为</w:t>
            </w:r>
            <w:r>
              <w:rPr>
                <w:rFonts w:hint="eastAsia"/>
                <w:sz w:val="24"/>
                <w:szCs w:val="24"/>
                <w:lang w:val="en-US" w:eastAsia="zh-CN"/>
              </w:rPr>
              <w:t>10</w:t>
            </w:r>
            <w:r>
              <w:rPr>
                <w:rFonts w:hint="eastAsia"/>
                <w:sz w:val="24"/>
                <w:szCs w:val="24"/>
              </w:rPr>
              <w:t>000m</w:t>
            </w:r>
            <w:r>
              <w:rPr>
                <w:rFonts w:hint="eastAsia"/>
                <w:sz w:val="24"/>
                <w:szCs w:val="24"/>
                <w:vertAlign w:val="superscript"/>
              </w:rPr>
              <w:t>3</w:t>
            </w:r>
            <w:r>
              <w:rPr>
                <w:rFonts w:hint="eastAsia"/>
                <w:sz w:val="24"/>
                <w:szCs w:val="24"/>
              </w:rPr>
              <w:t>/h</w:t>
            </w:r>
            <w:r>
              <w:rPr>
                <w:rFonts w:hint="eastAsia"/>
                <w:sz w:val="24"/>
                <w:szCs w:val="24"/>
                <w:lang w:eastAsia="zh-CN"/>
              </w:rPr>
              <w:t>，</w:t>
            </w:r>
            <w:r>
              <w:rPr>
                <w:rFonts w:hint="default" w:ascii="Times New Roman" w:hAnsi="Times New Roman" w:eastAsia="宋体" w:cs="Times New Roman"/>
                <w:b w:val="0"/>
                <w:bCs w:val="0"/>
                <w:color w:val="auto"/>
                <w:kern w:val="0"/>
                <w:sz w:val="24"/>
                <w:szCs w:val="24"/>
                <w:lang w:val="en-US" w:eastAsia="zh-CN" w:bidi="ar"/>
              </w:rPr>
              <w:t>食堂烹饪时间按</w:t>
            </w:r>
            <w:r>
              <w:rPr>
                <w:rFonts w:hint="eastAsia" w:ascii="Times New Roman" w:hAnsi="Times New Roman" w:eastAsia="宋体" w:cs="Times New Roman"/>
                <w:b w:val="0"/>
                <w:bCs w:val="0"/>
                <w:color w:val="auto"/>
                <w:kern w:val="0"/>
                <w:sz w:val="24"/>
                <w:szCs w:val="24"/>
                <w:lang w:val="en-US" w:eastAsia="zh-CN" w:bidi="ar"/>
              </w:rPr>
              <w:t>每天8</w:t>
            </w:r>
            <w:r>
              <w:rPr>
                <w:rFonts w:hint="default" w:ascii="Times New Roman" w:hAnsi="Times New Roman" w:eastAsia="宋体" w:cs="Times New Roman"/>
                <w:b w:val="0"/>
                <w:bCs w:val="0"/>
                <w:color w:val="auto"/>
                <w:kern w:val="0"/>
                <w:sz w:val="24"/>
                <w:szCs w:val="24"/>
                <w:lang w:val="en-US" w:eastAsia="zh-CN" w:bidi="ar"/>
              </w:rPr>
              <w:t>小时计</w:t>
            </w:r>
            <w:r>
              <w:rPr>
                <w:rFonts w:hint="eastAsia"/>
                <w:sz w:val="24"/>
                <w:szCs w:val="24"/>
              </w:rPr>
              <w:t>。</w:t>
            </w:r>
            <w:r>
              <w:rPr>
                <w:rFonts w:hint="eastAsia"/>
                <w:sz w:val="24"/>
                <w:szCs w:val="24"/>
                <w:lang w:val="en-US" w:eastAsia="zh-CN"/>
              </w:rPr>
              <w:t>则本项目油烟</w:t>
            </w:r>
            <w:r>
              <w:rPr>
                <w:rFonts w:hint="default" w:ascii="Times New Roman" w:hAnsi="Times New Roman" w:eastAsia="宋体" w:cs="Times New Roman"/>
                <w:b w:val="0"/>
                <w:bCs w:val="0"/>
                <w:color w:val="auto"/>
                <w:kern w:val="0"/>
                <w:sz w:val="24"/>
                <w:szCs w:val="24"/>
                <w:lang w:val="en-US" w:eastAsia="zh-CN" w:bidi="ar"/>
              </w:rPr>
              <w:t>排放量为</w:t>
            </w:r>
            <w:r>
              <w:rPr>
                <w:rFonts w:hint="eastAsia" w:ascii="Times New Roman" w:hAnsi="Times New Roman" w:eastAsia="宋体" w:cs="Times New Roman"/>
                <w:b w:val="0"/>
                <w:bCs w:val="0"/>
                <w:color w:val="auto"/>
                <w:kern w:val="0"/>
                <w:sz w:val="24"/>
                <w:szCs w:val="24"/>
                <w:lang w:val="en-US" w:eastAsia="zh-CN" w:bidi="ar"/>
              </w:rPr>
              <w:t>0.061kg</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d（17.08kg</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a），</w:t>
            </w:r>
            <w:r>
              <w:rPr>
                <w:rFonts w:hint="default" w:ascii="Times New Roman" w:hAnsi="Times New Roman" w:eastAsia="宋体" w:cs="Times New Roman"/>
                <w:b w:val="0"/>
                <w:bCs w:val="0"/>
                <w:color w:val="auto"/>
                <w:kern w:val="0"/>
                <w:sz w:val="24"/>
                <w:szCs w:val="24"/>
                <w:lang w:val="en-US" w:eastAsia="zh-CN" w:bidi="ar"/>
              </w:rPr>
              <w:t>排放速率为</w:t>
            </w:r>
            <w:r>
              <w:rPr>
                <w:rFonts w:hint="eastAsia" w:ascii="Times New Roman" w:hAnsi="Times New Roman" w:eastAsia="宋体" w:cs="Times New Roman"/>
                <w:b w:val="0"/>
                <w:bCs w:val="0"/>
                <w:color w:val="auto"/>
                <w:kern w:val="0"/>
                <w:sz w:val="24"/>
                <w:szCs w:val="24"/>
                <w:lang w:val="en-US" w:eastAsia="zh-CN" w:bidi="ar"/>
              </w:rPr>
              <w:t>0.0076</w:t>
            </w:r>
            <w:r>
              <w:rPr>
                <w:rFonts w:hint="default" w:ascii="Times New Roman" w:hAnsi="Times New Roman" w:eastAsia="宋体" w:cs="Times New Roman"/>
                <w:b w:val="0"/>
                <w:bCs w:val="0"/>
                <w:color w:val="auto"/>
                <w:kern w:val="0"/>
                <w:sz w:val="24"/>
                <w:szCs w:val="24"/>
                <w:lang w:val="en-US" w:eastAsia="zh-CN" w:bidi="ar"/>
              </w:rPr>
              <w:t>kg/h，排放浓度为</w:t>
            </w:r>
            <w:r>
              <w:rPr>
                <w:rFonts w:hint="eastAsia" w:ascii="Times New Roman" w:hAnsi="Times New Roman" w:eastAsia="宋体" w:cs="Times New Roman"/>
                <w:b w:val="0"/>
                <w:bCs w:val="0"/>
                <w:color w:val="auto"/>
                <w:kern w:val="0"/>
                <w:sz w:val="24"/>
                <w:szCs w:val="24"/>
                <w:lang w:val="en-US" w:eastAsia="zh-CN" w:bidi="ar"/>
              </w:rPr>
              <w:t>0.76</w:t>
            </w:r>
            <w:r>
              <w:rPr>
                <w:rFonts w:hint="default" w:ascii="Times New Roman" w:hAnsi="Times New Roman" w:eastAsia="宋体" w:cs="Times New Roman"/>
                <w:b w:val="0"/>
                <w:bCs w:val="0"/>
                <w:color w:val="auto"/>
                <w:kern w:val="0"/>
                <w:sz w:val="24"/>
                <w:szCs w:val="24"/>
                <w:lang w:val="en-US" w:eastAsia="zh-CN" w:bidi="ar"/>
              </w:rPr>
              <w:t>mg/m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能够满足</w:t>
            </w:r>
            <w:r>
              <w:rPr>
                <w:rFonts w:hint="eastAsia"/>
                <w:sz w:val="24"/>
                <w:szCs w:val="24"/>
                <w:lang w:val="en-US" w:eastAsia="zh-CN"/>
              </w:rPr>
              <w:t>《饮食业油烟排放标准（试行）》（GB18483-2001）表2最高允许排放浓度。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汽车尾气</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汽车尾气产生量较小，通过自然扩散，对环境影响较小。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柴油发电机废气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本次评价要求</w:t>
            </w:r>
            <w:r>
              <w:rPr>
                <w:rFonts w:hint="default" w:ascii="Times New Roman" w:hAnsi="Times New Roman" w:eastAsia="宋体" w:cs="Times New Roman"/>
                <w:b w:val="0"/>
                <w:bCs w:val="0"/>
                <w:color w:val="auto"/>
                <w:kern w:val="0"/>
                <w:sz w:val="24"/>
                <w:szCs w:val="24"/>
                <w:lang w:val="en-US" w:eastAsia="zh-CN" w:bidi="ar"/>
              </w:rPr>
              <w:t>柴油发电机房采用机械送、排风的形式保持良好的通风性，柴油发电机排放的废气</w:t>
            </w:r>
            <w:r>
              <w:rPr>
                <w:rFonts w:hint="default" w:ascii="Times New Roman" w:hAnsi="Times New Roman" w:cs="Times New Roman"/>
                <w:color w:val="auto"/>
                <w:sz w:val="24"/>
              </w:rPr>
              <w:t>通过设备自带的消烟除尘装置处理后</w:t>
            </w:r>
            <w:r>
              <w:rPr>
                <w:rFonts w:hint="eastAsia" w:ascii="Times New Roman" w:hAnsi="Times New Roman" w:cs="Times New Roman"/>
                <w:color w:val="auto"/>
                <w:sz w:val="24"/>
                <w:lang w:val="en-US" w:eastAsia="zh-CN"/>
              </w:rPr>
              <w:t>经</w:t>
            </w:r>
            <w:r>
              <w:rPr>
                <w:rFonts w:hint="default" w:ascii="Times New Roman" w:hAnsi="Times New Roman" w:eastAsia="宋体" w:cs="Times New Roman"/>
                <w:b w:val="0"/>
                <w:bCs w:val="0"/>
                <w:color w:val="auto"/>
                <w:kern w:val="0"/>
                <w:sz w:val="24"/>
                <w:szCs w:val="24"/>
                <w:lang w:val="en-US" w:eastAsia="zh-CN" w:bidi="ar"/>
              </w:rPr>
              <w:t>抽风机抽至地面排风口处排放。由于柴油发电机只有停电时才会启用，使用频率小，所产生的污染属于间歇性的，产生的废气量很少，采取上述措施后完全能够达标排放。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垃圾收集点恶臭</w:t>
            </w:r>
          </w:p>
          <w:p>
            <w:pPr>
              <w:pStyle w:val="9"/>
              <w:spacing w:after="0"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b w:val="0"/>
                <w:bCs w:val="0"/>
                <w:color w:val="auto"/>
                <w:kern w:val="0"/>
                <w:sz w:val="24"/>
                <w:szCs w:val="24"/>
                <w:lang w:val="en-US" w:eastAsia="zh-CN" w:bidi="ar"/>
              </w:rPr>
              <w:t>本项目设置垃圾临时堆放间1座，单个建筑面积约</w:t>
            </w:r>
            <w:r>
              <w:rPr>
                <w:rFonts w:hint="eastAsia" w:ascii="Times New Roman" w:hAnsi="Times New Roman" w:eastAsia="宋体" w:cs="Times New Roman"/>
                <w:b w:val="0"/>
                <w:bCs w:val="0"/>
                <w:color w:val="auto"/>
                <w:kern w:val="0"/>
                <w:sz w:val="24"/>
                <w:szCs w:val="24"/>
                <w:lang w:val="en-US" w:eastAsia="zh-CN" w:bidi="ar"/>
              </w:rPr>
              <w:t>4</w:t>
            </w:r>
            <w:r>
              <w:rPr>
                <w:rFonts w:hint="default" w:ascii="Times New Roman" w:hAnsi="Times New Roman" w:eastAsia="宋体" w:cs="Times New Roman"/>
                <w:b w:val="0"/>
                <w:bCs w:val="0"/>
                <w:color w:val="auto"/>
                <w:kern w:val="0"/>
                <w:sz w:val="24"/>
                <w:szCs w:val="24"/>
                <w:lang w:val="en-US" w:eastAsia="zh-CN" w:bidi="ar"/>
              </w:rPr>
              <w:t>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，位于</w:t>
            </w:r>
            <w:r>
              <w:rPr>
                <w:rFonts w:hint="eastAsia" w:ascii="Times New Roman" w:hAnsi="Times New Roman" w:eastAsia="宋体" w:cs="Times New Roman"/>
                <w:b w:val="0"/>
                <w:bCs w:val="0"/>
                <w:color w:val="auto"/>
                <w:kern w:val="0"/>
                <w:sz w:val="24"/>
                <w:szCs w:val="24"/>
                <w:lang w:val="en-US" w:eastAsia="zh-CN" w:bidi="ar"/>
              </w:rPr>
              <w:t>东北侧</w:t>
            </w:r>
            <w:r>
              <w:rPr>
                <w:rFonts w:hint="default" w:ascii="Times New Roman" w:hAnsi="Times New Roman" w:eastAsia="宋体" w:cs="Times New Roman"/>
                <w:b w:val="0"/>
                <w:bCs w:val="0"/>
                <w:color w:val="auto"/>
                <w:kern w:val="0"/>
                <w:sz w:val="24"/>
                <w:szCs w:val="24"/>
                <w:lang w:val="en-US" w:eastAsia="zh-CN" w:bidi="ar"/>
              </w:rPr>
              <w:t>生活区。</w:t>
            </w:r>
            <w:r>
              <w:rPr>
                <w:rFonts w:hint="eastAsia" w:ascii="Times New Roman" w:hAnsi="Times New Roman" w:eastAsia="宋体" w:cs="Times New Roman"/>
                <w:b w:val="0"/>
                <w:bCs w:val="0"/>
                <w:color w:val="auto"/>
                <w:kern w:val="0"/>
                <w:sz w:val="24"/>
                <w:szCs w:val="24"/>
                <w:lang w:val="en-US" w:eastAsia="zh-CN" w:bidi="ar"/>
              </w:rPr>
              <w:t>本次评价要求</w:t>
            </w:r>
            <w:r>
              <w:rPr>
                <w:rFonts w:hint="default" w:ascii="Times New Roman" w:hAnsi="Times New Roman" w:eastAsia="宋体" w:cs="Times New Roman"/>
                <w:b w:val="0"/>
                <w:bCs w:val="0"/>
                <w:color w:val="auto"/>
                <w:kern w:val="0"/>
                <w:sz w:val="24"/>
                <w:szCs w:val="24"/>
                <w:lang w:val="en-US" w:eastAsia="zh-CN" w:bidi="ar"/>
              </w:rPr>
              <w:t>垃圾临时堆放间要密闭设置，垃圾应分类投放、日产日清，专人负责清理和喷洒消毒药水，减少垃圾恶臭的产生和逸散。垃圾清运时间应尽量避开人流高峰期，并选择对周围环境影响较小的运输路线，定时对运输路线进行清扫，运输车辆出场时必须封闭，避免在运输过程中的抛洒现象。</w:t>
            </w:r>
            <w:r>
              <w:rPr>
                <w:rFonts w:hint="eastAsia" w:ascii="Times New Roman" w:hAnsi="Times New Roman" w:eastAsia="宋体" w:cs="Times New Roman"/>
                <w:b w:val="0"/>
                <w:bCs w:val="0"/>
                <w:color w:val="auto"/>
                <w:kern w:val="0"/>
                <w:sz w:val="24"/>
                <w:szCs w:val="24"/>
                <w:lang w:val="en-US" w:eastAsia="zh-CN" w:bidi="ar"/>
              </w:rPr>
              <w:t>采取上述措施后</w:t>
            </w:r>
            <w:r>
              <w:rPr>
                <w:rFonts w:hint="default" w:ascii="Times New Roman" w:hAnsi="Times New Roman" w:cs="Times New Roman"/>
                <w:color w:val="auto"/>
                <w:sz w:val="24"/>
              </w:rPr>
              <w:t>对环境影响较小。</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本项目废气治理措施和排放情况如下表。</w:t>
            </w:r>
          </w:p>
          <w:p>
            <w:pPr>
              <w:snapToGrid w:val="0"/>
              <w:spacing w:line="276"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表4-</w:t>
            </w:r>
            <w:r>
              <w:rPr>
                <w:rFonts w:hint="default" w:ascii="Times New Roman" w:hAnsi="Times New Roman" w:eastAsia="黑体" w:cs="Times New Roman"/>
                <w:color w:val="auto"/>
                <w:lang w:val="en-US" w:eastAsia="zh-CN"/>
              </w:rPr>
              <w:t>1</w:t>
            </w:r>
            <w:r>
              <w:rPr>
                <w:rFonts w:hint="default" w:ascii="Times New Roman" w:hAnsi="Times New Roman" w:eastAsia="黑体" w:cs="Times New Roman"/>
                <w:color w:val="auto"/>
              </w:rPr>
              <w:t xml:space="preserve"> 废气治理措施、排放形式一览表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38"/>
              <w:gridCol w:w="671"/>
              <w:gridCol w:w="2999"/>
              <w:gridCol w:w="786"/>
              <w:gridCol w:w="789"/>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废气类型</w:t>
                  </w:r>
                </w:p>
              </w:tc>
              <w:tc>
                <w:tcPr>
                  <w:tcW w:w="681"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污染物种类</w:t>
                  </w:r>
                </w:p>
              </w:tc>
              <w:tc>
                <w:tcPr>
                  <w:tcW w:w="401"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排放</w:t>
                  </w:r>
                </w:p>
                <w:p>
                  <w:pPr>
                    <w:jc w:val="center"/>
                    <w:rPr>
                      <w:rFonts w:hint="default" w:ascii="Times New Roman" w:hAnsi="Times New Roman" w:cs="Times New Roman"/>
                      <w:b/>
                      <w:bCs/>
                      <w:color w:val="auto"/>
                    </w:rPr>
                  </w:pPr>
                  <w:r>
                    <w:rPr>
                      <w:rFonts w:hint="default" w:ascii="Times New Roman" w:hAnsi="Times New Roman" w:cs="Times New Roman"/>
                      <w:b/>
                      <w:bCs/>
                      <w:color w:val="auto"/>
                    </w:rPr>
                    <w:t>形式</w:t>
                  </w:r>
                </w:p>
              </w:tc>
              <w:tc>
                <w:tcPr>
                  <w:tcW w:w="3215" w:type="pct"/>
                  <w:gridSpan w:val="4"/>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Merge w:val="continue"/>
                  <w:noWrap w:val="0"/>
                  <w:vAlign w:val="center"/>
                </w:tcPr>
                <w:p>
                  <w:pPr>
                    <w:jc w:val="center"/>
                    <w:rPr>
                      <w:rFonts w:hint="default" w:ascii="Times New Roman" w:hAnsi="Times New Roman" w:cs="Times New Roman"/>
                      <w:b/>
                      <w:bCs/>
                      <w:color w:val="auto"/>
                    </w:rPr>
                  </w:pPr>
                </w:p>
              </w:tc>
              <w:tc>
                <w:tcPr>
                  <w:tcW w:w="681" w:type="pct"/>
                  <w:vMerge w:val="continue"/>
                  <w:noWrap w:val="0"/>
                  <w:vAlign w:val="center"/>
                </w:tcPr>
                <w:p>
                  <w:pPr>
                    <w:jc w:val="center"/>
                    <w:rPr>
                      <w:rFonts w:hint="default" w:ascii="Times New Roman" w:hAnsi="Times New Roman" w:cs="Times New Roman"/>
                      <w:b/>
                      <w:bCs/>
                      <w:color w:val="auto"/>
                    </w:rPr>
                  </w:pPr>
                </w:p>
              </w:tc>
              <w:tc>
                <w:tcPr>
                  <w:tcW w:w="401" w:type="pct"/>
                  <w:vMerge w:val="continue"/>
                  <w:noWrap w:val="0"/>
                  <w:vAlign w:val="center"/>
                </w:tcPr>
                <w:p>
                  <w:pPr>
                    <w:jc w:val="center"/>
                    <w:rPr>
                      <w:rFonts w:hint="default" w:ascii="Times New Roman" w:hAnsi="Times New Roman" w:cs="Times New Roman"/>
                      <w:b/>
                      <w:bCs/>
                      <w:color w:val="auto"/>
                    </w:rPr>
                  </w:pPr>
                </w:p>
              </w:tc>
              <w:tc>
                <w:tcPr>
                  <w:tcW w:w="1794"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治理设施名称及工艺</w:t>
                  </w:r>
                </w:p>
              </w:tc>
              <w:tc>
                <w:tcPr>
                  <w:tcW w:w="470"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收集效率（%）</w:t>
                  </w:r>
                </w:p>
              </w:tc>
              <w:tc>
                <w:tcPr>
                  <w:tcW w:w="472"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去除率（%）</w:t>
                  </w:r>
                </w:p>
              </w:tc>
              <w:tc>
                <w:tcPr>
                  <w:tcW w:w="477"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Merge w:val="restar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实验室废气</w:t>
                  </w:r>
                </w:p>
              </w:tc>
              <w:tc>
                <w:tcPr>
                  <w:tcW w:w="681" w:type="pct"/>
                  <w:vMerge w:val="restar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酸雾、VOC</w:t>
                  </w:r>
                  <w:r>
                    <w:rPr>
                      <w:rFonts w:hint="eastAsia" w:ascii="Times New Roman" w:hAnsi="Times New Roman" w:cs="Times New Roman"/>
                      <w:color w:val="auto"/>
                      <w:vertAlign w:val="subscript"/>
                      <w:lang w:val="en-US" w:eastAsia="zh-CN"/>
                    </w:rPr>
                    <w:t>S</w:t>
                  </w:r>
                </w:p>
              </w:tc>
              <w:tc>
                <w:tcPr>
                  <w:tcW w:w="401" w:type="pct"/>
                  <w:noWrap w:val="0"/>
                  <w:vAlign w:val="center"/>
                </w:tcPr>
                <w:p>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有组织</w:t>
                  </w:r>
                </w:p>
              </w:tc>
              <w:tc>
                <w:tcPr>
                  <w:tcW w:w="1794" w:type="pct"/>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）排放</w:t>
                  </w:r>
                </w:p>
              </w:tc>
              <w:tc>
                <w:tcPr>
                  <w:tcW w:w="470"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90</w:t>
                  </w:r>
                </w:p>
              </w:tc>
              <w:tc>
                <w:tcPr>
                  <w:tcW w:w="47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90</w:t>
                  </w:r>
                </w:p>
              </w:tc>
              <w:tc>
                <w:tcPr>
                  <w:tcW w:w="47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Merge w:val="continue"/>
                  <w:noWrap w:val="0"/>
                  <w:vAlign w:val="center"/>
                </w:tcPr>
                <w:p>
                  <w:pPr>
                    <w:jc w:val="center"/>
                    <w:rPr>
                      <w:rFonts w:hint="eastAsia" w:ascii="Times New Roman" w:hAnsi="Times New Roman" w:cs="Times New Roman"/>
                      <w:color w:val="auto"/>
                      <w:lang w:val="en-US" w:eastAsia="zh-CN"/>
                    </w:rPr>
                  </w:pPr>
                </w:p>
              </w:tc>
              <w:tc>
                <w:tcPr>
                  <w:tcW w:w="681" w:type="pct"/>
                  <w:vMerge w:val="continue"/>
                  <w:noWrap w:val="0"/>
                  <w:vAlign w:val="center"/>
                </w:tcPr>
                <w:p>
                  <w:pPr>
                    <w:jc w:val="center"/>
                    <w:rPr>
                      <w:rFonts w:hint="eastAsia" w:ascii="Times New Roman" w:hAnsi="Times New Roman" w:cs="Times New Roman"/>
                      <w:color w:val="auto"/>
                      <w:lang w:val="en-US" w:eastAsia="zh-CN"/>
                    </w:rPr>
                  </w:pPr>
                </w:p>
              </w:tc>
              <w:tc>
                <w:tcPr>
                  <w:tcW w:w="401" w:type="pct"/>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无组织</w:t>
                  </w:r>
                </w:p>
              </w:tc>
              <w:tc>
                <w:tcPr>
                  <w:tcW w:w="1794"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加强通风</w:t>
                  </w:r>
                </w:p>
              </w:tc>
              <w:tc>
                <w:tcPr>
                  <w:tcW w:w="47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w:t>
                  </w:r>
                </w:p>
              </w:tc>
              <w:tc>
                <w:tcPr>
                  <w:tcW w:w="472"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w:t>
                  </w:r>
                </w:p>
              </w:tc>
              <w:tc>
                <w:tcPr>
                  <w:tcW w:w="47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食堂油烟</w:t>
                  </w:r>
                </w:p>
              </w:tc>
              <w:tc>
                <w:tcPr>
                  <w:tcW w:w="681"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油烟</w:t>
                  </w:r>
                </w:p>
              </w:tc>
              <w:tc>
                <w:tcPr>
                  <w:tcW w:w="401"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有组织</w:t>
                  </w:r>
                </w:p>
              </w:tc>
              <w:tc>
                <w:tcPr>
                  <w:tcW w:w="1794" w:type="pct"/>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b w:val="0"/>
                      <w:bCs w:val="0"/>
                      <w:color w:val="auto"/>
                      <w:kern w:val="0"/>
                      <w:sz w:val="21"/>
                      <w:szCs w:val="21"/>
                      <w:lang w:val="en-US" w:eastAsia="zh-CN" w:bidi="ar"/>
                    </w:rPr>
                    <w:t>安装油烟净化器</w:t>
                  </w:r>
                  <w:r>
                    <w:rPr>
                      <w:rFonts w:hint="eastAsia" w:ascii="Times New Roman" w:hAnsi="Times New Roman" w:eastAsia="宋体" w:cs="Times New Roman"/>
                      <w:b w:val="0"/>
                      <w:bCs w:val="0"/>
                      <w:color w:val="auto"/>
                      <w:kern w:val="0"/>
                      <w:sz w:val="21"/>
                      <w:szCs w:val="21"/>
                      <w:lang w:val="en-US" w:eastAsia="zh-CN" w:bidi="ar"/>
                    </w:rPr>
                    <w:t>处理后</w:t>
                  </w:r>
                  <w:r>
                    <w:rPr>
                      <w:rFonts w:hint="default" w:ascii="Times New Roman" w:hAnsi="Times New Roman" w:eastAsia="宋体" w:cs="Times New Roman"/>
                      <w:b w:val="0"/>
                      <w:bCs w:val="0"/>
                      <w:color w:val="auto"/>
                      <w:kern w:val="0"/>
                      <w:sz w:val="21"/>
                      <w:szCs w:val="21"/>
                      <w:lang w:val="en-US" w:eastAsia="zh-CN" w:bidi="ar"/>
                    </w:rPr>
                    <w:t>经专用管道引至屋顶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）排放</w:t>
                  </w:r>
                </w:p>
              </w:tc>
              <w:tc>
                <w:tcPr>
                  <w:tcW w:w="470"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100</w:t>
                  </w:r>
                </w:p>
              </w:tc>
              <w:tc>
                <w:tcPr>
                  <w:tcW w:w="472" w:type="pct"/>
                  <w:noWrap w:val="0"/>
                  <w:vAlign w:val="center"/>
                </w:tcPr>
                <w:p>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rPr>
                    <w:t>8</w:t>
                  </w:r>
                  <w:r>
                    <w:rPr>
                      <w:rFonts w:hint="eastAsia" w:ascii="Times New Roman" w:hAnsi="Times New Roman" w:cs="Times New Roman"/>
                      <w:color w:val="auto"/>
                      <w:lang w:val="en-US" w:eastAsia="zh-CN"/>
                    </w:rPr>
                    <w:t>5</w:t>
                  </w:r>
                </w:p>
              </w:tc>
              <w:tc>
                <w:tcPr>
                  <w:tcW w:w="47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汽车尾气</w:t>
                  </w:r>
                </w:p>
              </w:tc>
              <w:tc>
                <w:tcPr>
                  <w:tcW w:w="681" w:type="pct"/>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szCs w:val="21"/>
                    </w:rPr>
                    <w:t>CO、NOx、TSP</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THC</w:t>
                  </w:r>
                </w:p>
              </w:tc>
              <w:tc>
                <w:tcPr>
                  <w:tcW w:w="401"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794"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自然扩散</w:t>
                  </w:r>
                </w:p>
              </w:tc>
              <w:tc>
                <w:tcPr>
                  <w:tcW w:w="47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柴油发电机废气</w:t>
                  </w:r>
                </w:p>
              </w:tc>
              <w:tc>
                <w:tcPr>
                  <w:tcW w:w="681"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烟尘、CO</w:t>
                  </w:r>
                  <w:r>
                    <w:rPr>
                      <w:rFonts w:hint="default" w:ascii="Times New Roman" w:hAnsi="Times New Roman" w:cs="Times New Roman"/>
                      <w:color w:val="auto"/>
                      <w:vertAlign w:val="subscript"/>
                    </w:rPr>
                    <w:t>2</w:t>
                  </w:r>
                  <w:r>
                    <w:rPr>
                      <w:rFonts w:hint="default" w:ascii="Times New Roman" w:hAnsi="Times New Roman" w:cs="Times New Roman"/>
                      <w:color w:val="auto"/>
                    </w:rPr>
                    <w:t>、CO、NOx、SO</w:t>
                  </w:r>
                  <w:r>
                    <w:rPr>
                      <w:rFonts w:hint="default" w:ascii="Times New Roman" w:hAnsi="Times New Roman" w:cs="Times New Roman"/>
                      <w:color w:val="auto"/>
                      <w:vertAlign w:val="subscript"/>
                    </w:rPr>
                    <w:t>2</w:t>
                  </w:r>
                </w:p>
              </w:tc>
              <w:tc>
                <w:tcPr>
                  <w:tcW w:w="401"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79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p>
              </w:tc>
              <w:tc>
                <w:tcPr>
                  <w:tcW w:w="47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b w:val="0"/>
                      <w:bCs w:val="0"/>
                      <w:color w:val="000000"/>
                      <w:kern w:val="0"/>
                      <w:sz w:val="21"/>
                      <w:szCs w:val="21"/>
                      <w:lang w:val="en-US" w:eastAsia="zh-CN" w:bidi="ar"/>
                    </w:rPr>
                    <w:t>垃圾收集点恶臭</w:t>
                  </w:r>
                </w:p>
              </w:tc>
              <w:tc>
                <w:tcPr>
                  <w:tcW w:w="681"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恶臭</w:t>
                  </w:r>
                </w:p>
              </w:tc>
              <w:tc>
                <w:tcPr>
                  <w:tcW w:w="401"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794" w:type="pct"/>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0"/>
                      <w:sz w:val="21"/>
                      <w:szCs w:val="21"/>
                      <w:lang w:val="en-US" w:eastAsia="zh-CN" w:bidi="ar"/>
                    </w:rPr>
                    <w:t>密闭设置</w:t>
                  </w:r>
                  <w:r>
                    <w:rPr>
                      <w:rFonts w:hint="eastAsia" w:ascii="Times New Roman" w:hAnsi="Times New Roman" w:eastAsia="宋体" w:cs="Times New Roman"/>
                      <w:b w:val="0"/>
                      <w:bCs w:val="0"/>
                      <w:color w:val="auto"/>
                      <w:kern w:val="0"/>
                      <w:sz w:val="21"/>
                      <w:szCs w:val="21"/>
                      <w:lang w:val="en-US" w:eastAsia="zh-CN" w:bidi="ar"/>
                    </w:rPr>
                    <w:t>、</w:t>
                  </w:r>
                  <w:r>
                    <w:rPr>
                      <w:rFonts w:hint="eastAsia" w:ascii="Times New Roman" w:hAnsi="Times New Roman" w:cs="Times New Roman"/>
                      <w:color w:val="auto"/>
                      <w:lang w:val="en-US" w:eastAsia="zh-CN"/>
                    </w:rPr>
                    <w:t>定期清理、消毒</w:t>
                  </w:r>
                </w:p>
              </w:tc>
              <w:tc>
                <w:tcPr>
                  <w:tcW w:w="47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7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w:t>
                  </w:r>
                </w:p>
              </w:tc>
            </w:tr>
          </w:tbl>
          <w:p>
            <w:pPr>
              <w:pStyle w:val="9"/>
              <w:keepNext w:val="0"/>
              <w:keepLines w:val="0"/>
              <w:pageBreakBefore w:val="0"/>
              <w:widowControl/>
              <w:kinsoku/>
              <w:wordWrap/>
              <w:overflowPunct/>
              <w:topLinePunct w:val="0"/>
              <w:autoSpaceDE/>
              <w:autoSpaceDN/>
              <w:bidi w:val="0"/>
              <w:adjustRightInd/>
              <w:snapToGrid w:val="0"/>
              <w:spacing w:before="157" w:beforeLines="50" w:after="0" w:line="360" w:lineRule="auto"/>
              <w:ind w:right="113"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3、污染物排放信息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①</w:t>
            </w:r>
            <w:r>
              <w:rPr>
                <w:rFonts w:ascii="Times New Roman" w:hAnsi="Times New Roman"/>
                <w:b/>
                <w:bCs/>
                <w:color w:val="auto"/>
                <w:sz w:val="24"/>
                <w:szCs w:val="24"/>
              </w:rPr>
              <w:t>废</w:t>
            </w:r>
            <w:r>
              <w:rPr>
                <w:rFonts w:hint="eastAsia" w:ascii="Times New Roman" w:hAnsi="Times New Roman"/>
                <w:b/>
                <w:bCs/>
                <w:color w:val="auto"/>
                <w:sz w:val="24"/>
                <w:szCs w:val="24"/>
                <w:lang w:val="en-US" w:eastAsia="zh-CN"/>
              </w:rPr>
              <w:t>气</w:t>
            </w:r>
            <w:r>
              <w:rPr>
                <w:rFonts w:ascii="Times New Roman" w:hAnsi="Times New Roman"/>
                <w:b/>
                <w:bCs/>
                <w:color w:val="auto"/>
                <w:sz w:val="24"/>
                <w:szCs w:val="24"/>
              </w:rPr>
              <w:t>类别、污染物及治理设施信息</w:t>
            </w:r>
          </w:p>
          <w:p>
            <w:pPr>
              <w:snapToGrid w:val="0"/>
              <w:spacing w:line="276"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表4-</w:t>
            </w:r>
            <w:r>
              <w:rPr>
                <w:rFonts w:hint="default" w:ascii="Times New Roman" w:hAnsi="Times New Roman" w:eastAsia="黑体" w:cs="Times New Roman"/>
                <w:color w:val="auto"/>
                <w:lang w:val="en-US" w:eastAsia="zh-CN"/>
              </w:rPr>
              <w:t xml:space="preserve">2 </w:t>
            </w:r>
            <w:r>
              <w:rPr>
                <w:rFonts w:hint="default" w:ascii="Times New Roman" w:hAnsi="Times New Roman" w:eastAsia="黑体" w:cs="Times New Roman"/>
                <w:color w:val="auto"/>
              </w:rPr>
              <w:t>废气污染物排放信息</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55"/>
              <w:gridCol w:w="570"/>
              <w:gridCol w:w="525"/>
              <w:gridCol w:w="1603"/>
              <w:gridCol w:w="651"/>
              <w:gridCol w:w="727"/>
              <w:gridCol w:w="675"/>
              <w:gridCol w:w="774"/>
              <w:gridCol w:w="633"/>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8"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451"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341"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产生量kg/a</w:t>
                  </w:r>
                </w:p>
              </w:tc>
              <w:tc>
                <w:tcPr>
                  <w:tcW w:w="1663" w:type="pct"/>
                  <w:gridSpan w:val="3"/>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治理措施</w:t>
                  </w:r>
                </w:p>
              </w:tc>
              <w:tc>
                <w:tcPr>
                  <w:tcW w:w="1302" w:type="pct"/>
                  <w:gridSpan w:val="3"/>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污染物排放</w:t>
                  </w:r>
                </w:p>
              </w:tc>
              <w:tc>
                <w:tcPr>
                  <w:tcW w:w="378"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c>
                <w:tcPr>
                  <w:tcW w:w="453"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noWrap w:val="0"/>
                  <w:vAlign w:val="center"/>
                </w:tcPr>
                <w:p>
                  <w:pPr>
                    <w:jc w:val="center"/>
                    <w:rPr>
                      <w:rFonts w:hint="default" w:ascii="Times New Roman" w:hAnsi="Times New Roman" w:cs="Times New Roman"/>
                      <w:color w:val="auto"/>
                      <w:sz w:val="21"/>
                      <w:szCs w:val="21"/>
                    </w:rPr>
                  </w:pPr>
                </w:p>
              </w:tc>
              <w:tc>
                <w:tcPr>
                  <w:tcW w:w="451" w:type="pct"/>
                  <w:vMerge w:val="continue"/>
                  <w:noWrap w:val="0"/>
                  <w:vAlign w:val="center"/>
                </w:tcPr>
                <w:p>
                  <w:pPr>
                    <w:jc w:val="center"/>
                    <w:rPr>
                      <w:rFonts w:hint="default" w:ascii="Times New Roman" w:hAnsi="Times New Roman" w:cs="Times New Roman"/>
                      <w:color w:val="auto"/>
                      <w:sz w:val="21"/>
                      <w:szCs w:val="21"/>
                    </w:rPr>
                  </w:pPr>
                </w:p>
              </w:tc>
              <w:tc>
                <w:tcPr>
                  <w:tcW w:w="341" w:type="pct"/>
                  <w:vMerge w:val="continue"/>
                  <w:noWrap w:val="0"/>
                  <w:vAlign w:val="center"/>
                </w:tcPr>
                <w:p>
                  <w:pPr>
                    <w:jc w:val="center"/>
                    <w:rPr>
                      <w:rFonts w:hint="default" w:ascii="Times New Roman" w:hAnsi="Times New Roman" w:cs="Times New Roman"/>
                      <w:color w:val="auto"/>
                      <w:sz w:val="21"/>
                      <w:szCs w:val="21"/>
                    </w:rPr>
                  </w:pPr>
                </w:p>
              </w:tc>
              <w:tc>
                <w:tcPr>
                  <w:tcW w:w="31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收集效率</w:t>
                  </w:r>
                </w:p>
              </w:tc>
              <w:tc>
                <w:tcPr>
                  <w:tcW w:w="959"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处理措施</w:t>
                  </w:r>
                </w:p>
              </w:tc>
              <w:tc>
                <w:tcPr>
                  <w:tcW w:w="389"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处理效率</w:t>
                  </w:r>
                </w:p>
              </w:tc>
              <w:tc>
                <w:tcPr>
                  <w:tcW w:w="435"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排放量kg/a</w:t>
                  </w:r>
                </w:p>
              </w:tc>
              <w:tc>
                <w:tcPr>
                  <w:tcW w:w="404"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排放速率kg/h</w:t>
                  </w:r>
                </w:p>
              </w:tc>
              <w:tc>
                <w:tcPr>
                  <w:tcW w:w="46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排放浓度mg/m</w:t>
                  </w:r>
                  <w:r>
                    <w:rPr>
                      <w:rFonts w:hint="default" w:ascii="Times New Roman" w:hAnsi="Times New Roman" w:cs="Times New Roman"/>
                      <w:b/>
                      <w:bCs/>
                      <w:color w:val="auto"/>
                      <w:sz w:val="21"/>
                      <w:szCs w:val="21"/>
                      <w:vertAlign w:val="superscript"/>
                    </w:rPr>
                    <w:t>3</w:t>
                  </w:r>
                </w:p>
              </w:tc>
              <w:tc>
                <w:tcPr>
                  <w:tcW w:w="378" w:type="pct"/>
                  <w:vMerge w:val="continue"/>
                  <w:noWrap w:val="0"/>
                  <w:vAlign w:val="center"/>
                </w:tcPr>
                <w:p>
                  <w:pPr>
                    <w:jc w:val="center"/>
                    <w:rPr>
                      <w:rFonts w:hint="default" w:ascii="Times New Roman" w:hAnsi="Times New Roman" w:cs="Times New Roman"/>
                      <w:color w:val="auto"/>
                      <w:sz w:val="21"/>
                      <w:szCs w:val="21"/>
                    </w:rPr>
                  </w:pPr>
                </w:p>
              </w:tc>
              <w:tc>
                <w:tcPr>
                  <w:tcW w:w="453" w:type="pct"/>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实验室废气</w:t>
                  </w:r>
                </w:p>
              </w:tc>
              <w:tc>
                <w:tcPr>
                  <w:tcW w:w="451"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酸雾、VOC</w:t>
                  </w:r>
                  <w:r>
                    <w:rPr>
                      <w:rFonts w:hint="eastAsia" w:ascii="Times New Roman" w:hAnsi="Times New Roman" w:cs="Times New Roman"/>
                      <w:color w:val="auto"/>
                      <w:sz w:val="21"/>
                      <w:szCs w:val="21"/>
                      <w:vertAlign w:val="subscript"/>
                      <w:lang w:val="en-US" w:eastAsia="zh-CN"/>
                    </w:rPr>
                    <w:t>S</w:t>
                  </w:r>
                </w:p>
              </w:tc>
              <w:tc>
                <w:tcPr>
                  <w:tcW w:w="341"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1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95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）排放</w:t>
                  </w:r>
                </w:p>
              </w:tc>
              <w:tc>
                <w:tcPr>
                  <w:tcW w:w="38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435"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有组织+无组织</w:t>
                  </w:r>
                </w:p>
              </w:tc>
              <w:tc>
                <w:tcPr>
                  <w:tcW w:w="453" w:type="pct"/>
                  <w:noWrap w:val="0"/>
                  <w:vAlign w:val="center"/>
                </w:tcPr>
                <w:p>
                  <w:pPr>
                    <w:jc w:val="center"/>
                    <w:rPr>
                      <w:rFonts w:hint="default" w:ascii="Times New Roman" w:hAnsi="Times New Roman" w:cs="Times New Roman"/>
                      <w:color w:val="auto"/>
                      <w:sz w:val="21"/>
                      <w:szCs w:val="21"/>
                    </w:rPr>
                  </w:pPr>
                  <w:r>
                    <w:rPr>
                      <w:rFonts w:hint="eastAsia"/>
                      <w:b w:val="0"/>
                      <w:sz w:val="21"/>
                      <w:szCs w:val="21"/>
                      <w:lang w:val="en-US" w:eastAsia="zh-CN"/>
                    </w:rPr>
                    <w:t>有组织：60mg/m</w:t>
                  </w:r>
                  <w:r>
                    <w:rPr>
                      <w:rFonts w:hint="eastAsia"/>
                      <w:b w:val="0"/>
                      <w:sz w:val="21"/>
                      <w:szCs w:val="21"/>
                      <w:vertAlign w:val="superscript"/>
                      <w:lang w:val="en-US" w:eastAsia="zh-CN"/>
                    </w:rPr>
                    <w:t>3</w:t>
                  </w:r>
                  <w:r>
                    <w:rPr>
                      <w:rFonts w:hint="eastAsia"/>
                      <w:b w:val="0"/>
                      <w:sz w:val="21"/>
                      <w:szCs w:val="21"/>
                      <w:vertAlign w:val="baseline"/>
                      <w:lang w:val="en-US" w:eastAsia="zh-CN"/>
                    </w:rPr>
                    <w:t>；</w:t>
                  </w:r>
                  <w:r>
                    <w:rPr>
                      <w:rFonts w:hint="eastAsia"/>
                      <w:b w:val="0"/>
                      <w:sz w:val="21"/>
                      <w:szCs w:val="21"/>
                      <w:lang w:val="en-US" w:eastAsia="zh-CN"/>
                    </w:rPr>
                    <w:t>无组织：2.0mg/m</w:t>
                  </w:r>
                  <w:r>
                    <w:rPr>
                      <w:rFonts w:hint="eastAsia"/>
                      <w:b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08"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食堂油烟</w:t>
                  </w:r>
                </w:p>
              </w:tc>
              <w:tc>
                <w:tcPr>
                  <w:tcW w:w="451"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油烟</w:t>
                  </w:r>
                </w:p>
              </w:tc>
              <w:tc>
                <w:tcPr>
                  <w:tcW w:w="34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
                    </w:rPr>
                    <w:t>113.96</w:t>
                  </w:r>
                </w:p>
              </w:tc>
              <w:tc>
                <w:tcPr>
                  <w:tcW w:w="314" w:type="pct"/>
                  <w:noWrap w:val="0"/>
                  <w:vAlign w:val="center"/>
                </w:tcPr>
                <w:p>
                  <w:pPr>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100%</w:t>
                  </w:r>
                </w:p>
              </w:tc>
              <w:tc>
                <w:tcPr>
                  <w:tcW w:w="959"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0"/>
                      <w:sz w:val="21"/>
                      <w:szCs w:val="21"/>
                      <w:lang w:val="en-US" w:eastAsia="zh-CN" w:bidi="ar"/>
                    </w:rPr>
                    <w:t>安装油烟净化器</w:t>
                  </w:r>
                  <w:r>
                    <w:rPr>
                      <w:rFonts w:hint="eastAsia" w:ascii="Times New Roman" w:hAnsi="Times New Roman" w:eastAsia="宋体" w:cs="Times New Roman"/>
                      <w:b w:val="0"/>
                      <w:bCs w:val="0"/>
                      <w:color w:val="auto"/>
                      <w:kern w:val="0"/>
                      <w:sz w:val="21"/>
                      <w:szCs w:val="21"/>
                      <w:lang w:val="en-US" w:eastAsia="zh-CN" w:bidi="ar"/>
                    </w:rPr>
                    <w:t>处理后</w:t>
                  </w:r>
                  <w:r>
                    <w:rPr>
                      <w:rFonts w:hint="default" w:ascii="Times New Roman" w:hAnsi="Times New Roman" w:eastAsia="宋体" w:cs="Times New Roman"/>
                      <w:b w:val="0"/>
                      <w:bCs w:val="0"/>
                      <w:color w:val="auto"/>
                      <w:kern w:val="0"/>
                      <w:sz w:val="21"/>
                      <w:szCs w:val="21"/>
                      <w:lang w:val="en-US" w:eastAsia="zh-CN" w:bidi="ar"/>
                    </w:rPr>
                    <w:t>经专用管道引至屋顶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）排放</w:t>
                  </w:r>
                </w:p>
              </w:tc>
              <w:tc>
                <w:tcPr>
                  <w:tcW w:w="38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p>
              </w:tc>
              <w:tc>
                <w:tcPr>
                  <w:tcW w:w="435"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
                    </w:rPr>
                    <w:t>17.08</w:t>
                  </w:r>
                </w:p>
              </w:tc>
              <w:tc>
                <w:tcPr>
                  <w:tcW w:w="404"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lang w:val="en-US" w:eastAsia="zh-CN" w:bidi="ar"/>
                    </w:rPr>
                    <w:t>0.0076</w:t>
                  </w:r>
                </w:p>
              </w:tc>
              <w:tc>
                <w:tcPr>
                  <w:tcW w:w="46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lang w:val="en-US" w:eastAsia="zh-CN" w:bidi="ar"/>
                    </w:rPr>
                    <w:t>0.76</w:t>
                  </w:r>
                </w:p>
              </w:tc>
              <w:tc>
                <w:tcPr>
                  <w:tcW w:w="378"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w:t>
                  </w:r>
                </w:p>
              </w:tc>
              <w:tc>
                <w:tcPr>
                  <w:tcW w:w="453" w:type="pct"/>
                  <w:noWrap w:val="0"/>
                  <w:vAlign w:val="center"/>
                </w:tcPr>
                <w:p>
                  <w:pPr>
                    <w:jc w:val="center"/>
                    <w:rPr>
                      <w:rFonts w:hint="default"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kern w:val="2"/>
                      <w:sz w:val="21"/>
                      <w:szCs w:val="21"/>
                      <w:lang w:val="en-US" w:eastAsia="zh-CN" w:bidi="ar-SA"/>
                    </w:rPr>
                    <w:t>2.0mg/m</w:t>
                  </w:r>
                  <w:r>
                    <w:rPr>
                      <w:rFonts w:hint="eastAsia" w:ascii="Times New Roman" w:hAnsi="Times New Roman" w:eastAsia="宋体"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汽车尾气</w:t>
                  </w:r>
                </w:p>
              </w:tc>
              <w:tc>
                <w:tcPr>
                  <w:tcW w:w="451"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rPr>
                    <w:t>CO、NOx、TSP</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THC</w:t>
                  </w:r>
                </w:p>
              </w:tc>
              <w:tc>
                <w:tcPr>
                  <w:tcW w:w="341"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1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5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自然扩散</w:t>
                  </w:r>
                </w:p>
              </w:tc>
              <w:tc>
                <w:tcPr>
                  <w:tcW w:w="38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5"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无组织</w:t>
                  </w:r>
                </w:p>
              </w:tc>
              <w:tc>
                <w:tcPr>
                  <w:tcW w:w="4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柴油发电机废气</w:t>
                  </w:r>
                </w:p>
              </w:tc>
              <w:tc>
                <w:tcPr>
                  <w:tcW w:w="451"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烟尘、CO</w:t>
                  </w:r>
                  <w:r>
                    <w:rPr>
                      <w:rFonts w:hint="default" w:ascii="Times New Roman" w:hAnsi="Times New Roman" w:cs="Times New Roman"/>
                      <w:color w:val="auto"/>
                      <w:vertAlign w:val="subscript"/>
                    </w:rPr>
                    <w:t>2</w:t>
                  </w:r>
                  <w:r>
                    <w:rPr>
                      <w:rFonts w:hint="default" w:ascii="Times New Roman" w:hAnsi="Times New Roman" w:cs="Times New Roman"/>
                      <w:color w:val="auto"/>
                    </w:rPr>
                    <w:t>、CO、NOx、SO</w:t>
                  </w:r>
                  <w:r>
                    <w:rPr>
                      <w:rFonts w:hint="default" w:ascii="Times New Roman" w:hAnsi="Times New Roman" w:cs="Times New Roman"/>
                      <w:color w:val="auto"/>
                      <w:vertAlign w:val="subscript"/>
                    </w:rPr>
                    <w:t>2</w:t>
                  </w:r>
                </w:p>
              </w:tc>
              <w:tc>
                <w:tcPr>
                  <w:tcW w:w="341"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1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59"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p>
              </w:tc>
              <w:tc>
                <w:tcPr>
                  <w:tcW w:w="38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5"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无组织</w:t>
                  </w:r>
                </w:p>
              </w:tc>
              <w:tc>
                <w:tcPr>
                  <w:tcW w:w="4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b w:val="0"/>
                      <w:bCs w:val="0"/>
                      <w:color w:val="000000"/>
                      <w:kern w:val="0"/>
                      <w:sz w:val="21"/>
                      <w:szCs w:val="21"/>
                      <w:lang w:val="en-US" w:eastAsia="zh-CN" w:bidi="ar"/>
                    </w:rPr>
                    <w:t>垃圾收集点恶臭</w:t>
                  </w:r>
                </w:p>
              </w:tc>
              <w:tc>
                <w:tcPr>
                  <w:tcW w:w="451"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恶臭</w:t>
                  </w:r>
                </w:p>
              </w:tc>
              <w:tc>
                <w:tcPr>
                  <w:tcW w:w="341"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1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5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val="0"/>
                      <w:color w:val="auto"/>
                      <w:kern w:val="0"/>
                      <w:sz w:val="21"/>
                      <w:szCs w:val="21"/>
                      <w:lang w:val="en-US" w:eastAsia="zh-CN" w:bidi="ar"/>
                    </w:rPr>
                    <w:t>密闭设置</w:t>
                  </w:r>
                  <w:r>
                    <w:rPr>
                      <w:rFonts w:hint="eastAsia" w:ascii="Times New Roman" w:hAnsi="Times New Roman" w:eastAsia="宋体" w:cs="Times New Roman"/>
                      <w:b w:val="0"/>
                      <w:bCs w:val="0"/>
                      <w:color w:val="auto"/>
                      <w:kern w:val="0"/>
                      <w:sz w:val="21"/>
                      <w:szCs w:val="21"/>
                      <w:lang w:val="en-US" w:eastAsia="zh-CN" w:bidi="ar"/>
                    </w:rPr>
                    <w:t>、</w:t>
                  </w:r>
                  <w:r>
                    <w:rPr>
                      <w:rFonts w:hint="eastAsia" w:ascii="Times New Roman" w:hAnsi="Times New Roman" w:cs="Times New Roman"/>
                      <w:color w:val="auto"/>
                      <w:lang w:val="en-US" w:eastAsia="zh-CN"/>
                    </w:rPr>
                    <w:t>定期清理、消毒</w:t>
                  </w:r>
                </w:p>
              </w:tc>
              <w:tc>
                <w:tcPr>
                  <w:tcW w:w="38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5"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无组织</w:t>
                  </w:r>
                </w:p>
              </w:tc>
              <w:tc>
                <w:tcPr>
                  <w:tcW w:w="4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黑体" w:cs="Times New Roman"/>
                <w:b w:val="0"/>
                <w:bCs/>
                <w:color w:val="auto"/>
                <w:sz w:val="21"/>
                <w:szCs w:val="21"/>
              </w:rPr>
            </w:pPr>
            <w:r>
              <w:rPr>
                <w:rFonts w:hint="eastAsia" w:ascii="Times New Roman" w:hAnsi="Times New Roman" w:eastAsia="宋体" w:cs="Times New Roman"/>
                <w:b/>
                <w:bCs/>
                <w:color w:val="000000"/>
                <w:kern w:val="0"/>
                <w:sz w:val="24"/>
                <w:szCs w:val="24"/>
                <w:lang w:val="en-US" w:eastAsia="zh-CN" w:bidi="ar"/>
              </w:rPr>
              <w:t>②排放口基本信息</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4-3</w:t>
            </w:r>
            <w:r>
              <w:rPr>
                <w:rFonts w:hint="default" w:ascii="Times New Roman" w:hAnsi="Times New Roman" w:eastAsia="黑体" w:cs="Times New Roman"/>
                <w:b w:val="0"/>
                <w:bCs/>
                <w:color w:val="auto"/>
                <w:sz w:val="21"/>
                <w:szCs w:val="21"/>
              </w:rPr>
              <w:t xml:space="preserve">   </w:t>
            </w:r>
            <w:r>
              <w:rPr>
                <w:rFonts w:hint="default" w:ascii="Times New Roman" w:hAnsi="Times New Roman" w:eastAsia="黑体" w:cs="Times New Roman"/>
                <w:b w:val="0"/>
                <w:bCs/>
                <w:color w:val="auto"/>
                <w:kern w:val="0"/>
                <w:sz w:val="21"/>
                <w:szCs w:val="21"/>
                <w:lang w:val="en-US" w:eastAsia="zh-CN" w:bidi="ar"/>
              </w:rPr>
              <w:t>项目排放口基本情况及执行标准一览表</w:t>
            </w:r>
          </w:p>
          <w:tbl>
            <w:tblPr>
              <w:tblStyle w:val="26"/>
              <w:tblW w:w="835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65"/>
              <w:gridCol w:w="1110"/>
              <w:gridCol w:w="945"/>
              <w:gridCol w:w="915"/>
              <w:gridCol w:w="630"/>
              <w:gridCol w:w="855"/>
              <w:gridCol w:w="30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17" w:type="pct"/>
                  <w:vMerge w:val="restart"/>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rPr>
                  </w:pPr>
                  <w:r>
                    <w:rPr>
                      <w:rFonts w:hint="eastAsia" w:eastAsia="宋体"/>
                      <w:b/>
                      <w:bCs/>
                      <w:color w:val="auto"/>
                      <w:kern w:val="0"/>
                      <w:sz w:val="21"/>
                      <w:szCs w:val="21"/>
                      <w:lang w:val="en-US" w:eastAsia="zh-CN"/>
                    </w:rPr>
                    <w:t>排放口编号</w:t>
                  </w:r>
                </w:p>
              </w:tc>
              <w:tc>
                <w:tcPr>
                  <w:tcW w:w="664" w:type="pct"/>
                  <w:vMerge w:val="restart"/>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rPr>
                  </w:pPr>
                  <w:r>
                    <w:rPr>
                      <w:rFonts w:hint="eastAsia" w:eastAsia="宋体"/>
                      <w:b/>
                      <w:bCs/>
                      <w:color w:val="auto"/>
                      <w:kern w:val="0"/>
                      <w:sz w:val="21"/>
                      <w:szCs w:val="21"/>
                      <w:lang w:val="en-US" w:eastAsia="zh-CN"/>
                    </w:rPr>
                    <w:t>排放口名称</w:t>
                  </w:r>
                </w:p>
              </w:tc>
              <w:tc>
                <w:tcPr>
                  <w:tcW w:w="1113" w:type="pct"/>
                  <w:gridSpan w:val="2"/>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rPr>
                  </w:pPr>
                  <w:r>
                    <w:rPr>
                      <w:rFonts w:hint="eastAsia" w:eastAsia="宋体"/>
                      <w:b/>
                      <w:bCs/>
                      <w:color w:val="auto"/>
                      <w:kern w:val="0"/>
                      <w:sz w:val="21"/>
                      <w:szCs w:val="21"/>
                      <w:lang w:val="en-US" w:eastAsia="zh-CN"/>
                    </w:rPr>
                    <w:t>地理坐标</w:t>
                  </w:r>
                </w:p>
              </w:tc>
              <w:tc>
                <w:tcPr>
                  <w:tcW w:w="377" w:type="pct"/>
                  <w:vMerge w:val="restart"/>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rPr>
                  </w:pPr>
                  <w:r>
                    <w:rPr>
                      <w:rFonts w:hint="eastAsia" w:eastAsia="宋体"/>
                      <w:b/>
                      <w:bCs/>
                      <w:color w:val="auto"/>
                      <w:kern w:val="0"/>
                      <w:sz w:val="21"/>
                      <w:szCs w:val="21"/>
                      <w:lang w:val="en-US" w:eastAsia="zh-CN"/>
                    </w:rPr>
                    <w:t>高度m</w:t>
                  </w:r>
                </w:p>
              </w:tc>
              <w:tc>
                <w:tcPr>
                  <w:tcW w:w="511" w:type="pct"/>
                  <w:vMerge w:val="restart"/>
                  <w:tcBorders>
                    <w:tl2br w:val="nil"/>
                    <w:tr2bl w:val="nil"/>
                  </w:tcBorders>
                  <w:noWrap w:val="0"/>
                  <w:vAlign w:val="center"/>
                </w:tcPr>
                <w:p>
                  <w:pPr>
                    <w:adjustRightInd w:val="0"/>
                    <w:snapToGrid w:val="0"/>
                    <w:spacing w:line="25" w:lineRule="atLeast"/>
                    <w:jc w:val="center"/>
                    <w:rPr>
                      <w:rFonts w:hint="eastAsia" w:eastAsia="宋体"/>
                      <w:b/>
                      <w:bCs/>
                      <w:color w:val="auto"/>
                      <w:kern w:val="0"/>
                      <w:sz w:val="21"/>
                      <w:szCs w:val="21"/>
                      <w:lang w:val="en-US" w:eastAsia="zh-CN"/>
                    </w:rPr>
                  </w:pPr>
                  <w:r>
                    <w:rPr>
                      <w:rFonts w:hint="eastAsia"/>
                      <w:b/>
                      <w:bCs/>
                      <w:color w:val="auto"/>
                      <w:kern w:val="0"/>
                      <w:sz w:val="21"/>
                      <w:szCs w:val="21"/>
                      <w:lang w:val="en-US" w:eastAsia="zh-CN"/>
                    </w:rPr>
                    <w:t>类型</w:t>
                  </w:r>
                </w:p>
              </w:tc>
              <w:tc>
                <w:tcPr>
                  <w:tcW w:w="1814" w:type="pct"/>
                  <w:vMerge w:val="restart"/>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7" w:type="pct"/>
                  <w:vMerge w:val="continue"/>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bidi="ar-SA"/>
                    </w:rPr>
                  </w:pPr>
                </w:p>
              </w:tc>
              <w:tc>
                <w:tcPr>
                  <w:tcW w:w="664" w:type="pct"/>
                  <w:vMerge w:val="continue"/>
                  <w:tcBorders>
                    <w:tl2br w:val="nil"/>
                    <w:tr2bl w:val="nil"/>
                  </w:tcBorders>
                  <w:noWrap w:val="0"/>
                  <w:vAlign w:val="center"/>
                </w:tcPr>
                <w:p>
                  <w:pPr>
                    <w:adjustRightInd w:val="0"/>
                    <w:snapToGrid w:val="0"/>
                    <w:spacing w:line="25" w:lineRule="atLeast"/>
                    <w:jc w:val="center"/>
                    <w:rPr>
                      <w:rFonts w:hint="eastAsia" w:eastAsia="宋体"/>
                      <w:b/>
                      <w:bCs/>
                      <w:color w:val="auto"/>
                      <w:kern w:val="0"/>
                      <w:sz w:val="21"/>
                      <w:szCs w:val="21"/>
                      <w:lang w:val="en-US" w:eastAsia="zh-CN" w:bidi="ar-SA"/>
                    </w:rPr>
                  </w:pPr>
                </w:p>
              </w:tc>
              <w:tc>
                <w:tcPr>
                  <w:tcW w:w="565" w:type="pct"/>
                  <w:tcBorders>
                    <w:tl2br w:val="nil"/>
                    <w:tr2bl w:val="nil"/>
                  </w:tcBorders>
                  <w:noWrap w:val="0"/>
                  <w:vAlign w:val="center"/>
                </w:tcPr>
                <w:p>
                  <w:pPr>
                    <w:adjustRightInd w:val="0"/>
                    <w:snapToGrid w:val="0"/>
                    <w:spacing w:line="25" w:lineRule="atLeast"/>
                    <w:jc w:val="center"/>
                    <w:rPr>
                      <w:rFonts w:hint="default" w:eastAsia="宋体"/>
                      <w:b/>
                      <w:bCs/>
                      <w:color w:val="auto"/>
                      <w:kern w:val="0"/>
                      <w:sz w:val="21"/>
                      <w:szCs w:val="21"/>
                      <w:lang w:val="en-US" w:eastAsia="zh-CN" w:bidi="ar-SA"/>
                    </w:rPr>
                  </w:pPr>
                  <w:r>
                    <w:rPr>
                      <w:rFonts w:hint="eastAsia" w:eastAsia="宋体"/>
                      <w:b/>
                      <w:bCs/>
                      <w:color w:val="auto"/>
                      <w:kern w:val="0"/>
                      <w:sz w:val="21"/>
                      <w:szCs w:val="21"/>
                      <w:lang w:val="en-US" w:eastAsia="zh-CN" w:bidi="ar-SA"/>
                    </w:rPr>
                    <w:t>经度°</w:t>
                  </w:r>
                </w:p>
              </w:tc>
              <w:tc>
                <w:tcPr>
                  <w:tcW w:w="547" w:type="pct"/>
                  <w:tcBorders>
                    <w:tl2br w:val="nil"/>
                    <w:tr2bl w:val="nil"/>
                  </w:tcBorders>
                  <w:noWrap w:val="0"/>
                  <w:vAlign w:val="center"/>
                </w:tcPr>
                <w:p>
                  <w:pPr>
                    <w:adjustRightInd w:val="0"/>
                    <w:snapToGrid w:val="0"/>
                    <w:spacing w:line="25" w:lineRule="atLeast"/>
                    <w:jc w:val="center"/>
                    <w:rPr>
                      <w:rFonts w:hint="default"/>
                      <w:b/>
                      <w:bCs/>
                      <w:color w:val="auto"/>
                      <w:kern w:val="0"/>
                      <w:sz w:val="21"/>
                      <w:szCs w:val="21"/>
                      <w:lang w:val="en-US" w:eastAsia="zh-CN" w:bidi="ar-SA"/>
                    </w:rPr>
                  </w:pPr>
                  <w:r>
                    <w:rPr>
                      <w:rFonts w:hint="eastAsia"/>
                      <w:b/>
                      <w:bCs/>
                      <w:color w:val="auto"/>
                      <w:kern w:val="0"/>
                      <w:sz w:val="21"/>
                      <w:szCs w:val="21"/>
                      <w:lang w:val="en-US" w:eastAsia="zh-CN" w:bidi="ar-SA"/>
                    </w:rPr>
                    <w:t>维度°</w:t>
                  </w:r>
                </w:p>
              </w:tc>
              <w:tc>
                <w:tcPr>
                  <w:tcW w:w="377" w:type="pct"/>
                  <w:vMerge w:val="continue"/>
                  <w:tcBorders>
                    <w:tl2br w:val="nil"/>
                    <w:tr2bl w:val="nil"/>
                  </w:tcBorders>
                  <w:noWrap w:val="0"/>
                  <w:vAlign w:val="center"/>
                </w:tcPr>
                <w:p>
                  <w:pPr>
                    <w:adjustRightInd w:val="0"/>
                    <w:snapToGrid w:val="0"/>
                    <w:spacing w:line="25" w:lineRule="atLeast"/>
                    <w:jc w:val="center"/>
                    <w:rPr>
                      <w:rFonts w:hint="eastAsia" w:eastAsia="宋体"/>
                      <w:b/>
                      <w:bCs/>
                      <w:color w:val="auto"/>
                      <w:kern w:val="0"/>
                      <w:sz w:val="21"/>
                      <w:szCs w:val="21"/>
                      <w:lang w:val="en-US" w:eastAsia="zh-CN" w:bidi="ar-SA"/>
                    </w:rPr>
                  </w:pPr>
                </w:p>
              </w:tc>
              <w:tc>
                <w:tcPr>
                  <w:tcW w:w="511" w:type="pct"/>
                  <w:vMerge w:val="continue"/>
                  <w:tcBorders>
                    <w:tl2br w:val="nil"/>
                    <w:tr2bl w:val="nil"/>
                  </w:tcBorders>
                  <w:noWrap w:val="0"/>
                  <w:vAlign w:val="center"/>
                </w:tcPr>
                <w:p>
                  <w:pPr>
                    <w:adjustRightInd w:val="0"/>
                    <w:snapToGrid w:val="0"/>
                    <w:spacing w:line="25" w:lineRule="atLeast"/>
                    <w:jc w:val="center"/>
                    <w:rPr>
                      <w:rFonts w:hint="eastAsia"/>
                      <w:b/>
                      <w:bCs/>
                      <w:color w:val="auto"/>
                      <w:kern w:val="0"/>
                      <w:sz w:val="21"/>
                      <w:szCs w:val="21"/>
                      <w:lang w:val="en-US" w:eastAsia="zh-CN"/>
                    </w:rPr>
                  </w:pPr>
                </w:p>
              </w:tc>
              <w:tc>
                <w:tcPr>
                  <w:tcW w:w="1814" w:type="pct"/>
                  <w:vMerge w:val="continue"/>
                  <w:tcBorders>
                    <w:tl2br w:val="nil"/>
                    <w:tr2bl w:val="nil"/>
                  </w:tcBorders>
                  <w:noWrap w:val="0"/>
                  <w:vAlign w:val="center"/>
                </w:tcPr>
                <w:p>
                  <w:pPr>
                    <w:adjustRightInd w:val="0"/>
                    <w:snapToGrid w:val="0"/>
                    <w:spacing w:line="25" w:lineRule="atLeast"/>
                    <w:jc w:val="center"/>
                    <w:rPr>
                      <w:rFonts w:hint="eastAsia"/>
                      <w:b/>
                      <w:bCs/>
                      <w:color w:val="auto"/>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jc w:val="center"/>
              </w:trPr>
              <w:tc>
                <w:tcPr>
                  <w:tcW w:w="517"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1</w:t>
                  </w:r>
                </w:p>
              </w:tc>
              <w:tc>
                <w:tcPr>
                  <w:tcW w:w="664"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bidi="ar-SA"/>
                    </w:rPr>
                  </w:pPr>
                  <w:r>
                    <w:rPr>
                      <w:rFonts w:hint="eastAsia"/>
                      <w:color w:val="auto"/>
                      <w:kern w:val="0"/>
                      <w:sz w:val="21"/>
                      <w:szCs w:val="21"/>
                      <w:vertAlign w:val="baseline"/>
                      <w:lang w:val="en-US" w:eastAsia="zh-CN"/>
                    </w:rPr>
                    <w:t>实验室废气排放口</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107.539360</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vertAlign w:val="superscript"/>
                      <w:lang w:val="en-US" w:eastAsia="zh-CN"/>
                    </w:rPr>
                  </w:pPr>
                  <w:r>
                    <w:rPr>
                      <w:rFonts w:hint="eastAsia" w:eastAsia="宋体"/>
                      <w:color w:val="auto"/>
                      <w:kern w:val="0"/>
                      <w:sz w:val="21"/>
                      <w:szCs w:val="21"/>
                      <w:vertAlign w:val="baseline"/>
                      <w:lang w:val="en-US" w:eastAsia="zh-CN"/>
                    </w:rPr>
                    <w:t>31.280547</w:t>
                  </w:r>
                </w:p>
              </w:tc>
              <w:tc>
                <w:tcPr>
                  <w:tcW w:w="377"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64.5</w:t>
                  </w:r>
                </w:p>
              </w:tc>
              <w:tc>
                <w:tcPr>
                  <w:tcW w:w="511"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一般排放口</w:t>
                  </w:r>
                </w:p>
              </w:tc>
              <w:tc>
                <w:tcPr>
                  <w:tcW w:w="1814"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《四川省固定污染源大气挥发性有机物排放标准</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（DB51/2377-2017）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1" w:hRule="atLeast"/>
                <w:jc w:val="center"/>
              </w:trPr>
              <w:tc>
                <w:tcPr>
                  <w:tcW w:w="517"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2</w:t>
                  </w:r>
                </w:p>
              </w:tc>
              <w:tc>
                <w:tcPr>
                  <w:tcW w:w="664" w:type="pct"/>
                  <w:tcBorders>
                    <w:tl2br w:val="nil"/>
                    <w:tr2bl w:val="nil"/>
                  </w:tcBorders>
                  <w:noWrap w:val="0"/>
                  <w:vAlign w:val="center"/>
                </w:tcPr>
                <w:p>
                  <w:pPr>
                    <w:adjustRightInd w:val="0"/>
                    <w:snapToGrid w:val="0"/>
                    <w:spacing w:line="25" w:lineRule="atLeast"/>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食堂油烟排放口</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107.539134</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31.284624</w:t>
                  </w:r>
                </w:p>
              </w:tc>
              <w:tc>
                <w:tcPr>
                  <w:tcW w:w="377" w:type="pct"/>
                  <w:tcBorders>
                    <w:tl2br w:val="nil"/>
                    <w:tr2bl w:val="nil"/>
                  </w:tcBorders>
                  <w:noWrap w:val="0"/>
                  <w:vAlign w:val="center"/>
                </w:tcPr>
                <w:p>
                  <w:pPr>
                    <w:adjustRightInd w:val="0"/>
                    <w:snapToGrid w:val="0"/>
                    <w:spacing w:line="25" w:lineRule="atLeast"/>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23.4</w:t>
                  </w:r>
                </w:p>
              </w:tc>
              <w:tc>
                <w:tcPr>
                  <w:tcW w:w="511" w:type="pct"/>
                  <w:tcBorders>
                    <w:tl2br w:val="nil"/>
                    <w:tr2bl w:val="nil"/>
                  </w:tcBorders>
                  <w:noWrap w:val="0"/>
                  <w:vAlign w:val="center"/>
                </w:tcPr>
                <w:p>
                  <w:pPr>
                    <w:adjustRightInd w:val="0"/>
                    <w:snapToGrid w:val="0"/>
                    <w:spacing w:line="25" w:lineRule="atLeast"/>
                    <w:jc w:val="center"/>
                    <w:rPr>
                      <w:rFonts w:hint="eastAsia" w:eastAsia="宋体"/>
                      <w:color w:val="auto"/>
                      <w:kern w:val="0"/>
                      <w:sz w:val="21"/>
                      <w:szCs w:val="21"/>
                      <w:lang w:val="en-US" w:eastAsia="zh-CN" w:bidi="ar-SA"/>
                    </w:rPr>
                  </w:pPr>
                  <w:r>
                    <w:rPr>
                      <w:rFonts w:hint="eastAsia" w:eastAsia="宋体"/>
                      <w:color w:val="auto"/>
                      <w:kern w:val="0"/>
                      <w:sz w:val="21"/>
                      <w:szCs w:val="21"/>
                      <w:lang w:val="en-US" w:eastAsia="zh-CN"/>
                    </w:rPr>
                    <w:t>一般排放口</w:t>
                  </w:r>
                </w:p>
              </w:tc>
              <w:tc>
                <w:tcPr>
                  <w:tcW w:w="1814" w:type="pct"/>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
                    </w:rPr>
                  </w:pPr>
                  <w:r>
                    <w:rPr>
                      <w:rFonts w:hint="eastAsia"/>
                      <w:sz w:val="21"/>
                      <w:szCs w:val="21"/>
                      <w:lang w:val="en-US" w:eastAsia="zh-CN"/>
                    </w:rPr>
                    <w:t>《饮食业油烟排放标准（试行）》（GB18483-2001）</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4、</w:t>
            </w:r>
            <w:r>
              <w:rPr>
                <w:rFonts w:hint="default" w:ascii="Times New Roman" w:hAnsi="Times New Roman" w:cs="Times New Roman"/>
                <w:b/>
                <w:bCs/>
                <w:color w:val="auto"/>
                <w:sz w:val="24"/>
              </w:rPr>
              <w:t>监测要求</w:t>
            </w:r>
          </w:p>
          <w:p>
            <w:pPr>
              <w:pageBreakBefore w:val="0"/>
              <w:tabs>
                <w:tab w:val="left" w:pos="2010"/>
              </w:tabs>
              <w:kinsoku/>
              <w:wordWrap/>
              <w:bidi w:val="0"/>
              <w:adjustRightInd w:val="0"/>
              <w:snapToGrid w:val="0"/>
              <w:spacing w:line="360" w:lineRule="auto"/>
              <w:ind w:left="0" w:leftChars="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rPr>
              <w:t xml:space="preserve">本次环评根据《排污许可证申请与核发技术规范  </w:t>
            </w:r>
            <w:r>
              <w:rPr>
                <w:rFonts w:hint="eastAsia" w:ascii="Times New Roman" w:hAnsi="Times New Roman" w:cs="Times New Roman"/>
                <w:color w:val="auto"/>
                <w:sz w:val="24"/>
                <w:lang w:val="en-US" w:eastAsia="zh-CN"/>
              </w:rPr>
              <w:t>总则</w:t>
            </w:r>
            <w:r>
              <w:rPr>
                <w:rFonts w:hint="default" w:ascii="Times New Roman" w:hAnsi="Times New Roman" w:cs="Times New Roman"/>
                <w:color w:val="auto"/>
                <w:sz w:val="24"/>
              </w:rPr>
              <w:t>》（HJ9</w:t>
            </w:r>
            <w:r>
              <w:rPr>
                <w:rFonts w:hint="eastAsia" w:ascii="Times New Roman" w:hAnsi="Times New Roman" w:cs="Times New Roman"/>
                <w:color w:val="auto"/>
                <w:sz w:val="24"/>
                <w:lang w:val="en-US" w:eastAsia="zh-CN"/>
              </w:rPr>
              <w:t>42</w:t>
            </w:r>
            <w:r>
              <w:rPr>
                <w:rFonts w:hint="default" w:ascii="Times New Roman" w:hAnsi="Times New Roman" w:cs="Times New Roman"/>
                <w:color w:val="auto"/>
                <w:sz w:val="24"/>
              </w:rPr>
              <w:t xml:space="preserve">-2018）、《排污单位自行监测技术指南 </w:t>
            </w:r>
            <w:r>
              <w:rPr>
                <w:rFonts w:hint="eastAsia" w:ascii="Times New Roman" w:hAnsi="Times New Roman" w:cs="Times New Roman"/>
                <w:color w:val="auto"/>
                <w:sz w:val="24"/>
                <w:lang w:val="en-US" w:eastAsia="zh-CN"/>
              </w:rPr>
              <w:t>总则</w:t>
            </w:r>
            <w:r>
              <w:rPr>
                <w:rFonts w:hint="default" w:ascii="Times New Roman" w:hAnsi="Times New Roman" w:cs="Times New Roman"/>
                <w:color w:val="auto"/>
                <w:sz w:val="24"/>
              </w:rPr>
              <w:t>》（HJ</w:t>
            </w:r>
            <w:r>
              <w:rPr>
                <w:rFonts w:hint="eastAsia" w:ascii="Times New Roman" w:hAnsi="Times New Roman" w:cs="Times New Roman"/>
                <w:color w:val="auto"/>
                <w:sz w:val="24"/>
                <w:lang w:val="en-US" w:eastAsia="zh-CN"/>
              </w:rPr>
              <w:t>819</w:t>
            </w: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17</w:t>
            </w:r>
            <w:r>
              <w:rPr>
                <w:rFonts w:hint="default" w:ascii="Times New Roman" w:hAnsi="Times New Roman" w:cs="Times New Roman"/>
                <w:color w:val="auto"/>
                <w:sz w:val="24"/>
              </w:rPr>
              <w:t>）提出项目生产运行阶段的污染源监测计划，详见下表</w:t>
            </w:r>
            <w:r>
              <w:rPr>
                <w:rFonts w:hint="default" w:ascii="Times New Roman" w:hAnsi="Times New Roman" w:cs="Times New Roman"/>
                <w:bCs/>
                <w:color w:val="auto"/>
                <w:sz w:val="24"/>
                <w:szCs w:val="24"/>
                <w:highlight w:val="none"/>
              </w:rPr>
              <w:t>。</w:t>
            </w:r>
          </w:p>
          <w:p>
            <w:pPr>
              <w:snapToGrid w:val="0"/>
              <w:spacing w:line="276"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表4-</w:t>
            </w:r>
            <w:r>
              <w:rPr>
                <w:rFonts w:hint="eastAsia" w:ascii="Times New Roman" w:hAnsi="Times New Roman" w:eastAsia="黑体" w:cs="Times New Roman"/>
                <w:color w:val="auto"/>
                <w:lang w:val="en-US" w:eastAsia="zh-CN"/>
              </w:rPr>
              <w:t>4</w:t>
            </w:r>
            <w:r>
              <w:rPr>
                <w:rFonts w:hint="default" w:ascii="Times New Roman" w:hAnsi="Times New Roman" w:eastAsia="黑体" w:cs="Times New Roman"/>
                <w:color w:val="auto"/>
              </w:rPr>
              <w:t xml:space="preserve">  </w:t>
            </w:r>
            <w:r>
              <w:rPr>
                <w:rFonts w:hint="eastAsia" w:ascii="Times New Roman" w:hAnsi="Times New Roman" w:eastAsia="黑体" w:cs="Times New Roman"/>
                <w:color w:val="auto"/>
                <w:lang w:val="en-US" w:eastAsia="zh-CN"/>
              </w:rPr>
              <w:t>本项目</w:t>
            </w:r>
            <w:r>
              <w:rPr>
                <w:rFonts w:hint="default" w:ascii="Times New Roman" w:hAnsi="Times New Roman" w:eastAsia="黑体" w:cs="Times New Roman"/>
                <w:color w:val="auto"/>
              </w:rPr>
              <w:t>废气监测方案</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366"/>
              <w:gridCol w:w="1109"/>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81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监测指标</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监测频次</w:t>
                  </w:r>
                </w:p>
              </w:tc>
              <w:tc>
                <w:tcPr>
                  <w:tcW w:w="2402" w:type="pct"/>
                  <w:tcBorders>
                    <w:top w:val="single" w:color="auto" w:sz="4" w:space="0"/>
                    <w:left w:val="single" w:color="auto" w:sz="4" w:space="0"/>
                    <w:bottom w:val="single" w:color="auto" w:sz="4" w:space="0"/>
                    <w:right w:val="single" w:color="auto" w:sz="4" w:space="0"/>
                  </w:tcBorders>
                  <w:noWrap w:val="0"/>
                  <w:vAlign w:val="top"/>
                </w:tcPr>
                <w:p>
                  <w:pPr>
                    <w:jc w:val="center"/>
                    <w:rPr>
                      <w:rFonts w:hint="default" w:ascii="Times New Roman" w:hAnsi="Times New Roman" w:cs="Times New Roman"/>
                      <w:b/>
                      <w:bCs/>
                      <w:color w:val="auto"/>
                    </w:rPr>
                  </w:pPr>
                  <w:r>
                    <w:rPr>
                      <w:rFonts w:hint="default" w:ascii="Times New Roman" w:hAnsi="Times New Roman" w:cs="Times New Roman"/>
                      <w:b/>
                      <w:bCs/>
                      <w:color w:val="auto"/>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DA001</w:t>
                  </w:r>
                </w:p>
              </w:tc>
              <w:tc>
                <w:tcPr>
                  <w:tcW w:w="81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sz w:val="21"/>
                      <w:szCs w:val="21"/>
                      <w:lang w:val="en-US" w:eastAsia="zh-CN"/>
                    </w:rPr>
                    <w:t>VOC</w:t>
                  </w:r>
                  <w:r>
                    <w:rPr>
                      <w:rFonts w:hint="eastAsia" w:ascii="Times New Roman" w:hAnsi="Times New Roman" w:cs="Times New Roman"/>
                      <w:color w:val="auto"/>
                      <w:sz w:val="21"/>
                      <w:szCs w:val="21"/>
                      <w:vertAlign w:val="subscript"/>
                      <w:lang w:val="en-US" w:eastAsia="zh-CN"/>
                    </w:rPr>
                    <w:t>S</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r>
                    <w:rPr>
                      <w:rFonts w:hint="eastAsia" w:ascii="Times New Roman" w:hAnsi="Times New Roman" w:cs="Times New Roman"/>
                      <w:color w:val="auto"/>
                      <w:lang w:val="en-US" w:eastAsia="zh-CN"/>
                    </w:rPr>
                    <w:t>年</w:t>
                  </w:r>
                  <w:r>
                    <w:rPr>
                      <w:rFonts w:hint="default" w:ascii="Times New Roman" w:hAnsi="Times New Roman" w:cs="Times New Roman"/>
                      <w:color w:val="auto"/>
                    </w:rPr>
                    <w:t>/次</w:t>
                  </w:r>
                </w:p>
              </w:tc>
              <w:tc>
                <w:tcPr>
                  <w:tcW w:w="240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sz w:val="21"/>
                      <w:szCs w:val="21"/>
                    </w:rPr>
                    <w:t>《四川省固定污染源大气挥发性有机物排放标准》（DB51/2377-2017）中</w:t>
                  </w:r>
                  <w:r>
                    <w:rPr>
                      <w:rFonts w:hint="eastAsia"/>
                      <w:sz w:val="21"/>
                      <w:szCs w:val="21"/>
                      <w:lang w:val="en-US" w:eastAsia="zh-CN"/>
                    </w:rPr>
                    <w:t>表3</w:t>
                  </w:r>
                  <w:r>
                    <w:rPr>
                      <w:rFonts w:hint="eastAsia"/>
                      <w:sz w:val="21"/>
                      <w:szCs w:val="21"/>
                    </w:rPr>
                    <w:t>“涉及有机溶剂生产和使用的其他行业”</w:t>
                  </w:r>
                  <w:r>
                    <w:rPr>
                      <w:rFonts w:hint="eastAsia"/>
                      <w:sz w:val="21"/>
                      <w:szCs w:val="21"/>
                      <w:lang w:val="en-US" w:eastAsia="zh-CN"/>
                    </w:rPr>
                    <w:t>和表5</w:t>
                  </w:r>
                  <w:r>
                    <w:rPr>
                      <w:rFonts w:hint="eastAsia"/>
                      <w:sz w:val="21"/>
                      <w:szCs w:val="21"/>
                    </w:rPr>
                    <w:t>挥发性有机物排放标准执行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DA002</w:t>
                  </w:r>
                </w:p>
              </w:tc>
              <w:tc>
                <w:tcPr>
                  <w:tcW w:w="81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油烟</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eastAsia" w:ascii="Times New Roman" w:hAnsi="Times New Roman" w:cs="Times New Roman"/>
                      <w:color w:val="auto"/>
                      <w:lang w:val="en-US" w:eastAsia="zh-CN"/>
                    </w:rPr>
                    <w:t>年</w:t>
                  </w:r>
                  <w:r>
                    <w:rPr>
                      <w:rFonts w:hint="default" w:ascii="Times New Roman" w:hAnsi="Times New Roman" w:cs="Times New Roman"/>
                      <w:color w:val="auto"/>
                    </w:rPr>
                    <w:t>/次</w:t>
                  </w:r>
                </w:p>
              </w:tc>
              <w:tc>
                <w:tcPr>
                  <w:tcW w:w="240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sz w:val="21"/>
                      <w:szCs w:val="21"/>
                      <w:lang w:val="en-US" w:eastAsia="zh-CN"/>
                    </w:rPr>
                    <w:t>《饮食业油烟排放标准（试行）》（GB18483-2001）表2最高允许排放浓度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5、环境影响评价结论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本项目区域属于空气质量达标区，项目选址边界500m范围内的环境保护目标主要为项目周边</w:t>
            </w:r>
            <w:r>
              <w:rPr>
                <w:rFonts w:hint="eastAsia" w:ascii="Times New Roman" w:hAnsi="Times New Roman" w:cs="Times New Roman"/>
                <w:color w:val="auto"/>
                <w:sz w:val="24"/>
                <w:lang w:val="en-US" w:eastAsia="zh-CN"/>
              </w:rPr>
              <w:t>学校、居民</w:t>
            </w:r>
            <w:r>
              <w:rPr>
                <w:rFonts w:hint="default" w:ascii="Times New Roman" w:hAnsi="Times New Roman" w:cs="Times New Roman"/>
                <w:color w:val="auto"/>
                <w:sz w:val="24"/>
              </w:rPr>
              <w:t>。本项目为</w:t>
            </w:r>
            <w:r>
              <w:rPr>
                <w:rFonts w:hint="eastAsia" w:ascii="Times New Roman" w:hAnsi="Times New Roman" w:cs="Times New Roman"/>
                <w:color w:val="auto"/>
                <w:sz w:val="24"/>
                <w:lang w:val="en-US" w:eastAsia="zh-CN"/>
              </w:rPr>
              <w:t>学校</w:t>
            </w:r>
            <w:r>
              <w:rPr>
                <w:rFonts w:hint="default" w:ascii="Times New Roman" w:hAnsi="Times New Roman" w:cs="Times New Roman"/>
                <w:color w:val="auto"/>
                <w:sz w:val="24"/>
              </w:rPr>
              <w:t>项目，运营期废气主要是</w:t>
            </w:r>
            <w:r>
              <w:rPr>
                <w:rFonts w:hint="eastAsia" w:ascii="宋体" w:hAnsi="宋体" w:eastAsia="宋体" w:cs="宋体"/>
                <w:color w:val="000000"/>
                <w:kern w:val="0"/>
                <w:sz w:val="24"/>
                <w:szCs w:val="24"/>
                <w:lang w:val="en-US" w:eastAsia="zh-CN" w:bidi="ar"/>
              </w:rPr>
              <w:t>实验室废气、食堂油烟、汽车尾气、柴油发电机废气、垃圾收集点恶臭</w:t>
            </w:r>
            <w:r>
              <w:rPr>
                <w:rFonts w:hint="default" w:ascii="Times New Roman" w:hAnsi="Times New Roman" w:cs="Times New Roman"/>
                <w:color w:val="auto"/>
                <w:sz w:val="24"/>
              </w:rPr>
              <w:t>等，环评要求上述废气均需采取污染防治措施处理后排放，不会对区域大气环境造成不利影响。</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二、废水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1、废水</w:t>
            </w:r>
            <w:r>
              <w:rPr>
                <w:rFonts w:hint="default" w:ascii="Times New Roman" w:hAnsi="Times New Roman" w:cs="Times New Roman"/>
                <w:b/>
                <w:bCs/>
                <w:color w:val="auto"/>
                <w:sz w:val="24"/>
              </w:rPr>
              <w:t>产排污环节、污染物种类和产生量核算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sz w:val="24"/>
                <w:szCs w:val="24"/>
              </w:rPr>
            </w:pPr>
            <w:r>
              <w:rPr>
                <w:rFonts w:hint="default" w:ascii="Times New Roman" w:hAnsi="Times New Roman" w:eastAsia="宋体" w:cs="Times New Roman"/>
                <w:color w:val="000000"/>
                <w:kern w:val="0"/>
                <w:sz w:val="24"/>
                <w:szCs w:val="24"/>
                <w:lang w:val="en-US" w:eastAsia="zh-CN" w:bidi="ar"/>
              </w:rPr>
              <w:t>根据《四川省人民政府关于印发〈四川省用水定额〉的通知》（川府函〔2021〕8号</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普通高等教育</w:t>
            </w:r>
            <w:r>
              <w:rPr>
                <w:rFonts w:hint="default" w:ascii="Times New Roman" w:hAnsi="Times New Roman" w:eastAsia="宋体" w:cs="Times New Roman"/>
                <w:color w:val="000000"/>
                <w:kern w:val="0"/>
                <w:sz w:val="24"/>
                <w:szCs w:val="24"/>
                <w:lang w:val="en-US" w:eastAsia="zh-CN" w:bidi="ar"/>
              </w:rPr>
              <w:t>用水定额为</w:t>
            </w:r>
            <w:r>
              <w:rPr>
                <w:rFonts w:hint="eastAsia" w:ascii="Times New Roman" w:hAnsi="Times New Roman" w:eastAsia="宋体" w:cs="Times New Roman"/>
                <w:color w:val="000000"/>
                <w:kern w:val="0"/>
                <w:sz w:val="24"/>
                <w:szCs w:val="24"/>
                <w:lang w:val="en-US" w:eastAsia="zh-CN" w:bidi="ar"/>
              </w:rPr>
              <w:t>85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/人</w:t>
            </w:r>
            <w:r>
              <w:rPr>
                <w:rFonts w:hint="default"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a，包括教学楼、办公楼、食堂、宿舍、浴室、实验室、体育场馆、</w:t>
            </w:r>
            <w:r>
              <w:rPr>
                <w:rFonts w:hint="eastAsia" w:ascii="Times New Roman" w:hAnsi="Times New Roman" w:eastAsia="宋体" w:cs="Times New Roman"/>
                <w:color w:val="000000"/>
                <w:kern w:val="0"/>
                <w:sz w:val="24"/>
                <w:szCs w:val="24"/>
                <w:lang w:val="en-US" w:eastAsia="zh-CN" w:bidi="ar"/>
              </w:rPr>
              <w:t>博物</w:t>
            </w:r>
            <w:r>
              <w:rPr>
                <w:rFonts w:hint="default" w:ascii="Times New Roman" w:hAnsi="Times New Roman" w:eastAsia="宋体" w:cs="Times New Roman"/>
                <w:color w:val="000000"/>
                <w:kern w:val="0"/>
                <w:sz w:val="24"/>
                <w:szCs w:val="24"/>
                <w:lang w:val="en-US" w:eastAsia="zh-CN" w:bidi="ar"/>
              </w:rPr>
              <w:t>馆、景观绿化、附属设备等与办学相关的用水量。本项目师生</w:t>
            </w:r>
            <w:r>
              <w:rPr>
                <w:rFonts w:hint="eastAsia" w:ascii="Times New Roman" w:hAnsi="Times New Roman" w:eastAsia="宋体" w:cs="Times New Roman"/>
                <w:color w:val="000000"/>
                <w:kern w:val="0"/>
                <w:sz w:val="24"/>
                <w:szCs w:val="24"/>
                <w:lang w:val="en-US" w:eastAsia="zh-CN" w:bidi="ar"/>
              </w:rPr>
              <w:t>、后勤</w:t>
            </w:r>
            <w:r>
              <w:rPr>
                <w:rFonts w:hint="default" w:ascii="Times New Roman" w:hAnsi="Times New Roman" w:eastAsia="宋体" w:cs="Times New Roman"/>
                <w:color w:val="000000"/>
                <w:kern w:val="0"/>
                <w:sz w:val="24"/>
                <w:szCs w:val="24"/>
                <w:lang w:val="en-US" w:eastAsia="zh-CN" w:bidi="ar"/>
              </w:rPr>
              <w:t>人数</w:t>
            </w:r>
            <w:r>
              <w:rPr>
                <w:rFonts w:hint="eastAsia" w:ascii="Times New Roman" w:hAnsi="Times New Roman" w:eastAsia="宋体" w:cs="Times New Roman"/>
                <w:color w:val="000000"/>
                <w:kern w:val="0"/>
                <w:sz w:val="24"/>
                <w:szCs w:val="24"/>
                <w:lang w:val="en-US" w:eastAsia="zh-CN" w:bidi="ar"/>
              </w:rPr>
              <w:t>共</w:t>
            </w:r>
            <w:r>
              <w:rPr>
                <w:rFonts w:hint="default" w:ascii="Times New Roman" w:hAnsi="Times New Roman" w:eastAsia="宋体" w:cs="Times New Roman"/>
                <w:color w:val="000000"/>
                <w:kern w:val="0"/>
                <w:sz w:val="24"/>
                <w:szCs w:val="24"/>
                <w:lang w:val="en-US" w:eastAsia="zh-CN" w:bidi="ar"/>
              </w:rPr>
              <w:t>约</w:t>
            </w:r>
            <w:r>
              <w:rPr>
                <w:rFonts w:hint="eastAsia" w:ascii="Times New Roman" w:hAnsi="Times New Roman" w:eastAsia="宋体" w:cs="Times New Roman"/>
                <w:color w:val="000000"/>
                <w:kern w:val="0"/>
                <w:sz w:val="24"/>
                <w:szCs w:val="24"/>
                <w:lang w:val="en-US" w:eastAsia="zh-CN" w:bidi="ar"/>
              </w:rPr>
              <w:t>10670</w:t>
            </w:r>
            <w:r>
              <w:rPr>
                <w:rFonts w:hint="default" w:ascii="Times New Roman" w:hAnsi="Times New Roman" w:eastAsia="宋体" w:cs="Times New Roman"/>
                <w:color w:val="000000"/>
                <w:kern w:val="0"/>
                <w:sz w:val="24"/>
                <w:szCs w:val="24"/>
                <w:lang w:val="en-US" w:eastAsia="zh-CN" w:bidi="ar"/>
              </w:rPr>
              <w:t>人，年工作280天，故本项目用水量为</w:t>
            </w:r>
            <w:r>
              <w:rPr>
                <w:rFonts w:hint="eastAsia" w:ascii="Times New Roman" w:hAnsi="Times New Roman" w:eastAsia="宋体" w:cs="Times New Roman"/>
                <w:color w:val="000000"/>
                <w:kern w:val="0"/>
                <w:sz w:val="24"/>
                <w:szCs w:val="24"/>
                <w:lang w:val="en-US" w:eastAsia="zh-CN" w:bidi="ar"/>
              </w:rPr>
              <w:t>3239.107</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d（906950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。产污系数按85%计，则废水排放量为</w:t>
            </w:r>
            <w:r>
              <w:rPr>
                <w:rFonts w:hint="eastAsia" w:ascii="Times New Roman" w:hAnsi="Times New Roman" w:eastAsia="宋体" w:cs="Times New Roman"/>
                <w:color w:val="000000"/>
                <w:kern w:val="0"/>
                <w:sz w:val="24"/>
                <w:szCs w:val="24"/>
                <w:lang w:val="en-US" w:eastAsia="zh-CN" w:bidi="ar"/>
              </w:rPr>
              <w:t>2753.241</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d（770907.5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a）</w:t>
            </w:r>
            <w:r>
              <w:rPr>
                <w:rFonts w:hint="default" w:ascii="Times New Roman" w:hAnsi="Times New Roman" w:eastAsia="宋体" w:cs="Times New Roman"/>
                <w:color w:val="000000"/>
                <w:kern w:val="0"/>
                <w:sz w:val="24"/>
                <w:szCs w:val="24"/>
                <w:lang w:val="en-US" w:eastAsia="zh-CN" w:bidi="ar"/>
              </w:rPr>
              <w:t>。</w:t>
            </w:r>
            <w:r>
              <w:rPr>
                <w:rFonts w:hint="eastAsia"/>
                <w:sz w:val="24"/>
                <w:szCs w:val="24"/>
              </w:rPr>
              <w:t>废水中主要污染物为</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vertAlign w:val="subscript"/>
              </w:rPr>
              <w:t>Cr</w:t>
            </w:r>
            <w:r>
              <w:rPr>
                <w:rFonts w:hint="default" w:ascii="Times New Roman" w:hAnsi="Times New Roman" w:cs="Times New Roman"/>
                <w:color w:val="auto"/>
                <w:sz w:val="24"/>
                <w:szCs w:val="24"/>
                <w:highlight w:val="none"/>
              </w:rPr>
              <w:t>、BOD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SS</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动植物油</w:t>
            </w:r>
            <w:r>
              <w:rPr>
                <w:rFonts w:hint="eastAsia"/>
                <w:sz w:val="24"/>
                <w:szCs w:val="24"/>
              </w:rPr>
              <w:t>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2、废水处理措施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①根据设计方案，本项目拟在学生宿舍楼、博物馆、实训教学楼东南侧人员活动频繁的建筑物附近建设化粪池共4个，污水的水力停留时间不宜小于12h，故评价要求总有效容积应不小于1400m</w:t>
            </w:r>
            <w:r>
              <w:rPr>
                <w:rFonts w:hint="eastAsia" w:ascii="Times New Roman" w:hAnsi="Times New Roman" w:eastAsia="宋体" w:cs="Times New Roman"/>
                <w:b w:val="0"/>
                <w:bCs w:val="0"/>
                <w:color w:val="000000"/>
                <w:kern w:val="0"/>
                <w:sz w:val="24"/>
                <w:szCs w:val="24"/>
                <w:vertAlign w:val="superscript"/>
                <w:lang w:val="en-US" w:eastAsia="zh-CN" w:bidi="ar"/>
              </w:rPr>
              <w:t>3</w:t>
            </w:r>
            <w:r>
              <w:rPr>
                <w:rFonts w:hint="eastAsia" w:ascii="Times New Roman" w:hAnsi="Times New Roman" w:eastAsia="宋体" w:cs="Times New Roman"/>
                <w:b w:val="0"/>
                <w:bCs w:val="0"/>
                <w:color w:val="000000"/>
                <w:kern w:val="0"/>
                <w:sz w:val="24"/>
                <w:szCs w:val="24"/>
                <w:lang w:val="en-US" w:eastAsia="zh-CN" w:bidi="ar"/>
              </w:rPr>
              <w:t>，用于收集及预处理产生的所有生活污水及垃圾收集站的少量渗滤液和冲洗废水，经预处理后可满足《污水综合排放标准》（GB8978-1996）中三级排放标准，然后排入西南侧道路下已建的市政污水管网，最终进入</w:t>
            </w:r>
            <w:r>
              <w:rPr>
                <w:rFonts w:hint="default" w:ascii="Times New Roman" w:hAnsi="Times New Roman" w:eastAsia="宋体" w:cs="Times New Roman"/>
                <w:color w:val="000000"/>
                <w:kern w:val="0"/>
                <w:sz w:val="24"/>
                <w:szCs w:val="24"/>
                <w:lang w:val="en-US" w:eastAsia="zh-CN" w:bidi="ar"/>
              </w:rPr>
              <w:t>达州市第二</w:t>
            </w:r>
            <w:r>
              <w:rPr>
                <w:rFonts w:hint="eastAsia" w:ascii="Times New Roman" w:hAnsi="Times New Roman" w:eastAsia="宋体" w:cs="Times New Roman"/>
                <w:color w:val="000000"/>
                <w:kern w:val="0"/>
                <w:sz w:val="24"/>
                <w:szCs w:val="24"/>
                <w:lang w:val="en-US" w:eastAsia="zh-CN" w:bidi="ar"/>
              </w:rPr>
              <w:t>城市生活</w:t>
            </w:r>
            <w:r>
              <w:rPr>
                <w:rFonts w:hint="default" w:ascii="Times New Roman" w:hAnsi="Times New Roman" w:eastAsia="宋体" w:cs="Times New Roman"/>
                <w:color w:val="000000"/>
                <w:kern w:val="0"/>
                <w:sz w:val="24"/>
                <w:szCs w:val="24"/>
                <w:lang w:val="en-US" w:eastAsia="zh-CN" w:bidi="ar"/>
              </w:rPr>
              <w:t>污水处理厂</w:t>
            </w:r>
            <w:r>
              <w:rPr>
                <w:rFonts w:hint="eastAsia" w:ascii="Times New Roman" w:hAnsi="Times New Roman" w:eastAsia="宋体" w:cs="Times New Roman"/>
                <w:color w:val="000000"/>
                <w:kern w:val="0"/>
                <w:sz w:val="24"/>
                <w:szCs w:val="24"/>
                <w:lang w:val="en-US" w:eastAsia="zh-CN" w:bidi="ar"/>
              </w:rPr>
              <w:t>处理</w:t>
            </w:r>
            <w:r>
              <w:rPr>
                <w:rFonts w:hint="eastAsia" w:ascii="Times New Roman" w:hAnsi="Times New Roman" w:cs="Times New Roman"/>
                <w:color w:val="000000"/>
                <w:sz w:val="24"/>
                <w:szCs w:val="24"/>
                <w:lang w:val="en-US" w:eastAsia="zh-CN"/>
              </w:rPr>
              <w:t>达到</w:t>
            </w:r>
            <w:r>
              <w:rPr>
                <w:rFonts w:hint="default" w:ascii="Times New Roman" w:hAnsi="Times New Roman" w:cs="Times New Roman"/>
                <w:color w:val="000000"/>
                <w:sz w:val="24"/>
                <w:szCs w:val="24"/>
                <w:lang w:val="en-US" w:eastAsia="zh-CN"/>
              </w:rPr>
              <w:t>《城镇污水处理厂污染物排放标准》（GB18981-2002）一级A标准</w:t>
            </w:r>
            <w:r>
              <w:rPr>
                <w:rFonts w:hint="eastAsia" w:ascii="Times New Roman" w:hAnsi="Times New Roman" w:cs="Times New Roman"/>
                <w:color w:val="000000"/>
                <w:sz w:val="24"/>
                <w:szCs w:val="24"/>
                <w:lang w:val="en-US" w:eastAsia="zh-CN"/>
              </w:rPr>
              <w:t>后</w:t>
            </w:r>
            <w:r>
              <w:rPr>
                <w:rFonts w:hint="eastAsia" w:ascii="宋体" w:hAnsi="宋体" w:eastAsia="宋体" w:cs="宋体"/>
                <w:color w:val="000000"/>
                <w:kern w:val="0"/>
                <w:sz w:val="24"/>
                <w:szCs w:val="24"/>
                <w:lang w:val="en-US" w:eastAsia="zh-CN" w:bidi="ar"/>
              </w:rPr>
              <w:t>排入州河</w:t>
            </w:r>
            <w:r>
              <w:rPr>
                <w:rFonts w:hint="eastAsia"/>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②拟在食堂北侧建设1个隔油池，收集处理食堂产生的废水，经隔油处理后的废水排入化粪池与生活污水一同处理。按照《饮食业环境保护技术规范》（HJ554-2010）中的相关规定：含油污水的水力停留时间不宜小于0.5h；池内水流流速不宜大于0.005m/s；池内分格宜采取二挡三格；人工除油的隔油池内存油部分容积不宜小于该池有效容积的25%；隔油池出水水管管底至池底的深度，不宜小于0.6m；与隔油池相连的管道均应防酸碱、耐高温。故评价要求隔油池有效容积应不小于10m</w:t>
            </w:r>
            <w:r>
              <w:rPr>
                <w:rFonts w:hint="eastAsia" w:ascii="Times New Roman" w:hAnsi="Times New Roman" w:eastAsia="宋体" w:cs="Times New Roman"/>
                <w:b w:val="0"/>
                <w:bCs w:val="0"/>
                <w:color w:val="000000"/>
                <w:kern w:val="0"/>
                <w:sz w:val="24"/>
                <w:szCs w:val="24"/>
                <w:vertAlign w:val="superscript"/>
                <w:lang w:val="en-US" w:eastAsia="zh-CN" w:bidi="ar"/>
              </w:rPr>
              <w:t>3</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③拟在实训中心西侧建设1个酸碱中和池，容积约为4m</w:t>
            </w:r>
            <w:r>
              <w:rPr>
                <w:rFonts w:hint="eastAsia" w:ascii="Times New Roman" w:hAnsi="Times New Roman" w:eastAsia="宋体" w:cs="Times New Roman"/>
                <w:b w:val="0"/>
                <w:bCs w:val="0"/>
                <w:color w:val="000000"/>
                <w:kern w:val="0"/>
                <w:sz w:val="24"/>
                <w:szCs w:val="24"/>
                <w:vertAlign w:val="superscript"/>
                <w:lang w:val="en-US" w:eastAsia="zh-CN" w:bidi="ar"/>
              </w:rPr>
              <w:t>3</w:t>
            </w:r>
            <w:r>
              <w:rPr>
                <w:rFonts w:hint="eastAsia" w:ascii="Times New Roman" w:hAnsi="Times New Roman" w:eastAsia="宋体" w:cs="Times New Roman"/>
                <w:b w:val="0"/>
                <w:bCs w:val="0"/>
                <w:color w:val="000000"/>
                <w:kern w:val="0"/>
                <w:sz w:val="24"/>
                <w:szCs w:val="24"/>
                <w:lang w:val="en-US" w:eastAsia="zh-CN" w:bidi="ar"/>
              </w:rPr>
              <w:t>，收集处理实验室产生的清洗废水，实验室废水排口处设置酸碱中和池对产生的普通酸碱废水进行中和处置至pH值中性后，经专用管道排入化粪池与生活污水一同处理。</w:t>
            </w:r>
          </w:p>
          <w:p>
            <w:pPr>
              <w:adjustRightInd w:val="0"/>
              <w:snapToGrid w:val="0"/>
              <w:spacing w:line="360" w:lineRule="auto"/>
              <w:ind w:firstLine="480" w:firstLineChars="200"/>
              <w:rPr>
                <w:sz w:val="24"/>
              </w:rPr>
            </w:pPr>
            <w:r>
              <w:rPr>
                <w:rFonts w:hint="eastAsia"/>
                <w:sz w:val="24"/>
              </w:rPr>
              <w:t>本项目废水产排及治理情况见下表。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5</w:t>
            </w:r>
            <w:r>
              <w:rPr>
                <w:rFonts w:hint="default" w:ascii="Times New Roman" w:hAnsi="Times New Roman" w:eastAsia="黑体" w:cs="Times New Roman"/>
                <w:b w:val="0"/>
                <w:bCs/>
                <w:sz w:val="21"/>
                <w:szCs w:val="21"/>
              </w:rPr>
              <w:t xml:space="preserve">  本项目废水产排一览表</w:t>
            </w:r>
          </w:p>
          <w:tbl>
            <w:tblPr>
              <w:tblStyle w:val="26"/>
              <w:tblW w:w="492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69"/>
              <w:gridCol w:w="1369"/>
              <w:gridCol w:w="1369"/>
              <w:gridCol w:w="1369"/>
              <w:gridCol w:w="1373"/>
              <w:gridCol w:w="13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2" w:type="pct"/>
                  <w:tcBorders>
                    <w:tl2br w:val="nil"/>
                    <w:tr2bl w:val="nil"/>
                  </w:tcBorders>
                  <w:noWrap w:val="0"/>
                  <w:vAlign w:val="center"/>
                </w:tcPr>
                <w:p>
                  <w:pPr>
                    <w:adjustRightInd w:val="0"/>
                    <w:snapToGrid w:val="0"/>
                    <w:spacing w:line="25" w:lineRule="atLeast"/>
                    <w:jc w:val="center"/>
                    <w:rPr>
                      <w:rFonts w:hint="eastAsia" w:eastAsia="宋体"/>
                      <w:b/>
                      <w:bCs/>
                      <w:kern w:val="0"/>
                      <w:sz w:val="21"/>
                      <w:szCs w:val="21"/>
                      <w:lang w:val="en-US" w:eastAsia="zh-CN"/>
                    </w:rPr>
                  </w:pPr>
                  <w:r>
                    <w:rPr>
                      <w:rFonts w:hint="eastAsia"/>
                      <w:b/>
                      <w:bCs/>
                      <w:kern w:val="0"/>
                      <w:sz w:val="21"/>
                      <w:szCs w:val="21"/>
                      <w:lang w:val="en-US" w:eastAsia="zh-CN"/>
                    </w:rPr>
                    <w:t>污染源</w:t>
                  </w:r>
                </w:p>
              </w:tc>
              <w:tc>
                <w:tcPr>
                  <w:tcW w:w="832"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污染物</w:t>
                  </w:r>
                </w:p>
              </w:tc>
              <w:tc>
                <w:tcPr>
                  <w:tcW w:w="832"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产生浓度mg/L</w:t>
                  </w:r>
                </w:p>
              </w:tc>
              <w:tc>
                <w:tcPr>
                  <w:tcW w:w="832"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产生量t/a</w:t>
                  </w:r>
                </w:p>
              </w:tc>
              <w:tc>
                <w:tcPr>
                  <w:tcW w:w="835"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排放浓度mg/L</w:t>
                  </w:r>
                </w:p>
              </w:tc>
              <w:tc>
                <w:tcPr>
                  <w:tcW w:w="832" w:type="pct"/>
                  <w:tcBorders>
                    <w:tl2br w:val="nil"/>
                    <w:tr2bl w:val="nil"/>
                  </w:tcBorders>
                  <w:noWrap w:val="0"/>
                  <w:vAlign w:val="center"/>
                </w:tcPr>
                <w:p>
                  <w:pPr>
                    <w:adjustRightInd w:val="0"/>
                    <w:snapToGrid w:val="0"/>
                    <w:spacing w:line="25" w:lineRule="atLeast"/>
                    <w:jc w:val="center"/>
                    <w:rPr>
                      <w:rFonts w:hint="eastAsia" w:eastAsia="宋体"/>
                      <w:b/>
                      <w:bCs/>
                      <w:kern w:val="0"/>
                      <w:sz w:val="21"/>
                      <w:szCs w:val="21"/>
                      <w:lang w:val="en-US" w:eastAsia="zh-CN"/>
                    </w:rPr>
                  </w:pPr>
                  <w:r>
                    <w:rPr>
                      <w:rFonts w:hint="eastAsia"/>
                      <w:b/>
                      <w:bCs/>
                      <w:kern w:val="0"/>
                      <w:sz w:val="21"/>
                      <w:szCs w:val="21"/>
                      <w:lang w:val="en-US" w:eastAsia="zh-CN"/>
                    </w:rPr>
                    <w:t>排放量t/a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832" w:type="pct"/>
                  <w:vMerge w:val="restar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rFonts w:hint="eastAsia"/>
                      <w:kern w:val="0"/>
                      <w:sz w:val="21"/>
                      <w:szCs w:val="21"/>
                      <w:lang w:val="en-US" w:eastAsia="zh-CN"/>
                    </w:rPr>
                    <w:t>综合废水</w:t>
                  </w:r>
                  <w:r>
                    <w:rPr>
                      <w:rFonts w:hint="eastAsia" w:ascii="Times New Roman" w:hAnsi="Times New Roman" w:eastAsia="宋体" w:cs="Times New Roman"/>
                      <w:color w:val="000000"/>
                      <w:kern w:val="0"/>
                      <w:sz w:val="21"/>
                      <w:szCs w:val="21"/>
                      <w:lang w:val="en-US" w:eastAsia="zh-CN" w:bidi="ar"/>
                    </w:rPr>
                    <w:t>（770907.5</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a）</w:t>
                  </w: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400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308.353</w:t>
                  </w:r>
                </w:p>
              </w:tc>
              <w:tc>
                <w:tcPr>
                  <w:tcW w:w="835"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300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231.272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adjustRightInd w:val="0"/>
                    <w:snapToGrid w:val="0"/>
                    <w:spacing w:line="25" w:lineRule="atLeast"/>
                    <w:jc w:val="center"/>
                    <w:rPr>
                      <w:kern w:val="0"/>
                      <w:sz w:val="21"/>
                      <w:szCs w:val="21"/>
                    </w:rPr>
                  </w:pP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300</w:t>
                  </w: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kern w:val="0"/>
                      <w:sz w:val="21"/>
                      <w:szCs w:val="21"/>
                      <w:lang w:val="en-US" w:eastAsia="zh-CN"/>
                    </w:rPr>
                    <w:t>231.272</w:t>
                  </w:r>
                </w:p>
              </w:tc>
              <w:tc>
                <w:tcPr>
                  <w:tcW w:w="835"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250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192.727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adjustRightInd w:val="0"/>
                    <w:snapToGrid w:val="0"/>
                    <w:spacing w:line="25" w:lineRule="atLeast"/>
                    <w:jc w:val="center"/>
                    <w:rPr>
                      <w:kern w:val="0"/>
                      <w:sz w:val="21"/>
                      <w:szCs w:val="21"/>
                    </w:rPr>
                  </w:pP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35</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26.982</w:t>
                  </w:r>
                </w:p>
              </w:tc>
              <w:tc>
                <w:tcPr>
                  <w:tcW w:w="835"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25</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19.273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adjustRightInd w:val="0"/>
                    <w:snapToGrid w:val="0"/>
                    <w:spacing w:line="25" w:lineRule="atLeast"/>
                    <w:jc w:val="center"/>
                    <w:rPr>
                      <w:kern w:val="0"/>
                      <w:sz w:val="21"/>
                      <w:szCs w:val="21"/>
                    </w:rPr>
                  </w:pP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cs="Times New Roman"/>
                      <w:color w:val="auto"/>
                      <w:sz w:val="21"/>
                      <w:szCs w:val="21"/>
                      <w:highlight w:val="none"/>
                    </w:rPr>
                    <w:t>SS</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250</w:t>
                  </w:r>
                </w:p>
              </w:tc>
              <w:tc>
                <w:tcPr>
                  <w:tcW w:w="832"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eastAsia="宋体"/>
                      <w:kern w:val="0"/>
                      <w:sz w:val="21"/>
                      <w:szCs w:val="21"/>
                      <w:lang w:val="en-US" w:eastAsia="zh-CN"/>
                    </w:rPr>
                    <w:t>192.727</w:t>
                  </w:r>
                </w:p>
              </w:tc>
              <w:tc>
                <w:tcPr>
                  <w:tcW w:w="835"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100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77.091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32" w:type="pct"/>
                  <w:vMerge w:val="continue"/>
                  <w:tcBorders>
                    <w:tl2br w:val="nil"/>
                    <w:tr2bl w:val="nil"/>
                  </w:tcBorders>
                  <w:noWrap w:val="0"/>
                  <w:vAlign w:val="center"/>
                </w:tcPr>
                <w:p>
                  <w:pPr>
                    <w:adjustRightInd w:val="0"/>
                    <w:snapToGrid w:val="0"/>
                    <w:spacing w:line="25" w:lineRule="atLeast"/>
                    <w:jc w:val="center"/>
                    <w:rPr>
                      <w:rFonts w:hint="eastAsia"/>
                      <w:kern w:val="0"/>
                      <w:sz w:val="21"/>
                      <w:szCs w:val="21"/>
                    </w:rPr>
                  </w:pPr>
                </w:p>
              </w:tc>
              <w:tc>
                <w:tcPr>
                  <w:tcW w:w="832" w:type="pct"/>
                  <w:tcBorders>
                    <w:tl2br w:val="nil"/>
                    <w:tr2bl w:val="nil"/>
                  </w:tcBorders>
                  <w:noWrap w:val="0"/>
                  <w:vAlign w:val="center"/>
                </w:tcPr>
                <w:p>
                  <w:pPr>
                    <w:adjustRightInd w:val="0"/>
                    <w:snapToGrid w:val="0"/>
                    <w:spacing w:line="25" w:lineRule="atLeast"/>
                    <w:jc w:val="center"/>
                    <w:rPr>
                      <w:rFonts w:hint="eastAsia"/>
                      <w:kern w:val="0"/>
                      <w:sz w:val="21"/>
                      <w:szCs w:val="21"/>
                    </w:rPr>
                  </w:pPr>
                  <w:r>
                    <w:rPr>
                      <w:rFonts w:hint="eastAsia" w:ascii="Times New Roman" w:hAnsi="Times New Roman" w:cs="Times New Roman"/>
                      <w:color w:val="auto"/>
                      <w:sz w:val="21"/>
                      <w:szCs w:val="21"/>
                      <w:highlight w:val="none"/>
                      <w:lang w:val="en-US" w:eastAsia="zh-CN"/>
                    </w:rPr>
                    <w:t>动植物油</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120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92.509</w:t>
                  </w:r>
                </w:p>
              </w:tc>
              <w:tc>
                <w:tcPr>
                  <w:tcW w:w="835"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60</w:t>
                  </w:r>
                </w:p>
              </w:tc>
              <w:tc>
                <w:tcPr>
                  <w:tcW w:w="83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46.254</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3、废水排放基本信息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①</w:t>
            </w:r>
            <w:r>
              <w:rPr>
                <w:rFonts w:ascii="Times New Roman" w:hAnsi="Times New Roman"/>
                <w:b/>
                <w:bCs/>
                <w:color w:val="auto"/>
                <w:sz w:val="24"/>
                <w:szCs w:val="24"/>
              </w:rPr>
              <w:t>废水类别、污染物及治理设施信息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sz w:val="21"/>
                <w:szCs w:val="21"/>
                <w:lang w:val="en-US"/>
              </w:rPr>
            </w:pPr>
            <w:r>
              <w:rPr>
                <w:rFonts w:hint="default" w:ascii="Times New Roman" w:hAnsi="Times New Roman" w:eastAsia="黑体" w:cs="Times New Roman"/>
                <w:b w:val="0"/>
                <w:bCs/>
                <w:sz w:val="21"/>
                <w:szCs w:val="21"/>
              </w:rPr>
              <w:t>表</w:t>
            </w:r>
            <w:r>
              <w:rPr>
                <w:rFonts w:hint="eastAsia" w:ascii="Times New Roman" w:hAnsi="Times New Roman" w:eastAsia="黑体" w:cs="Times New Roman"/>
                <w:b w:val="0"/>
                <w:bCs/>
                <w:sz w:val="21"/>
                <w:szCs w:val="21"/>
                <w:lang w:val="en-US" w:eastAsia="zh-CN"/>
              </w:rPr>
              <w:t>4-6</w:t>
            </w:r>
            <w:r>
              <w:rPr>
                <w:rFonts w:hint="default" w:ascii="Times New Roman" w:hAnsi="Times New Roman" w:eastAsia="黑体" w:cs="Times New Roman"/>
                <w:b w:val="0"/>
                <w:bCs/>
                <w:sz w:val="21"/>
                <w:szCs w:val="21"/>
              </w:rPr>
              <w:t xml:space="preserve">   废水类别、污染物及治理设施信息表</w:t>
            </w:r>
          </w:p>
          <w:tbl>
            <w:tblPr>
              <w:tblStyle w:val="26"/>
              <w:tblW w:w="82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4"/>
              <w:gridCol w:w="720"/>
              <w:gridCol w:w="1635"/>
              <w:gridCol w:w="1035"/>
              <w:gridCol w:w="675"/>
              <w:gridCol w:w="930"/>
              <w:gridCol w:w="1090"/>
              <w:gridCol w:w="840"/>
              <w:gridCol w:w="8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4" w:type="dxa"/>
                  <w:vMerge w:val="restart"/>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序号</w:t>
                  </w:r>
                </w:p>
              </w:tc>
              <w:tc>
                <w:tcPr>
                  <w:tcW w:w="720" w:type="dxa"/>
                  <w:vMerge w:val="restart"/>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废水类别</w:t>
                  </w:r>
                </w:p>
              </w:tc>
              <w:tc>
                <w:tcPr>
                  <w:tcW w:w="1635" w:type="dxa"/>
                  <w:vMerge w:val="restart"/>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污染物种类</w:t>
                  </w:r>
                </w:p>
              </w:tc>
              <w:tc>
                <w:tcPr>
                  <w:tcW w:w="1035" w:type="dxa"/>
                  <w:vMerge w:val="restart"/>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排放去向</w:t>
                  </w:r>
                </w:p>
              </w:tc>
              <w:tc>
                <w:tcPr>
                  <w:tcW w:w="675" w:type="dxa"/>
                  <w:vMerge w:val="restart"/>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排放规律</w:t>
                  </w:r>
                </w:p>
              </w:tc>
              <w:tc>
                <w:tcPr>
                  <w:tcW w:w="2860" w:type="dxa"/>
                  <w:gridSpan w:val="3"/>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污染治理设施</w:t>
                  </w:r>
                </w:p>
              </w:tc>
              <w:tc>
                <w:tcPr>
                  <w:tcW w:w="889" w:type="dxa"/>
                  <w:vMerge w:val="restart"/>
                  <w:tcBorders>
                    <w:tl2br w:val="nil"/>
                    <w:tr2bl w:val="nil"/>
                  </w:tcBorders>
                  <w:noWrap w:val="0"/>
                  <w:vAlign w:val="center"/>
                </w:tcPr>
                <w:p>
                  <w:pPr>
                    <w:pStyle w:val="24"/>
                    <w:ind w:left="0" w:leftChars="0"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是否为可行技术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4"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720"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1635"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1035"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675"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930" w:type="dxa"/>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编号</w:t>
                  </w:r>
                </w:p>
              </w:tc>
              <w:tc>
                <w:tcPr>
                  <w:tcW w:w="1090" w:type="dxa"/>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名称</w:t>
                  </w:r>
                </w:p>
              </w:tc>
              <w:tc>
                <w:tcPr>
                  <w:tcW w:w="840" w:type="dxa"/>
                  <w:tcBorders>
                    <w:tl2br w:val="nil"/>
                    <w:tr2bl w:val="nil"/>
                  </w:tcBorders>
                  <w:noWrap w:val="0"/>
                  <w:vAlign w:val="center"/>
                </w:tcPr>
                <w:p>
                  <w:pPr>
                    <w:pStyle w:val="24"/>
                    <w:ind w:left="0" w:leftChars="0" w:firstLine="0" w:firstLineChars="0"/>
                    <w:jc w:val="center"/>
                    <w:rPr>
                      <w:b/>
                      <w:bCs/>
                      <w:color w:val="auto"/>
                      <w:sz w:val="21"/>
                      <w:szCs w:val="21"/>
                    </w:rPr>
                  </w:pPr>
                  <w:r>
                    <w:rPr>
                      <w:b/>
                      <w:bCs/>
                      <w:color w:val="auto"/>
                      <w:sz w:val="21"/>
                      <w:szCs w:val="21"/>
                    </w:rPr>
                    <w:t>工艺</w:t>
                  </w:r>
                </w:p>
              </w:tc>
              <w:tc>
                <w:tcPr>
                  <w:tcW w:w="889" w:type="dxa"/>
                  <w:vMerge w:val="continue"/>
                  <w:tcBorders>
                    <w:tl2br w:val="nil"/>
                    <w:tr2bl w:val="nil"/>
                  </w:tcBorders>
                  <w:noWrap w:val="0"/>
                  <w:vAlign w:val="center"/>
                </w:tcPr>
                <w:p>
                  <w:pPr>
                    <w:pStyle w:val="24"/>
                    <w:ind w:left="0" w:leftChars="0" w:firstLine="0" w:firstLineChars="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4" w:type="dxa"/>
                  <w:tcBorders>
                    <w:tl2br w:val="nil"/>
                    <w:tr2bl w:val="nil"/>
                  </w:tcBorders>
                  <w:noWrap w:val="0"/>
                  <w:vAlign w:val="center"/>
                </w:tcPr>
                <w:p>
                  <w:pPr>
                    <w:pStyle w:val="24"/>
                    <w:ind w:left="0" w:leftChars="0" w:firstLine="0" w:firstLineChars="0"/>
                    <w:jc w:val="center"/>
                    <w:rPr>
                      <w:color w:val="auto"/>
                      <w:sz w:val="21"/>
                      <w:szCs w:val="21"/>
                    </w:rPr>
                  </w:pPr>
                  <w:r>
                    <w:rPr>
                      <w:color w:val="auto"/>
                      <w:sz w:val="21"/>
                      <w:szCs w:val="21"/>
                    </w:rPr>
                    <w:t>1</w:t>
                  </w:r>
                </w:p>
              </w:tc>
              <w:tc>
                <w:tcPr>
                  <w:tcW w:w="720" w:type="dxa"/>
                  <w:tcBorders>
                    <w:tl2br w:val="nil"/>
                    <w:tr2bl w:val="nil"/>
                  </w:tcBorders>
                  <w:noWrap w:val="0"/>
                  <w:vAlign w:val="center"/>
                </w:tcPr>
                <w:p>
                  <w:pPr>
                    <w:pStyle w:val="24"/>
                    <w:ind w:left="0" w:leftChars="0" w:firstLine="0" w:firstLineChars="0"/>
                    <w:jc w:val="center"/>
                    <w:rPr>
                      <w:rFonts w:hint="eastAsia" w:eastAsia="宋体"/>
                      <w:color w:val="auto"/>
                      <w:sz w:val="21"/>
                      <w:szCs w:val="21"/>
                      <w:lang w:eastAsia="zh-CN"/>
                    </w:rPr>
                  </w:pPr>
                  <w:r>
                    <w:rPr>
                      <w:rFonts w:hint="eastAsia"/>
                      <w:color w:val="auto"/>
                      <w:sz w:val="21"/>
                      <w:szCs w:val="21"/>
                      <w:lang w:eastAsia="zh-CN"/>
                    </w:rPr>
                    <w:t>生活污水</w:t>
                  </w:r>
                </w:p>
              </w:tc>
              <w:tc>
                <w:tcPr>
                  <w:tcW w:w="1635" w:type="dxa"/>
                  <w:tcBorders>
                    <w:tl2br w:val="nil"/>
                    <w:tr2bl w:val="nil"/>
                  </w:tcBorders>
                  <w:noWrap w:val="0"/>
                  <w:vAlign w:val="center"/>
                </w:tcPr>
                <w:p>
                  <w:pPr>
                    <w:pStyle w:val="24"/>
                    <w:ind w:left="0" w:leftChars="0" w:firstLine="0" w:firstLineChars="0"/>
                    <w:jc w:val="center"/>
                    <w:rPr>
                      <w:color w:val="auto"/>
                      <w:sz w:val="21"/>
                      <w:szCs w:val="21"/>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r>
                    <w:rPr>
                      <w:color w:val="auto"/>
                      <w:sz w:val="21"/>
                      <w:szCs w:val="21"/>
                    </w:rPr>
                    <w:t>、BOD</w:t>
                  </w:r>
                  <w:r>
                    <w:rPr>
                      <w:color w:val="auto"/>
                      <w:sz w:val="21"/>
                      <w:szCs w:val="21"/>
                      <w:vertAlign w:val="subscript"/>
                    </w:rPr>
                    <w:t>5</w:t>
                  </w:r>
                  <w:r>
                    <w:rPr>
                      <w:color w:val="auto"/>
                      <w:sz w:val="21"/>
                      <w:szCs w:val="21"/>
                    </w:rPr>
                    <w:t>、SS、</w:t>
                  </w:r>
                  <w:r>
                    <w:rPr>
                      <w:rFonts w:hint="eastAsia"/>
                      <w:b w:val="0"/>
                      <w:bCs w:val="0"/>
                      <w:kern w:val="0"/>
                      <w:sz w:val="21"/>
                      <w:szCs w:val="21"/>
                    </w:rPr>
                    <w:t>NH</w:t>
                  </w:r>
                  <w:r>
                    <w:rPr>
                      <w:rFonts w:hint="eastAsia"/>
                      <w:b w:val="0"/>
                      <w:bCs w:val="0"/>
                      <w:kern w:val="0"/>
                      <w:sz w:val="21"/>
                      <w:szCs w:val="21"/>
                      <w:vertAlign w:val="subscript"/>
                    </w:rPr>
                    <w:t>3</w:t>
                  </w:r>
                  <w:r>
                    <w:rPr>
                      <w:rFonts w:hint="eastAsia"/>
                      <w:b w:val="0"/>
                      <w:bCs w:val="0"/>
                      <w:kern w:val="0"/>
                      <w:sz w:val="21"/>
                      <w:szCs w:val="21"/>
                    </w:rPr>
                    <w:t>-N</w:t>
                  </w:r>
                </w:p>
              </w:tc>
              <w:tc>
                <w:tcPr>
                  <w:tcW w:w="1035" w:type="dxa"/>
                  <w:vMerge w:val="restart"/>
                  <w:tcBorders>
                    <w:tl2br w:val="nil"/>
                    <w:tr2bl w:val="nil"/>
                  </w:tcBorders>
                  <w:noWrap w:val="0"/>
                  <w:vAlign w:val="center"/>
                </w:tcPr>
                <w:p>
                  <w:pPr>
                    <w:pStyle w:val="24"/>
                    <w:ind w:left="0" w:leftChars="0" w:firstLine="0" w:firstLineChars="0"/>
                    <w:jc w:val="center"/>
                    <w:rPr>
                      <w:color w:val="auto"/>
                      <w:sz w:val="21"/>
                      <w:szCs w:val="21"/>
                    </w:rPr>
                  </w:pPr>
                  <w:r>
                    <w:rPr>
                      <w:rFonts w:hint="default" w:ascii="Times New Roman" w:hAnsi="Times New Roman" w:eastAsia="宋体" w:cs="Times New Roman"/>
                      <w:color w:val="000000"/>
                      <w:kern w:val="0"/>
                      <w:sz w:val="21"/>
                      <w:szCs w:val="21"/>
                      <w:lang w:val="en-US" w:eastAsia="zh-CN" w:bidi="ar"/>
                    </w:rPr>
                    <w:t>达州市第二</w:t>
                  </w:r>
                  <w:r>
                    <w:rPr>
                      <w:rFonts w:hint="eastAsia" w:ascii="Times New Roman" w:hAnsi="Times New Roman" w:eastAsia="宋体" w:cs="Times New Roman"/>
                      <w:color w:val="000000"/>
                      <w:kern w:val="0"/>
                      <w:sz w:val="21"/>
                      <w:szCs w:val="21"/>
                      <w:lang w:val="en-US" w:eastAsia="zh-CN" w:bidi="ar"/>
                    </w:rPr>
                    <w:t>城市生活</w:t>
                  </w:r>
                  <w:r>
                    <w:rPr>
                      <w:rFonts w:hint="default" w:ascii="Times New Roman" w:hAnsi="Times New Roman" w:eastAsia="宋体" w:cs="Times New Roman"/>
                      <w:color w:val="000000"/>
                      <w:kern w:val="0"/>
                      <w:sz w:val="21"/>
                      <w:szCs w:val="21"/>
                      <w:lang w:val="en-US" w:eastAsia="zh-CN" w:bidi="ar"/>
                    </w:rPr>
                    <w:t>污水处理厂</w:t>
                  </w:r>
                </w:p>
              </w:tc>
              <w:tc>
                <w:tcPr>
                  <w:tcW w:w="675" w:type="dxa"/>
                  <w:vMerge w:val="restart"/>
                  <w:tcBorders>
                    <w:tl2br w:val="nil"/>
                    <w:tr2bl w:val="nil"/>
                  </w:tcBorders>
                  <w:noWrap w:val="0"/>
                  <w:vAlign w:val="center"/>
                </w:tcPr>
                <w:p>
                  <w:pPr>
                    <w:pStyle w:val="24"/>
                    <w:ind w:left="0" w:leftChars="0" w:firstLine="0" w:firstLineChars="0"/>
                    <w:jc w:val="center"/>
                    <w:rPr>
                      <w:color w:val="auto"/>
                      <w:sz w:val="21"/>
                      <w:szCs w:val="21"/>
                    </w:rPr>
                  </w:pPr>
                  <w:r>
                    <w:rPr>
                      <w:color w:val="auto"/>
                      <w:sz w:val="21"/>
                      <w:szCs w:val="21"/>
                    </w:rPr>
                    <w:t>间歇排放</w:t>
                  </w:r>
                </w:p>
              </w:tc>
              <w:tc>
                <w:tcPr>
                  <w:tcW w:w="930" w:type="dxa"/>
                  <w:tcBorders>
                    <w:tl2br w:val="nil"/>
                    <w:tr2bl w:val="nil"/>
                  </w:tcBorders>
                  <w:noWrap w:val="0"/>
                  <w:vAlign w:val="center"/>
                </w:tcPr>
                <w:p>
                  <w:pPr>
                    <w:pStyle w:val="24"/>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TW001-TW004</w:t>
                  </w:r>
                </w:p>
              </w:tc>
              <w:tc>
                <w:tcPr>
                  <w:tcW w:w="1090" w:type="dxa"/>
                  <w:tcBorders>
                    <w:tl2br w:val="nil"/>
                    <w:tr2bl w:val="nil"/>
                  </w:tcBorders>
                  <w:noWrap w:val="0"/>
                  <w:vAlign w:val="center"/>
                </w:tcPr>
                <w:p>
                  <w:pPr>
                    <w:pStyle w:val="24"/>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化粪池</w:t>
                  </w:r>
                </w:p>
              </w:tc>
              <w:tc>
                <w:tcPr>
                  <w:tcW w:w="840" w:type="dxa"/>
                  <w:tcBorders>
                    <w:tl2br w:val="nil"/>
                    <w:tr2bl w:val="nil"/>
                  </w:tcBorders>
                  <w:noWrap w:val="0"/>
                  <w:vAlign w:val="center"/>
                </w:tcPr>
                <w:p>
                  <w:pPr>
                    <w:pStyle w:val="24"/>
                    <w:ind w:left="0" w:leftChars="0" w:firstLine="0" w:firstLineChars="0"/>
                    <w:jc w:val="center"/>
                    <w:rPr>
                      <w:rFonts w:hint="eastAsia" w:eastAsia="宋体"/>
                      <w:color w:val="auto"/>
                      <w:sz w:val="21"/>
                      <w:szCs w:val="21"/>
                      <w:lang w:eastAsia="zh-CN"/>
                    </w:rPr>
                  </w:pPr>
                  <w:r>
                    <w:rPr>
                      <w:rFonts w:hint="eastAsia"/>
                      <w:color w:val="auto"/>
                      <w:sz w:val="21"/>
                      <w:szCs w:val="21"/>
                      <w:lang w:val="en-US" w:eastAsia="zh-CN"/>
                    </w:rPr>
                    <w:t>生物</w:t>
                  </w:r>
                  <w:r>
                    <w:rPr>
                      <w:rFonts w:hint="eastAsia"/>
                      <w:color w:val="auto"/>
                      <w:sz w:val="21"/>
                      <w:szCs w:val="21"/>
                      <w:lang w:eastAsia="zh-CN"/>
                    </w:rPr>
                    <w:t>厌氧</w:t>
                  </w:r>
                </w:p>
              </w:tc>
              <w:tc>
                <w:tcPr>
                  <w:tcW w:w="889" w:type="dxa"/>
                  <w:tcBorders>
                    <w:tl2br w:val="nil"/>
                    <w:tr2bl w:val="nil"/>
                  </w:tcBorders>
                  <w:noWrap w:val="0"/>
                  <w:vAlign w:val="center"/>
                </w:tcPr>
                <w:p>
                  <w:pPr>
                    <w:pStyle w:val="24"/>
                    <w:ind w:left="0" w:leftChars="0" w:firstLine="0" w:firstLineChars="0"/>
                    <w:jc w:val="center"/>
                    <w:rPr>
                      <w:color w:val="auto"/>
                      <w:sz w:val="21"/>
                      <w:szCs w:val="21"/>
                    </w:rPr>
                  </w:pPr>
                  <w:r>
                    <w:rPr>
                      <w:rFonts w:hint="eastAsia"/>
                      <w:color w:val="auto"/>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4" w:type="dxa"/>
                  <w:tcBorders>
                    <w:tl2br w:val="nil"/>
                    <w:tr2bl w:val="nil"/>
                  </w:tcBorders>
                  <w:noWrap w:val="0"/>
                  <w:vAlign w:val="center"/>
                </w:tcPr>
                <w:p>
                  <w:pPr>
                    <w:pStyle w:val="24"/>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720" w:type="dxa"/>
                  <w:tcBorders>
                    <w:tl2br w:val="nil"/>
                    <w:tr2bl w:val="nil"/>
                  </w:tcBorders>
                  <w:noWrap w:val="0"/>
                  <w:vAlign w:val="center"/>
                </w:tcPr>
                <w:p>
                  <w:pPr>
                    <w:pStyle w:val="24"/>
                    <w:ind w:left="0" w:leftChars="0" w:firstLine="0" w:firstLineChars="0"/>
                    <w:jc w:val="center"/>
                    <w:rPr>
                      <w:rFonts w:hint="eastAsia"/>
                      <w:color w:val="auto"/>
                      <w:sz w:val="21"/>
                      <w:szCs w:val="21"/>
                      <w:lang w:eastAsia="zh-CN"/>
                    </w:rPr>
                  </w:pPr>
                  <w:r>
                    <w:rPr>
                      <w:rFonts w:hint="eastAsia" w:eastAsia="宋体"/>
                      <w:kern w:val="0"/>
                      <w:sz w:val="21"/>
                      <w:szCs w:val="21"/>
                      <w:lang w:val="en-US" w:eastAsia="zh-CN" w:bidi="ar-SA"/>
                    </w:rPr>
                    <w:t>食堂废水</w:t>
                  </w:r>
                </w:p>
              </w:tc>
              <w:tc>
                <w:tcPr>
                  <w:tcW w:w="1635" w:type="dxa"/>
                  <w:tcBorders>
                    <w:tl2br w:val="nil"/>
                    <w:tr2bl w:val="nil"/>
                  </w:tcBorders>
                  <w:noWrap w:val="0"/>
                  <w:vAlign w:val="center"/>
                </w:tcPr>
                <w:p>
                  <w:pPr>
                    <w:pStyle w:val="24"/>
                    <w:ind w:left="0" w:leftChars="0" w:firstLine="0" w:firstLineChars="0"/>
                    <w:jc w:val="center"/>
                    <w:rPr>
                      <w:rFonts w:hint="default" w:eastAsia="宋体"/>
                      <w:color w:val="auto"/>
                      <w:sz w:val="21"/>
                      <w:szCs w:val="21"/>
                      <w:lang w:val="en-US" w:eastAsia="zh-CN"/>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r>
                    <w:rPr>
                      <w:color w:val="auto"/>
                      <w:sz w:val="21"/>
                      <w:szCs w:val="21"/>
                    </w:rPr>
                    <w:t>、BOD</w:t>
                  </w:r>
                  <w:r>
                    <w:rPr>
                      <w:color w:val="auto"/>
                      <w:sz w:val="21"/>
                      <w:szCs w:val="21"/>
                      <w:vertAlign w:val="subscript"/>
                    </w:rPr>
                    <w:t>5</w:t>
                  </w:r>
                  <w:r>
                    <w:rPr>
                      <w:color w:val="auto"/>
                      <w:sz w:val="21"/>
                      <w:szCs w:val="21"/>
                    </w:rPr>
                    <w:t>、SS、</w:t>
                  </w:r>
                  <w:r>
                    <w:rPr>
                      <w:rFonts w:hint="eastAsia"/>
                      <w:b w:val="0"/>
                      <w:bCs w:val="0"/>
                      <w:kern w:val="0"/>
                      <w:sz w:val="21"/>
                      <w:szCs w:val="21"/>
                    </w:rPr>
                    <w:t>NH</w:t>
                  </w:r>
                  <w:r>
                    <w:rPr>
                      <w:rFonts w:hint="eastAsia"/>
                      <w:b w:val="0"/>
                      <w:bCs w:val="0"/>
                      <w:kern w:val="0"/>
                      <w:sz w:val="21"/>
                      <w:szCs w:val="21"/>
                      <w:vertAlign w:val="subscript"/>
                    </w:rPr>
                    <w:t>3</w:t>
                  </w:r>
                  <w:r>
                    <w:rPr>
                      <w:rFonts w:hint="eastAsia"/>
                      <w:b w:val="0"/>
                      <w:bCs w:val="0"/>
                      <w:kern w:val="0"/>
                      <w:sz w:val="21"/>
                      <w:szCs w:val="21"/>
                    </w:rPr>
                    <w:t>-N</w:t>
                  </w:r>
                  <w:r>
                    <w:rPr>
                      <w:rFonts w:hint="eastAsia"/>
                      <w:b w:val="0"/>
                      <w:bCs w:val="0"/>
                      <w:kern w:val="0"/>
                      <w:sz w:val="21"/>
                      <w:szCs w:val="21"/>
                      <w:lang w:eastAsia="zh-CN"/>
                    </w:rPr>
                    <w:t>、</w:t>
                  </w:r>
                  <w:r>
                    <w:rPr>
                      <w:rFonts w:hint="eastAsia"/>
                      <w:b w:val="0"/>
                      <w:bCs w:val="0"/>
                      <w:kern w:val="0"/>
                      <w:sz w:val="21"/>
                      <w:szCs w:val="21"/>
                      <w:lang w:val="en-US" w:eastAsia="zh-CN"/>
                    </w:rPr>
                    <w:t>动植物油</w:t>
                  </w:r>
                </w:p>
              </w:tc>
              <w:tc>
                <w:tcPr>
                  <w:tcW w:w="1035" w:type="dxa"/>
                  <w:vMerge w:val="continue"/>
                  <w:tcBorders>
                    <w:tl2br w:val="nil"/>
                    <w:tr2bl w:val="nil"/>
                  </w:tcBorders>
                  <w:noWrap w:val="0"/>
                  <w:vAlign w:val="center"/>
                </w:tcPr>
                <w:p>
                  <w:pPr>
                    <w:pStyle w:val="24"/>
                    <w:ind w:left="0" w:leftChars="0" w:firstLine="0" w:firstLineChars="0"/>
                    <w:jc w:val="center"/>
                    <w:rPr>
                      <w:rFonts w:hint="eastAsia" w:ascii="Times New Roman" w:hAnsi="Times New Roman" w:cs="Times New Roman"/>
                      <w:color w:val="auto"/>
                      <w:sz w:val="21"/>
                      <w:szCs w:val="21"/>
                      <w:lang w:eastAsia="zh-CN"/>
                    </w:rPr>
                  </w:pPr>
                </w:p>
              </w:tc>
              <w:tc>
                <w:tcPr>
                  <w:tcW w:w="675"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930" w:type="dxa"/>
                  <w:tcBorders>
                    <w:tl2br w:val="nil"/>
                    <w:tr2bl w:val="nil"/>
                  </w:tcBorders>
                  <w:noWrap w:val="0"/>
                  <w:vAlign w:val="center"/>
                </w:tcPr>
                <w:p>
                  <w:pPr>
                    <w:pStyle w:val="24"/>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TW005</w:t>
                  </w:r>
                </w:p>
              </w:tc>
              <w:tc>
                <w:tcPr>
                  <w:tcW w:w="1090" w:type="dxa"/>
                  <w:tcBorders>
                    <w:tl2br w:val="nil"/>
                    <w:tr2bl w:val="nil"/>
                  </w:tcBorders>
                  <w:noWrap w:val="0"/>
                  <w:vAlign w:val="center"/>
                </w:tcPr>
                <w:p>
                  <w:pPr>
                    <w:pStyle w:val="24"/>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隔油池</w:t>
                  </w:r>
                </w:p>
              </w:tc>
              <w:tc>
                <w:tcPr>
                  <w:tcW w:w="840" w:type="dxa"/>
                  <w:tcBorders>
                    <w:tl2br w:val="nil"/>
                    <w:tr2bl w:val="nil"/>
                  </w:tcBorders>
                  <w:noWrap w:val="0"/>
                  <w:vAlign w:val="center"/>
                </w:tcPr>
                <w:p>
                  <w:pPr>
                    <w:pStyle w:val="24"/>
                    <w:ind w:left="0" w:leftChars="0" w:firstLine="0" w:firstLineChars="0"/>
                    <w:jc w:val="center"/>
                    <w:rPr>
                      <w:rFonts w:hint="eastAsia"/>
                      <w:color w:val="auto"/>
                      <w:sz w:val="21"/>
                      <w:szCs w:val="21"/>
                      <w:lang w:eastAsia="zh-CN"/>
                    </w:rPr>
                  </w:pPr>
                  <w:r>
                    <w:rPr>
                      <w:rFonts w:hint="eastAsia" w:ascii="宋体" w:hAnsi="宋体" w:eastAsia="宋体" w:cs="宋体"/>
                      <w:color w:val="000000"/>
                      <w:kern w:val="0"/>
                      <w:sz w:val="21"/>
                      <w:szCs w:val="21"/>
                      <w:lang w:val="en-US" w:eastAsia="zh-CN" w:bidi="ar"/>
                    </w:rPr>
                    <w:t>隔油</w:t>
                  </w:r>
                </w:p>
              </w:tc>
              <w:tc>
                <w:tcPr>
                  <w:tcW w:w="889" w:type="dxa"/>
                  <w:tcBorders>
                    <w:tl2br w:val="nil"/>
                    <w:tr2bl w:val="nil"/>
                  </w:tcBorders>
                  <w:noWrap w:val="0"/>
                  <w:vAlign w:val="center"/>
                </w:tcPr>
                <w:p>
                  <w:pPr>
                    <w:pStyle w:val="24"/>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4" w:type="dxa"/>
                  <w:tcBorders>
                    <w:tl2br w:val="nil"/>
                    <w:tr2bl w:val="nil"/>
                  </w:tcBorders>
                  <w:noWrap w:val="0"/>
                  <w:vAlign w:val="center"/>
                </w:tcPr>
                <w:p>
                  <w:pPr>
                    <w:pStyle w:val="24"/>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3</w:t>
                  </w:r>
                </w:p>
              </w:tc>
              <w:tc>
                <w:tcPr>
                  <w:tcW w:w="720" w:type="dxa"/>
                  <w:tcBorders>
                    <w:tl2br w:val="nil"/>
                    <w:tr2bl w:val="nil"/>
                  </w:tcBorders>
                  <w:noWrap w:val="0"/>
                  <w:vAlign w:val="center"/>
                </w:tcPr>
                <w:p>
                  <w:pPr>
                    <w:pStyle w:val="24"/>
                    <w:ind w:left="0" w:leftChars="0" w:firstLine="0" w:firstLineChars="0"/>
                    <w:jc w:val="center"/>
                    <w:rPr>
                      <w:rFonts w:hint="default" w:eastAsia="宋体"/>
                      <w:kern w:val="0"/>
                      <w:sz w:val="21"/>
                      <w:szCs w:val="21"/>
                      <w:lang w:val="en-US" w:eastAsia="zh-CN" w:bidi="ar-SA"/>
                    </w:rPr>
                  </w:pPr>
                  <w:r>
                    <w:rPr>
                      <w:rFonts w:hint="eastAsia" w:eastAsia="宋体"/>
                      <w:kern w:val="0"/>
                      <w:sz w:val="21"/>
                      <w:szCs w:val="21"/>
                      <w:lang w:val="en-US" w:eastAsia="zh-CN" w:bidi="ar-SA"/>
                    </w:rPr>
                    <w:t>实验废水</w:t>
                  </w:r>
                </w:p>
              </w:tc>
              <w:tc>
                <w:tcPr>
                  <w:tcW w:w="1635" w:type="dxa"/>
                  <w:tcBorders>
                    <w:tl2br w:val="nil"/>
                    <w:tr2bl w:val="nil"/>
                  </w:tcBorders>
                  <w:noWrap w:val="0"/>
                  <w:vAlign w:val="center"/>
                </w:tcPr>
                <w:p>
                  <w:pPr>
                    <w:pStyle w:val="24"/>
                    <w:ind w:left="0" w:leftChars="0" w:firstLine="0" w:firstLineChars="0"/>
                    <w:jc w:val="center"/>
                    <w:rPr>
                      <w:color w:val="auto"/>
                      <w:sz w:val="21"/>
                      <w:szCs w:val="21"/>
                    </w:rPr>
                  </w:pPr>
                  <w:r>
                    <w:rPr>
                      <w:rFonts w:hint="eastAsia" w:ascii="Times New Roman" w:hAnsi="Times New Roman" w:cs="Times New Roman"/>
                      <w:color w:val="auto"/>
                      <w:sz w:val="21"/>
                      <w:szCs w:val="21"/>
                      <w:highlight w:val="none"/>
                      <w:lang w:val="en-US" w:eastAsia="zh-CN"/>
                    </w:rPr>
                    <w:t>pH、</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r>
                    <w:rPr>
                      <w:color w:val="auto"/>
                      <w:sz w:val="21"/>
                      <w:szCs w:val="21"/>
                    </w:rPr>
                    <w:t>、BOD</w:t>
                  </w:r>
                  <w:r>
                    <w:rPr>
                      <w:color w:val="auto"/>
                      <w:sz w:val="21"/>
                      <w:szCs w:val="21"/>
                      <w:vertAlign w:val="subscript"/>
                    </w:rPr>
                    <w:t>5</w:t>
                  </w:r>
                  <w:r>
                    <w:rPr>
                      <w:color w:val="auto"/>
                      <w:sz w:val="21"/>
                      <w:szCs w:val="21"/>
                    </w:rPr>
                    <w:t>、SS、</w:t>
                  </w:r>
                  <w:r>
                    <w:rPr>
                      <w:rFonts w:hint="eastAsia"/>
                      <w:b w:val="0"/>
                      <w:bCs w:val="0"/>
                      <w:kern w:val="0"/>
                      <w:sz w:val="21"/>
                      <w:szCs w:val="21"/>
                    </w:rPr>
                    <w:t>NH</w:t>
                  </w:r>
                  <w:r>
                    <w:rPr>
                      <w:rFonts w:hint="eastAsia"/>
                      <w:b w:val="0"/>
                      <w:bCs w:val="0"/>
                      <w:kern w:val="0"/>
                      <w:sz w:val="21"/>
                      <w:szCs w:val="21"/>
                      <w:vertAlign w:val="subscript"/>
                    </w:rPr>
                    <w:t>3</w:t>
                  </w:r>
                  <w:r>
                    <w:rPr>
                      <w:rFonts w:hint="eastAsia"/>
                      <w:b w:val="0"/>
                      <w:bCs w:val="0"/>
                      <w:kern w:val="0"/>
                      <w:sz w:val="21"/>
                      <w:szCs w:val="21"/>
                    </w:rPr>
                    <w:t>-N</w:t>
                  </w:r>
                </w:p>
              </w:tc>
              <w:tc>
                <w:tcPr>
                  <w:tcW w:w="1035" w:type="dxa"/>
                  <w:vMerge w:val="continue"/>
                  <w:tcBorders>
                    <w:tl2br w:val="nil"/>
                    <w:tr2bl w:val="nil"/>
                  </w:tcBorders>
                  <w:noWrap w:val="0"/>
                  <w:vAlign w:val="center"/>
                </w:tcPr>
                <w:p>
                  <w:pPr>
                    <w:pStyle w:val="24"/>
                    <w:ind w:left="0" w:leftChars="0" w:firstLine="0" w:firstLineChars="0"/>
                    <w:jc w:val="center"/>
                    <w:rPr>
                      <w:rFonts w:hint="eastAsia" w:ascii="Times New Roman" w:hAnsi="Times New Roman" w:cs="Times New Roman"/>
                      <w:color w:val="auto"/>
                      <w:sz w:val="21"/>
                      <w:szCs w:val="21"/>
                      <w:lang w:eastAsia="zh-CN"/>
                    </w:rPr>
                  </w:pPr>
                </w:p>
              </w:tc>
              <w:tc>
                <w:tcPr>
                  <w:tcW w:w="675" w:type="dxa"/>
                  <w:vMerge w:val="continue"/>
                  <w:tcBorders>
                    <w:tl2br w:val="nil"/>
                    <w:tr2bl w:val="nil"/>
                  </w:tcBorders>
                  <w:noWrap w:val="0"/>
                  <w:vAlign w:val="center"/>
                </w:tcPr>
                <w:p>
                  <w:pPr>
                    <w:pStyle w:val="24"/>
                    <w:ind w:left="0" w:leftChars="0" w:firstLine="0" w:firstLineChars="0"/>
                    <w:jc w:val="center"/>
                    <w:rPr>
                      <w:color w:val="auto"/>
                      <w:sz w:val="21"/>
                      <w:szCs w:val="21"/>
                    </w:rPr>
                  </w:pPr>
                </w:p>
              </w:tc>
              <w:tc>
                <w:tcPr>
                  <w:tcW w:w="930" w:type="dxa"/>
                  <w:tcBorders>
                    <w:tl2br w:val="nil"/>
                    <w:tr2bl w:val="nil"/>
                  </w:tcBorders>
                  <w:noWrap w:val="0"/>
                  <w:vAlign w:val="center"/>
                </w:tcPr>
                <w:p>
                  <w:pPr>
                    <w:pStyle w:val="24"/>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TW006</w:t>
                  </w:r>
                </w:p>
              </w:tc>
              <w:tc>
                <w:tcPr>
                  <w:tcW w:w="1090" w:type="dxa"/>
                  <w:tcBorders>
                    <w:tl2br w:val="nil"/>
                    <w:tr2bl w:val="nil"/>
                  </w:tcBorders>
                  <w:noWrap w:val="0"/>
                  <w:vAlign w:val="center"/>
                </w:tcPr>
                <w:p>
                  <w:pPr>
                    <w:pStyle w:val="24"/>
                    <w:ind w:left="0" w:leftChars="0"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中和池</w:t>
                  </w:r>
                </w:p>
              </w:tc>
              <w:tc>
                <w:tcPr>
                  <w:tcW w:w="840" w:type="dxa"/>
                  <w:tcBorders>
                    <w:tl2br w:val="nil"/>
                    <w:tr2bl w:val="nil"/>
                  </w:tcBorders>
                  <w:noWrap w:val="0"/>
                  <w:vAlign w:val="center"/>
                </w:tcPr>
                <w:p>
                  <w:pPr>
                    <w:pStyle w:val="24"/>
                    <w:ind w:left="0" w:leftChars="0"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酸碱中和</w:t>
                  </w:r>
                </w:p>
              </w:tc>
              <w:tc>
                <w:tcPr>
                  <w:tcW w:w="889" w:type="dxa"/>
                  <w:tcBorders>
                    <w:tl2br w:val="nil"/>
                    <w:tr2bl w:val="nil"/>
                  </w:tcBorders>
                  <w:noWrap w:val="0"/>
                  <w:vAlign w:val="center"/>
                </w:tcPr>
                <w:p>
                  <w:pPr>
                    <w:pStyle w:val="24"/>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是</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②排放口基本信息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eastAsia"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w:t>
            </w:r>
            <w:r>
              <w:rPr>
                <w:rFonts w:hint="eastAsia" w:ascii="Times New Roman" w:hAnsi="Times New Roman" w:eastAsia="黑体" w:cs="Times New Roman"/>
                <w:b w:val="0"/>
                <w:bCs/>
                <w:sz w:val="21"/>
                <w:szCs w:val="21"/>
                <w:lang w:val="en-US" w:eastAsia="zh-CN"/>
              </w:rPr>
              <w:t>7 排放口基本情况表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33"/>
              <w:gridCol w:w="658"/>
              <w:gridCol w:w="917"/>
              <w:gridCol w:w="645"/>
              <w:gridCol w:w="885"/>
              <w:gridCol w:w="885"/>
              <w:gridCol w:w="840"/>
              <w:gridCol w:w="2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9" w:type="pct"/>
                  <w:vMerge w:val="restar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bidi="ar-SA"/>
                    </w:rPr>
                  </w:pPr>
                  <w:r>
                    <w:rPr>
                      <w:rFonts w:hint="eastAsia" w:eastAsia="宋体"/>
                      <w:b/>
                      <w:bCs/>
                      <w:kern w:val="0"/>
                      <w:sz w:val="21"/>
                      <w:szCs w:val="21"/>
                      <w:lang w:val="en-US" w:eastAsia="zh-CN" w:bidi="ar-SA"/>
                    </w:rPr>
                    <w:t>产污环节</w:t>
                  </w:r>
                </w:p>
              </w:tc>
              <w:tc>
                <w:tcPr>
                  <w:tcW w:w="438" w:type="pct"/>
                  <w:vMerge w:val="restar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bidi="ar-SA"/>
                    </w:rPr>
                  </w:pPr>
                  <w:r>
                    <w:rPr>
                      <w:rFonts w:hint="eastAsia" w:eastAsia="宋体"/>
                      <w:b/>
                      <w:bCs/>
                      <w:kern w:val="0"/>
                      <w:sz w:val="21"/>
                      <w:szCs w:val="21"/>
                      <w:lang w:val="en-US" w:eastAsia="zh-CN" w:bidi="ar-SA"/>
                    </w:rPr>
                    <w:t>类别</w:t>
                  </w:r>
                </w:p>
              </w:tc>
              <w:tc>
                <w:tcPr>
                  <w:tcW w:w="393" w:type="pct"/>
                  <w:vMerge w:val="restar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eastAsia="宋体"/>
                      <w:b/>
                      <w:bCs/>
                      <w:kern w:val="0"/>
                      <w:sz w:val="21"/>
                      <w:szCs w:val="21"/>
                      <w:lang w:val="en-US" w:eastAsia="zh-CN"/>
                    </w:rPr>
                    <w:t>排放方式</w:t>
                  </w:r>
                </w:p>
              </w:tc>
              <w:tc>
                <w:tcPr>
                  <w:tcW w:w="549" w:type="pct"/>
                  <w:vMerge w:val="restart"/>
                  <w:tcBorders>
                    <w:tl2br w:val="nil"/>
                    <w:tr2bl w:val="nil"/>
                  </w:tcBorders>
                  <w:noWrap w:val="0"/>
                  <w:vAlign w:val="center"/>
                </w:tcPr>
                <w:p>
                  <w:pPr>
                    <w:adjustRightInd w:val="0"/>
                    <w:snapToGrid w:val="0"/>
                    <w:spacing w:line="25" w:lineRule="atLeast"/>
                    <w:jc w:val="center"/>
                    <w:rPr>
                      <w:rFonts w:hint="default" w:eastAsia="宋体"/>
                      <w:b/>
                      <w:bCs/>
                      <w:kern w:val="0"/>
                      <w:sz w:val="21"/>
                      <w:szCs w:val="21"/>
                      <w:vertAlign w:val="superscript"/>
                      <w:lang w:val="en-US" w:eastAsia="zh-CN"/>
                    </w:rPr>
                  </w:pPr>
                  <w:r>
                    <w:rPr>
                      <w:rFonts w:hint="eastAsia" w:eastAsia="宋体"/>
                      <w:b/>
                      <w:bCs/>
                      <w:kern w:val="0"/>
                      <w:sz w:val="21"/>
                      <w:szCs w:val="21"/>
                      <w:vertAlign w:val="baseline"/>
                      <w:lang w:val="en-US" w:eastAsia="zh-CN"/>
                    </w:rPr>
                    <w:t>排放去向</w:t>
                  </w:r>
                </w:p>
              </w:tc>
              <w:tc>
                <w:tcPr>
                  <w:tcW w:w="386" w:type="pct"/>
                  <w:vMerge w:val="restart"/>
                  <w:tcBorders>
                    <w:tl2br w:val="nil"/>
                    <w:tr2bl w:val="nil"/>
                  </w:tcBorders>
                  <w:noWrap w:val="0"/>
                  <w:vAlign w:val="center"/>
                </w:tcPr>
                <w:p>
                  <w:pPr>
                    <w:adjustRightInd w:val="0"/>
                    <w:snapToGrid w:val="0"/>
                    <w:spacing w:line="25" w:lineRule="atLeast"/>
                    <w:jc w:val="center"/>
                    <w:rPr>
                      <w:rFonts w:hint="default" w:eastAsia="宋体"/>
                      <w:b/>
                      <w:bCs/>
                      <w:kern w:val="0"/>
                      <w:sz w:val="21"/>
                      <w:szCs w:val="21"/>
                      <w:vertAlign w:val="baseline"/>
                      <w:lang w:val="en-US" w:eastAsia="zh-CN"/>
                    </w:rPr>
                  </w:pPr>
                  <w:r>
                    <w:rPr>
                      <w:rFonts w:hint="eastAsia" w:eastAsia="宋体"/>
                      <w:b/>
                      <w:bCs/>
                      <w:kern w:val="0"/>
                      <w:sz w:val="21"/>
                      <w:szCs w:val="21"/>
                      <w:vertAlign w:val="baseline"/>
                      <w:lang w:val="en-US" w:eastAsia="zh-CN"/>
                    </w:rPr>
                    <w:t>排放规律</w:t>
                  </w:r>
                </w:p>
              </w:tc>
              <w:tc>
                <w:tcPr>
                  <w:tcW w:w="2802" w:type="pct"/>
                  <w:gridSpan w:val="4"/>
                  <w:tcBorders>
                    <w:tl2br w:val="nil"/>
                    <w:tr2bl w:val="nil"/>
                  </w:tcBorders>
                  <w:noWrap w:val="0"/>
                  <w:vAlign w:val="center"/>
                </w:tcPr>
                <w:p>
                  <w:pPr>
                    <w:adjustRightInd w:val="0"/>
                    <w:snapToGrid w:val="0"/>
                    <w:spacing w:line="25" w:lineRule="atLeast"/>
                    <w:jc w:val="center"/>
                    <w:rPr>
                      <w:rFonts w:hint="eastAsia" w:eastAsia="宋体"/>
                      <w:b/>
                      <w:bCs/>
                      <w:kern w:val="0"/>
                      <w:sz w:val="21"/>
                      <w:szCs w:val="21"/>
                      <w:vertAlign w:val="baseline"/>
                      <w:lang w:val="en-US" w:eastAsia="zh-CN"/>
                    </w:rPr>
                  </w:pPr>
                  <w:r>
                    <w:rPr>
                      <w:rFonts w:hint="eastAsia" w:eastAsia="宋体"/>
                      <w:b/>
                      <w:bCs/>
                      <w:kern w:val="0"/>
                      <w:sz w:val="21"/>
                      <w:szCs w:val="21"/>
                      <w:vertAlign w:val="baseline"/>
                      <w:lang w:val="en-US" w:eastAsia="zh-CN"/>
                    </w:rPr>
                    <w:t>排放口情况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9" w:type="pct"/>
                  <w:vMerge w:val="continue"/>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p>
              </w:tc>
              <w:tc>
                <w:tcPr>
                  <w:tcW w:w="438" w:type="pct"/>
                  <w:vMerge w:val="continue"/>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p>
              </w:tc>
              <w:tc>
                <w:tcPr>
                  <w:tcW w:w="393" w:type="pct"/>
                  <w:vMerge w:val="continue"/>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p>
              </w:tc>
              <w:tc>
                <w:tcPr>
                  <w:tcW w:w="54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386"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29" w:type="pct"/>
                  <w:tcBorders>
                    <w:tl2br w:val="nil"/>
                    <w:tr2bl w:val="nil"/>
                  </w:tcBorders>
                  <w:noWrap w:val="0"/>
                  <w:vAlign w:val="center"/>
                </w:tcPr>
                <w:p>
                  <w:pPr>
                    <w:bidi w:val="0"/>
                    <w:jc w:val="center"/>
                    <w:rPr>
                      <w:rFonts w:hint="default"/>
                      <w:b/>
                      <w:bCs/>
                      <w:kern w:val="2"/>
                      <w:sz w:val="21"/>
                      <w:szCs w:val="21"/>
                      <w:lang w:val="en-US" w:eastAsia="zh-CN" w:bidi="ar-SA"/>
                    </w:rPr>
                  </w:pPr>
                  <w:r>
                    <w:rPr>
                      <w:rFonts w:hint="eastAsia"/>
                      <w:b/>
                      <w:bCs/>
                      <w:kern w:val="2"/>
                      <w:sz w:val="21"/>
                      <w:szCs w:val="21"/>
                      <w:lang w:val="en-US" w:eastAsia="zh-CN" w:bidi="ar-SA"/>
                    </w:rPr>
                    <w:t>编号</w:t>
                  </w:r>
                </w:p>
              </w:tc>
              <w:tc>
                <w:tcPr>
                  <w:tcW w:w="529" w:type="pct"/>
                  <w:tcBorders>
                    <w:tl2br w:val="nil"/>
                    <w:tr2bl w:val="nil"/>
                  </w:tcBorders>
                  <w:noWrap w:val="0"/>
                  <w:vAlign w:val="center"/>
                </w:tcPr>
                <w:p>
                  <w:pPr>
                    <w:keepNext w:val="0"/>
                    <w:keepLines w:val="0"/>
                    <w:widowControl/>
                    <w:suppressLineNumbers w:val="0"/>
                    <w:jc w:val="center"/>
                    <w:rPr>
                      <w:rFonts w:hint="default" w:eastAsia="宋体"/>
                      <w:b/>
                      <w:bCs/>
                      <w:kern w:val="0"/>
                      <w:sz w:val="21"/>
                      <w:szCs w:val="21"/>
                      <w:vertAlign w:val="baseline"/>
                      <w:lang w:val="en-US" w:eastAsia="zh-CN"/>
                    </w:rPr>
                  </w:pPr>
                  <w:r>
                    <w:rPr>
                      <w:rFonts w:hint="eastAsia" w:eastAsia="宋体"/>
                      <w:b/>
                      <w:bCs/>
                      <w:kern w:val="0"/>
                      <w:sz w:val="21"/>
                      <w:szCs w:val="21"/>
                      <w:vertAlign w:val="baseline"/>
                      <w:lang w:val="en-US" w:eastAsia="zh-CN"/>
                    </w:rPr>
                    <w:t>名称</w:t>
                  </w:r>
                </w:p>
              </w:tc>
              <w:tc>
                <w:tcPr>
                  <w:tcW w:w="502" w:type="pct"/>
                  <w:tcBorders>
                    <w:tl2br w:val="nil"/>
                    <w:tr2bl w:val="nil"/>
                  </w:tcBorders>
                  <w:noWrap w:val="0"/>
                  <w:vAlign w:val="center"/>
                </w:tcPr>
                <w:p>
                  <w:pPr>
                    <w:keepNext w:val="0"/>
                    <w:keepLines w:val="0"/>
                    <w:widowControl/>
                    <w:suppressLineNumbers w:val="0"/>
                    <w:jc w:val="center"/>
                    <w:rPr>
                      <w:rFonts w:hint="default" w:eastAsia="宋体"/>
                      <w:b/>
                      <w:bCs/>
                      <w:kern w:val="0"/>
                      <w:sz w:val="21"/>
                      <w:szCs w:val="21"/>
                      <w:vertAlign w:val="baseline"/>
                      <w:lang w:val="en-US" w:eastAsia="zh-CN"/>
                    </w:rPr>
                  </w:pPr>
                  <w:r>
                    <w:rPr>
                      <w:rFonts w:hint="eastAsia" w:eastAsia="宋体"/>
                      <w:b/>
                      <w:bCs/>
                      <w:kern w:val="0"/>
                      <w:sz w:val="21"/>
                      <w:szCs w:val="21"/>
                      <w:vertAlign w:val="baseline"/>
                      <w:lang w:val="en-US" w:eastAsia="zh-CN"/>
                    </w:rPr>
                    <w:t>类型</w:t>
                  </w:r>
                </w:p>
              </w:tc>
              <w:tc>
                <w:tcPr>
                  <w:tcW w:w="1239" w:type="pct"/>
                  <w:tcBorders>
                    <w:tl2br w:val="nil"/>
                    <w:tr2bl w:val="nil"/>
                  </w:tcBorders>
                  <w:noWrap w:val="0"/>
                  <w:vAlign w:val="center"/>
                </w:tcPr>
                <w:p>
                  <w:pPr>
                    <w:keepNext w:val="0"/>
                    <w:keepLines w:val="0"/>
                    <w:widowControl/>
                    <w:suppressLineNumbers w:val="0"/>
                    <w:jc w:val="center"/>
                    <w:rPr>
                      <w:rFonts w:hint="default" w:eastAsia="宋体"/>
                      <w:b/>
                      <w:bCs/>
                      <w:kern w:val="0"/>
                      <w:sz w:val="21"/>
                      <w:szCs w:val="21"/>
                      <w:vertAlign w:val="baseline"/>
                      <w:lang w:val="en-US" w:eastAsia="zh-CN"/>
                    </w:rPr>
                  </w:pPr>
                  <w:r>
                    <w:rPr>
                      <w:rFonts w:hint="eastAsia" w:eastAsia="宋体"/>
                      <w:b/>
                      <w:bCs/>
                      <w:kern w:val="0"/>
                      <w:sz w:val="21"/>
                      <w:szCs w:val="21"/>
                      <w:vertAlign w:val="baseline"/>
                      <w:lang w:val="en-US" w:eastAsia="zh-CN"/>
                    </w:rPr>
                    <w:t>坐标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9"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学校师生</w:t>
                  </w:r>
                </w:p>
              </w:tc>
              <w:tc>
                <w:tcPr>
                  <w:tcW w:w="438"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生活污水</w:t>
                  </w:r>
                </w:p>
              </w:tc>
              <w:tc>
                <w:tcPr>
                  <w:tcW w:w="393" w:type="pct"/>
                  <w:vMerge w:val="restar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间接排放</w:t>
                  </w:r>
                </w:p>
              </w:tc>
              <w:tc>
                <w:tcPr>
                  <w:tcW w:w="549"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达州市第二</w:t>
                  </w:r>
                  <w:r>
                    <w:rPr>
                      <w:rFonts w:hint="eastAsia" w:ascii="Times New Roman" w:hAnsi="Times New Roman" w:eastAsia="宋体" w:cs="Times New Roman"/>
                      <w:color w:val="000000"/>
                      <w:kern w:val="0"/>
                      <w:sz w:val="21"/>
                      <w:szCs w:val="21"/>
                      <w:lang w:val="en-US" w:eastAsia="zh-CN" w:bidi="ar"/>
                    </w:rPr>
                    <w:t>城市生活</w:t>
                  </w:r>
                  <w:r>
                    <w:rPr>
                      <w:rFonts w:hint="default" w:ascii="Times New Roman" w:hAnsi="Times New Roman" w:eastAsia="宋体" w:cs="Times New Roman"/>
                      <w:color w:val="000000"/>
                      <w:kern w:val="0"/>
                      <w:sz w:val="21"/>
                      <w:szCs w:val="21"/>
                      <w:lang w:val="en-US" w:eastAsia="zh-CN" w:bidi="ar"/>
                    </w:rPr>
                    <w:t>污水处理厂</w:t>
                  </w:r>
                </w:p>
              </w:tc>
              <w:tc>
                <w:tcPr>
                  <w:tcW w:w="386"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eastAsia"/>
                      <w:color w:val="auto"/>
                      <w:sz w:val="21"/>
                      <w:szCs w:val="21"/>
                      <w:lang w:val="en-US" w:eastAsia="zh-CN"/>
                    </w:rPr>
                    <w:t>连续</w:t>
                  </w:r>
                  <w:r>
                    <w:rPr>
                      <w:color w:val="auto"/>
                      <w:sz w:val="21"/>
                      <w:szCs w:val="21"/>
                    </w:rPr>
                    <w:t>排放</w:t>
                  </w:r>
                </w:p>
              </w:tc>
              <w:tc>
                <w:tcPr>
                  <w:tcW w:w="529"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eastAsia" w:eastAsia="宋体"/>
                      <w:kern w:val="0"/>
                      <w:sz w:val="21"/>
                      <w:szCs w:val="21"/>
                      <w:vertAlign w:val="baseline"/>
                      <w:lang w:val="en-US" w:eastAsia="zh-CN"/>
                    </w:rPr>
                    <w:t>DW001</w:t>
                  </w:r>
                </w:p>
              </w:tc>
              <w:tc>
                <w:tcPr>
                  <w:tcW w:w="529"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eastAsia" w:eastAsia="宋体"/>
                      <w:kern w:val="0"/>
                      <w:sz w:val="21"/>
                      <w:szCs w:val="21"/>
                      <w:vertAlign w:val="baseline"/>
                      <w:lang w:val="en-US" w:eastAsia="zh-CN"/>
                    </w:rPr>
                    <w:t>废水总排口</w:t>
                  </w:r>
                </w:p>
              </w:tc>
              <w:tc>
                <w:tcPr>
                  <w:tcW w:w="502"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eastAsia" w:eastAsia="宋体"/>
                      <w:kern w:val="0"/>
                      <w:sz w:val="21"/>
                      <w:szCs w:val="21"/>
                      <w:vertAlign w:val="baseline"/>
                      <w:lang w:val="en-US" w:eastAsia="zh-CN"/>
                    </w:rPr>
                    <w:t>一般排放口</w:t>
                  </w:r>
                </w:p>
              </w:tc>
              <w:tc>
                <w:tcPr>
                  <w:tcW w:w="1239" w:type="pct"/>
                  <w:vMerge w:val="restart"/>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r>
                    <w:rPr>
                      <w:rFonts w:hint="eastAsia" w:eastAsia="宋体"/>
                      <w:kern w:val="0"/>
                      <w:sz w:val="21"/>
                      <w:szCs w:val="21"/>
                      <w:vertAlign w:val="baseline"/>
                      <w:lang w:val="en-US" w:eastAsia="zh-CN"/>
                    </w:rPr>
                    <w:t>东经：107.538002°北纬：31.281180°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9"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食堂用水</w:t>
                  </w:r>
                </w:p>
              </w:tc>
              <w:tc>
                <w:tcPr>
                  <w:tcW w:w="438"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食堂废水</w:t>
                  </w:r>
                </w:p>
              </w:tc>
              <w:tc>
                <w:tcPr>
                  <w:tcW w:w="393" w:type="pct"/>
                  <w:vMerge w:val="continue"/>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p>
              </w:tc>
              <w:tc>
                <w:tcPr>
                  <w:tcW w:w="54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386"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2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2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02"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123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9"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实验用水</w:t>
                  </w:r>
                </w:p>
              </w:tc>
              <w:tc>
                <w:tcPr>
                  <w:tcW w:w="438"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eastAsia="宋体"/>
                      <w:kern w:val="0"/>
                      <w:sz w:val="21"/>
                      <w:szCs w:val="21"/>
                      <w:lang w:val="en-US" w:eastAsia="zh-CN" w:bidi="ar-SA"/>
                    </w:rPr>
                    <w:t>实验废水</w:t>
                  </w:r>
                </w:p>
              </w:tc>
              <w:tc>
                <w:tcPr>
                  <w:tcW w:w="393" w:type="pct"/>
                  <w:vMerge w:val="continue"/>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p>
              </w:tc>
              <w:tc>
                <w:tcPr>
                  <w:tcW w:w="54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386"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2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2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502"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c>
                <w:tcPr>
                  <w:tcW w:w="1239" w:type="pct"/>
                  <w:vMerge w:val="continue"/>
                  <w:tcBorders>
                    <w:tl2br w:val="nil"/>
                    <w:tr2bl w:val="nil"/>
                  </w:tcBorders>
                  <w:noWrap w:val="0"/>
                  <w:vAlign w:val="center"/>
                </w:tcPr>
                <w:p>
                  <w:pPr>
                    <w:keepNext w:val="0"/>
                    <w:keepLines w:val="0"/>
                    <w:widowControl/>
                    <w:suppressLineNumbers w:val="0"/>
                    <w:jc w:val="center"/>
                    <w:rPr>
                      <w:rFonts w:hint="default" w:eastAsia="宋体"/>
                      <w:kern w:val="0"/>
                      <w:sz w:val="21"/>
                      <w:szCs w:val="21"/>
                      <w:vertAlign w:val="baseline"/>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color w:val="auto"/>
              </w:rPr>
            </w:pPr>
            <w:r>
              <w:rPr>
                <w:rFonts w:hint="default" w:ascii="Times New Roman" w:hAnsi="Times New Roman" w:eastAsia="宋体" w:cs="Times New Roman"/>
                <w:b/>
                <w:bCs/>
                <w:color w:val="auto"/>
                <w:kern w:val="0"/>
                <w:sz w:val="24"/>
                <w:szCs w:val="24"/>
                <w:lang w:val="en-US" w:eastAsia="zh-CN" w:bidi="ar"/>
              </w:rPr>
              <w:t>4、依托污水处理设施的环境可行性评价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sz w:val="24"/>
                <w:szCs w:val="24"/>
              </w:rPr>
              <w:t>达州市第二污水处理厂</w:t>
            </w:r>
            <w:r>
              <w:rPr>
                <w:rFonts w:hint="default" w:ascii="Times New Roman" w:hAnsi="Times New Roman" w:eastAsia="宋体" w:cs="Times New Roman"/>
                <w:color w:val="000000"/>
                <w:kern w:val="0"/>
                <w:sz w:val="24"/>
                <w:szCs w:val="24"/>
                <w:lang w:val="en-US" w:eastAsia="zh-CN" w:bidi="ar"/>
              </w:rPr>
              <w:t>位于达州市天然气能源化工产业园区周家坝，</w:t>
            </w:r>
            <w:r>
              <w:rPr>
                <w:rFonts w:hint="default" w:ascii="Times New Roman" w:hAnsi="Times New Roman" w:eastAsia="宋体" w:cs="Times New Roman"/>
                <w:sz w:val="24"/>
                <w:szCs w:val="24"/>
                <w:lang w:val="en-US" w:eastAsia="zh-CN"/>
              </w:rPr>
              <w:t>设计总规模为</w:t>
            </w:r>
            <w:r>
              <w:rPr>
                <w:rFonts w:hint="default" w:ascii="Times New Roman" w:hAnsi="Times New Roman" w:cs="Times New Roman"/>
                <w:sz w:val="24"/>
                <w:szCs w:val="24"/>
              </w:rPr>
              <w:t>10万m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一期5</w:t>
            </w:r>
            <w:r>
              <w:rPr>
                <w:rFonts w:hint="default" w:ascii="Times New Roman" w:hAnsi="Times New Roman" w:cs="Times New Roman"/>
                <w:sz w:val="24"/>
                <w:szCs w:val="24"/>
              </w:rPr>
              <w:t>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eastAsia="zh-CN"/>
              </w:rPr>
              <w:t>、二期5</w:t>
            </w:r>
            <w:r>
              <w:rPr>
                <w:rFonts w:hint="default" w:ascii="Times New Roman" w:hAnsi="Times New Roman" w:cs="Times New Roman"/>
                <w:sz w:val="24"/>
                <w:szCs w:val="24"/>
              </w:rPr>
              <w:t>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采用改良型</w:t>
            </w:r>
            <w:r>
              <w:rPr>
                <w:rFonts w:hint="default" w:ascii="Times New Roman" w:hAnsi="Times New Roman" w:cs="Times New Roman"/>
                <w:bCs/>
                <w:sz w:val="24"/>
                <w:szCs w:val="24"/>
              </w:rPr>
              <w:t>A</w:t>
            </w:r>
            <w:r>
              <w:rPr>
                <w:rFonts w:hint="default" w:ascii="Times New Roman" w:hAnsi="Times New Roman" w:cs="Times New Roman"/>
                <w:bCs/>
                <w:sz w:val="24"/>
                <w:szCs w:val="24"/>
                <w:vertAlign w:val="superscript"/>
              </w:rPr>
              <w:t>2</w:t>
            </w:r>
            <w:r>
              <w:rPr>
                <w:rFonts w:hint="eastAsia" w:ascii="Times New Roman" w:hAnsi="Times New Roman" w:cs="Times New Roman"/>
                <w:bCs/>
                <w:sz w:val="24"/>
                <w:szCs w:val="24"/>
                <w:vertAlign w:val="baseline"/>
                <w:lang w:val="en-US" w:eastAsia="zh-CN"/>
              </w:rPr>
              <w:t>/</w:t>
            </w:r>
            <w:r>
              <w:rPr>
                <w:rFonts w:hint="default" w:ascii="Times New Roman" w:hAnsi="Times New Roman" w:cs="Times New Roman"/>
                <w:bCs/>
                <w:sz w:val="24"/>
                <w:szCs w:val="24"/>
              </w:rPr>
              <w:t>O工艺</w:t>
            </w:r>
            <w:r>
              <w:rPr>
                <w:rFonts w:hint="default" w:ascii="Times New Roman" w:hAnsi="Times New Roman" w:cs="Times New Roman"/>
                <w:bCs/>
                <w:sz w:val="24"/>
                <w:szCs w:val="24"/>
                <w:lang w:eastAsia="zh-CN"/>
              </w:rPr>
              <w:t>，</w:t>
            </w:r>
            <w:r>
              <w:rPr>
                <w:rFonts w:hint="default" w:ascii="Times New Roman" w:hAnsi="Times New Roman" w:eastAsia="宋体" w:cs="Times New Roman"/>
                <w:color w:val="000000"/>
                <w:kern w:val="0"/>
                <w:sz w:val="24"/>
                <w:szCs w:val="24"/>
                <w:lang w:val="en-US" w:eastAsia="zh-CN" w:bidi="ar"/>
              </w:rPr>
              <w:t>服务范围主要包括张家坝、三里坪、翠屏山、小河嘴、西南职业教育园、杨柳、长田新区及南城所产生的生活污水，出水水质满足《城 镇污水处理厂污染物排放标准》（GB18918-2002）中一级 A 标准后排放进入州河。2015年，其一期工程</w:t>
            </w:r>
            <w:r>
              <w:rPr>
                <w:rFonts w:hint="default" w:ascii="Times New Roman" w:hAnsi="Times New Roman" w:cs="Times New Roman"/>
                <w:sz w:val="24"/>
                <w:szCs w:val="24"/>
              </w:rPr>
              <w:t>取得了</w:t>
            </w:r>
            <w:r>
              <w:rPr>
                <w:rFonts w:hint="default" w:ascii="Times New Roman" w:hAnsi="Times New Roman" w:cs="Times New Roman"/>
                <w:sz w:val="24"/>
                <w:szCs w:val="24"/>
                <w:lang w:val="en-US" w:eastAsia="zh-CN"/>
              </w:rPr>
              <w:t>原</w:t>
            </w:r>
            <w:r>
              <w:rPr>
                <w:rFonts w:hint="default" w:ascii="Times New Roman" w:hAnsi="Times New Roman" w:cs="Times New Roman"/>
                <w:sz w:val="24"/>
                <w:szCs w:val="24"/>
              </w:rPr>
              <w:t>四川省环保厅</w:t>
            </w:r>
            <w:r>
              <w:rPr>
                <w:rFonts w:hint="default" w:ascii="Times New Roman" w:hAnsi="Times New Roman" w:cs="Times New Roman"/>
                <w:sz w:val="24"/>
                <w:szCs w:val="24"/>
                <w:lang w:val="en-US" w:eastAsia="zh-CN"/>
              </w:rPr>
              <w:t>出具的《</w:t>
            </w:r>
            <w:r>
              <w:rPr>
                <w:rFonts w:hint="default" w:ascii="Times New Roman" w:hAnsi="Times New Roman" w:cs="Times New Roman"/>
                <w:sz w:val="24"/>
                <w:szCs w:val="24"/>
              </w:rPr>
              <w:t>关于达州市第二城市污水处理工程环境影响报告书的批复》</w:t>
            </w:r>
            <w:r>
              <w:rPr>
                <w:rFonts w:hint="default" w:ascii="Times New Roman" w:hAnsi="Times New Roman" w:cs="Times New Roman"/>
                <w:sz w:val="24"/>
                <w:szCs w:val="24"/>
                <w:lang w:eastAsia="zh-CN"/>
              </w:rPr>
              <w:t>（</w:t>
            </w:r>
            <w:r>
              <w:rPr>
                <w:rFonts w:hint="default" w:ascii="Times New Roman" w:hAnsi="Times New Roman" w:cs="Times New Roman"/>
                <w:sz w:val="24"/>
                <w:szCs w:val="24"/>
              </w:rPr>
              <w:t>川环审批</w:t>
            </w:r>
            <w:r>
              <w:rPr>
                <w:rFonts w:hint="default" w:ascii="Times New Roman" w:hAnsi="Times New Roman" w:cs="Times New Roman"/>
                <w:color w:val="000000"/>
                <w:sz w:val="24"/>
                <w:szCs w:val="24"/>
              </w:rPr>
              <w:t>〔201</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w:t>
            </w:r>
            <w:r>
              <w:rPr>
                <w:rFonts w:hint="default" w:ascii="Times New Roman" w:hAnsi="Times New Roman" w:cs="Times New Roman"/>
                <w:sz w:val="24"/>
                <w:szCs w:val="24"/>
              </w:rPr>
              <w:t>81号</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并进行了验收</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2019年，其二期工程取得了</w:t>
            </w:r>
            <w:r>
              <w:rPr>
                <w:rFonts w:hint="default" w:ascii="Times New Roman" w:hAnsi="Times New Roman" w:cs="Times New Roman"/>
                <w:color w:val="000000"/>
                <w:sz w:val="24"/>
                <w:szCs w:val="24"/>
              </w:rPr>
              <w:t>达州市生态环境局</w:t>
            </w:r>
            <w:r>
              <w:rPr>
                <w:rFonts w:hint="default" w:ascii="Times New Roman" w:hAnsi="Times New Roman" w:cs="Times New Roman"/>
                <w:color w:val="000000"/>
                <w:sz w:val="24"/>
                <w:szCs w:val="24"/>
                <w:lang w:val="en-US" w:eastAsia="zh-CN"/>
              </w:rPr>
              <w:t>出具的《</w:t>
            </w:r>
            <w:r>
              <w:rPr>
                <w:rFonts w:hint="default" w:ascii="Times New Roman" w:hAnsi="Times New Roman" w:cs="Times New Roman"/>
                <w:color w:val="000000"/>
                <w:sz w:val="24"/>
                <w:szCs w:val="24"/>
              </w:rPr>
              <w:t>关于达州市第二城市污水处理厂二期工程项目环境影响评价报告表的批复</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rPr>
              <w:t>（达市环函〔2019〕539号）</w:t>
            </w:r>
            <w:r>
              <w:rPr>
                <w:rFonts w:hint="default" w:ascii="Times New Roman" w:hAnsi="Times New Roman" w:cs="Times New Roman"/>
                <w:color w:val="000000"/>
                <w:sz w:val="24"/>
                <w:szCs w:val="24"/>
                <w:lang w:eastAsia="zh-CN"/>
              </w:rPr>
              <w:t>，</w:t>
            </w:r>
            <w:r>
              <w:rPr>
                <w:rFonts w:hint="default" w:ascii="Times New Roman" w:hAnsi="Times New Roman" w:cs="Times New Roman"/>
                <w:sz w:val="24"/>
                <w:szCs w:val="24"/>
                <w:lang w:val="en-US" w:eastAsia="zh-CN"/>
              </w:rPr>
              <w:t>并进行了验收</w:t>
            </w:r>
            <w:r>
              <w:rPr>
                <w:rFonts w:hint="default" w:ascii="Times New Roman" w:hAnsi="Times New Roman" w:cs="Times New Roman"/>
                <w:color w:val="000000"/>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本项目运营期的废水总排放量为</w:t>
            </w:r>
            <w:r>
              <w:rPr>
                <w:rFonts w:hint="eastAsia" w:ascii="Times New Roman" w:hAnsi="Times New Roman" w:eastAsia="宋体" w:cs="Times New Roman"/>
                <w:color w:val="000000"/>
                <w:kern w:val="0"/>
                <w:sz w:val="24"/>
                <w:szCs w:val="24"/>
                <w:lang w:val="en-US" w:eastAsia="zh-CN" w:bidi="ar"/>
              </w:rPr>
              <w:t>2753.241</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d</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占达州市第二</w:t>
            </w:r>
            <w:r>
              <w:rPr>
                <w:rFonts w:hint="eastAsia" w:ascii="Times New Roman" w:hAnsi="Times New Roman" w:cs="Times New Roman"/>
                <w:color w:val="000000"/>
                <w:sz w:val="24"/>
                <w:szCs w:val="24"/>
                <w:lang w:val="en-US" w:eastAsia="zh-CN"/>
              </w:rPr>
              <w:t>城市</w:t>
            </w:r>
            <w:r>
              <w:rPr>
                <w:rFonts w:hint="default" w:ascii="Times New Roman" w:hAnsi="Times New Roman" w:cs="Times New Roman"/>
                <w:color w:val="000000"/>
                <w:sz w:val="24"/>
                <w:szCs w:val="24"/>
              </w:rPr>
              <w:t>污水处理厂现状处理能力的</w:t>
            </w:r>
            <w:r>
              <w:rPr>
                <w:rFonts w:hint="eastAsia" w:ascii="Times New Roman" w:hAnsi="Times New Roman" w:cs="Times New Roman"/>
                <w:color w:val="000000"/>
                <w:sz w:val="24"/>
                <w:szCs w:val="24"/>
                <w:lang w:val="en-US" w:eastAsia="zh-CN"/>
              </w:rPr>
              <w:t>2.75</w:t>
            </w:r>
            <w:r>
              <w:rPr>
                <w:rFonts w:hint="default" w:ascii="Times New Roman" w:hAnsi="Times New Roman" w:cs="Times New Roman"/>
                <w:color w:val="000000"/>
                <w:sz w:val="24"/>
                <w:szCs w:val="24"/>
              </w:rPr>
              <w:t>%，且本项目位于达州市通川区韩家坝西南职业教育园区，属于达州市第二</w:t>
            </w:r>
            <w:r>
              <w:rPr>
                <w:rFonts w:hint="eastAsia" w:ascii="Times New Roman" w:hAnsi="Times New Roman" w:cs="Times New Roman"/>
                <w:color w:val="000000"/>
                <w:sz w:val="24"/>
                <w:szCs w:val="24"/>
                <w:lang w:val="en-US" w:eastAsia="zh-CN"/>
              </w:rPr>
              <w:t>城市</w:t>
            </w:r>
            <w:r>
              <w:rPr>
                <w:rFonts w:hint="default" w:ascii="Times New Roman" w:hAnsi="Times New Roman" w:cs="Times New Roman"/>
                <w:color w:val="000000"/>
                <w:sz w:val="24"/>
                <w:szCs w:val="24"/>
              </w:rPr>
              <w:t>污水处理厂的纳污范围。根据调查，项目</w:t>
            </w:r>
            <w:r>
              <w:rPr>
                <w:rFonts w:hint="eastAsia" w:ascii="Times New Roman" w:hAnsi="Times New Roman" w:cs="Times New Roman"/>
                <w:color w:val="000000"/>
                <w:sz w:val="24"/>
                <w:szCs w:val="24"/>
                <w:lang w:val="en-US" w:eastAsia="zh-CN"/>
              </w:rPr>
              <w:t>西</w:t>
            </w:r>
            <w:r>
              <w:rPr>
                <w:rFonts w:hint="default" w:ascii="Times New Roman" w:hAnsi="Times New Roman" w:cs="Times New Roman"/>
                <w:color w:val="000000"/>
                <w:sz w:val="24"/>
                <w:szCs w:val="24"/>
              </w:rPr>
              <w:t>面、南面道路下的污水管网均已建成，项目废水能够顺利接入城市污水管道。根据工程分析，项目废水经处理后的排水水质能够满足《污水综合排放标准》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GB8978-1996</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中三级标准限值要求。故项目废水接入达州市第二</w:t>
            </w:r>
            <w:r>
              <w:rPr>
                <w:rFonts w:hint="eastAsia" w:ascii="Times New Roman" w:hAnsi="Times New Roman" w:cs="Times New Roman"/>
                <w:color w:val="000000"/>
                <w:sz w:val="24"/>
                <w:szCs w:val="24"/>
                <w:lang w:val="en-US" w:eastAsia="zh-CN"/>
              </w:rPr>
              <w:t>城市</w:t>
            </w:r>
            <w:r>
              <w:rPr>
                <w:rFonts w:hint="default" w:ascii="Times New Roman" w:hAnsi="Times New Roman" w:cs="Times New Roman"/>
                <w:color w:val="000000"/>
                <w:sz w:val="24"/>
                <w:szCs w:val="24"/>
              </w:rPr>
              <w:t>污水处理厂处理可行。</w:t>
            </w:r>
          </w:p>
          <w:p>
            <w:pPr>
              <w:pStyle w:val="13"/>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5、</w:t>
            </w:r>
            <w:r>
              <w:rPr>
                <w:rFonts w:hint="default" w:ascii="Times New Roman" w:hAnsi="Times New Roman" w:cs="Times New Roman"/>
                <w:b/>
                <w:bCs/>
                <w:color w:val="auto"/>
                <w:sz w:val="24"/>
              </w:rPr>
              <w:t>监测要求</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lang w:val="en-US" w:eastAsia="zh-CN"/>
              </w:rPr>
            </w:pPr>
            <w:r>
              <w:rPr>
                <w:rFonts w:hint="eastAsia" w:ascii="Times New Roman" w:hAnsi="Times New Roman" w:eastAsia="宋体" w:cs="Times New Roman"/>
                <w:color w:val="000000"/>
                <w:kern w:val="2"/>
                <w:sz w:val="24"/>
                <w:szCs w:val="24"/>
                <w:lang w:val="en-US" w:eastAsia="zh-CN" w:bidi="ar-SA"/>
              </w:rPr>
              <w:t>项目</w:t>
            </w:r>
            <w:r>
              <w:rPr>
                <w:rFonts w:hint="eastAsia" w:ascii="Times New Roman" w:hAnsi="Times New Roman" w:eastAsia="宋体" w:cs="Times New Roman"/>
                <w:color w:val="000000"/>
                <w:sz w:val="24"/>
                <w:szCs w:val="24"/>
                <w:lang w:val="en-US" w:eastAsia="zh-CN"/>
              </w:rPr>
              <w:t>废水经预处理后依托达州市第二城市污水处理厂处理。因此不制定废水监测计划。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综上分析，本项目采取的污水治理措施有效，可实现污染物达标排放，对地表水的影响甚微。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三、噪声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1、噪声源强及治理措施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本项目营运期噪声主要为公共活动场所噪声、服务设施设备噪声、交通噪声等。运动会和文娱活动时的主要噪声源为人群呼声和广播声，其变化幅度较大；学校内正常进行</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教学区、住宿区产生的生活噪声较小</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交通噪声源强特点为瞬时发生、持续时间短且时段性明显，白天车流量大，特别是上下班时间噪声源强较大，也有较大的波动，其他时段源强较小，夜间车辆进出停车场较少，噪声源强较小；项目主要产噪设备噪声产生情况及处理措施见下表所示。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color w:val="000000"/>
                <w:sz w:val="21"/>
                <w:szCs w:val="21"/>
                <w:lang w:val="en-US" w:eastAsia="zh-CN"/>
              </w:rPr>
            </w:pPr>
            <w:r>
              <w:rPr>
                <w:rFonts w:hint="default" w:ascii="Times New Roman" w:hAnsi="Times New Roman" w:eastAsia="黑体" w:cs="Times New Roman"/>
                <w:b w:val="0"/>
                <w:bCs/>
                <w:color w:val="000000"/>
                <w:sz w:val="21"/>
                <w:szCs w:val="21"/>
              </w:rPr>
              <w:t>表</w:t>
            </w:r>
            <w:r>
              <w:rPr>
                <w:rFonts w:hint="default" w:ascii="Times New Roman" w:hAnsi="Times New Roman" w:eastAsia="黑体" w:cs="Times New Roman"/>
                <w:b w:val="0"/>
                <w:bCs/>
                <w:color w:val="000000"/>
                <w:sz w:val="21"/>
                <w:szCs w:val="21"/>
                <w:lang w:val="en-US" w:eastAsia="zh-CN"/>
              </w:rPr>
              <w:t>4-8</w:t>
            </w:r>
            <w:r>
              <w:rPr>
                <w:rFonts w:hint="default" w:ascii="Times New Roman" w:hAnsi="Times New Roman" w:eastAsia="黑体" w:cs="Times New Roman"/>
                <w:b w:val="0"/>
                <w:bCs/>
                <w:color w:val="000000"/>
                <w:sz w:val="21"/>
                <w:szCs w:val="21"/>
              </w:rPr>
              <w:t xml:space="preserve">   本项目主要设备噪声</w:t>
            </w:r>
            <w:r>
              <w:rPr>
                <w:rFonts w:hint="default" w:ascii="Times New Roman" w:hAnsi="Times New Roman" w:eastAsia="黑体" w:cs="Times New Roman"/>
                <w:b w:val="0"/>
                <w:bCs/>
                <w:color w:val="000000"/>
                <w:sz w:val="21"/>
                <w:szCs w:val="21"/>
                <w:lang w:val="en-US" w:eastAsia="zh-CN"/>
              </w:rPr>
              <w:t>源强及措施一览表</w:t>
            </w:r>
          </w:p>
          <w:tbl>
            <w:tblPr>
              <w:tblStyle w:val="26"/>
              <w:tblW w:w="82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10"/>
              <w:gridCol w:w="636"/>
              <w:gridCol w:w="720"/>
              <w:gridCol w:w="930"/>
              <w:gridCol w:w="825"/>
              <w:gridCol w:w="1695"/>
              <w:gridCol w:w="12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类别</w:t>
                  </w: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噪声源</w:t>
                  </w:r>
                </w:p>
              </w:tc>
              <w:tc>
                <w:tcPr>
                  <w:tcW w:w="636" w:type="dxa"/>
                  <w:tcBorders>
                    <w:tl2br w:val="nil"/>
                    <w:tr2bl w:val="nil"/>
                  </w:tcBorders>
                  <w:noWrap w:val="0"/>
                  <w:vAlign w:val="center"/>
                </w:tcPr>
                <w:p>
                  <w:pPr>
                    <w:adjustRightInd w:val="0"/>
                    <w:snapToGrid w:val="0"/>
                    <w:spacing w:line="25" w:lineRule="atLeast"/>
                    <w:jc w:val="center"/>
                    <w:rPr>
                      <w:rFonts w:hint="eastAsia"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数量</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产噪位置</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噪声值dB（A）</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产生特点</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采取措施</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治理后噪声级dB（A）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38" w:type="dxa"/>
                  <w:vMerge w:val="restart"/>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公共活动场所噪声</w:t>
                  </w: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学生活动</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室内</w:t>
                  </w:r>
                  <w:r>
                    <w:rPr>
                      <w:rFonts w:hint="eastAsia" w:ascii="Times New Roman" w:hAnsi="Times New Roman" w:cs="Times New Roman"/>
                      <w:color w:val="000000"/>
                      <w:kern w:val="0"/>
                      <w:sz w:val="21"/>
                      <w:szCs w:val="21"/>
                      <w:lang w:val="en-US" w:eastAsia="zh-CN"/>
                    </w:rPr>
                    <w:t>/室外</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70</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eastAsia" w:ascii="Times New Roman" w:hAnsi="Times New Roman" w:cs="Times New Roman"/>
                      <w:color w:val="auto"/>
                      <w:spacing w:val="4"/>
                      <w:lang w:val="en-US" w:eastAsia="zh-CN"/>
                    </w:rPr>
                    <w:t>建筑隔声、</w:t>
                  </w:r>
                  <w:r>
                    <w:rPr>
                      <w:rFonts w:hint="default" w:ascii="Times New Roman" w:hAnsi="Times New Roman" w:cs="Times New Roman"/>
                      <w:color w:val="auto"/>
                      <w:spacing w:val="4"/>
                    </w:rPr>
                    <w:t>加强管理</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38" w:type="dxa"/>
                  <w:vMerge w:val="continue"/>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eastAsia="zh-CN"/>
                    </w:rPr>
                  </w:pP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演艺中心、体育馆等</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Cs w:val="21"/>
                      <w:lang w:val="en-US" w:eastAsia="zh-CN"/>
                    </w:rPr>
                    <w:t>室内</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80</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eastAsia" w:ascii="Times New Roman" w:hAnsi="Times New Roman" w:cs="Times New Roman"/>
                      <w:color w:val="auto"/>
                      <w:spacing w:val="4"/>
                      <w:lang w:val="en-US" w:eastAsia="zh-CN"/>
                    </w:rPr>
                    <w:t>建筑隔声、</w:t>
                  </w:r>
                  <w:r>
                    <w:rPr>
                      <w:rFonts w:hint="default" w:ascii="Times New Roman" w:hAnsi="Times New Roman" w:cs="Times New Roman"/>
                      <w:color w:val="auto"/>
                      <w:spacing w:val="4"/>
                    </w:rPr>
                    <w:t>加强管理</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38" w:type="dxa"/>
                  <w:vMerge w:val="restart"/>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服务设施噪声</w:t>
                  </w:r>
                </w:p>
              </w:tc>
              <w:tc>
                <w:tcPr>
                  <w:tcW w:w="1110" w:type="dxa"/>
                  <w:tcBorders>
                    <w:tl2br w:val="nil"/>
                    <w:tr2bl w:val="nil"/>
                  </w:tcBorders>
                  <w:noWrap w:val="0"/>
                  <w:vAlign w:val="center"/>
                </w:tcPr>
                <w:p>
                  <w:pPr>
                    <w:adjustRightInd w:val="0"/>
                    <w:snapToGrid w:val="0"/>
                    <w:spacing w:line="25" w:lineRule="atLeast"/>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水泵</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室</w:t>
                  </w:r>
                  <w:r>
                    <w:rPr>
                      <w:rFonts w:hint="eastAsia" w:ascii="Times New Roman" w:hAnsi="Times New Roman" w:cs="Times New Roman"/>
                      <w:color w:val="000000"/>
                      <w:kern w:val="0"/>
                      <w:sz w:val="21"/>
                      <w:szCs w:val="21"/>
                      <w:lang w:val="en-US" w:eastAsia="zh-CN"/>
                    </w:rPr>
                    <w:t>内</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85</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highlight w:val="none"/>
                    </w:rPr>
                    <w:t>基础减振，隔声</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38" w:type="dxa"/>
                  <w:vMerge w:val="continue"/>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eastAsia="zh-CN"/>
                    </w:rPr>
                  </w:pP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实验设备</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室内</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80</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auto"/>
                      <w:kern w:val="0"/>
                      <w:highlight w:val="none"/>
                    </w:rPr>
                    <w:t>基础减振，隔声</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38" w:type="dxa"/>
                  <w:vMerge w:val="continue"/>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p>
              </w:tc>
              <w:tc>
                <w:tcPr>
                  <w:tcW w:w="1110" w:type="dxa"/>
                  <w:tcBorders>
                    <w:tl2br w:val="nil"/>
                    <w:tr2bl w:val="nil"/>
                  </w:tcBorders>
                  <w:noWrap w:val="0"/>
                  <w:vAlign w:val="center"/>
                </w:tcPr>
                <w:p>
                  <w:pPr>
                    <w:adjustRightInd w:val="0"/>
                    <w:snapToGrid w:val="0"/>
                    <w:spacing w:line="25" w:lineRule="atLeast"/>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风机（地下室、食堂、实验室））</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室内</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85</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auto"/>
                      <w:highlight w:val="none"/>
                    </w:rPr>
                    <w:t>减振、隔声、安装消声器，管道采用柔性连接</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38" w:type="dxa"/>
                  <w:vMerge w:val="continue"/>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备用柴油发电机</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2</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室内</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90</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auto"/>
                      <w:spacing w:val="4"/>
                    </w:rPr>
                    <w:t>设置独立发电机房、安装减震垫、</w:t>
                  </w:r>
                  <w:r>
                    <w:rPr>
                      <w:rFonts w:hint="eastAsia" w:ascii="Times New Roman" w:hAnsi="Times New Roman" w:cs="Times New Roman"/>
                      <w:color w:val="auto"/>
                      <w:spacing w:val="4"/>
                      <w:lang w:val="en-US" w:eastAsia="zh-CN"/>
                    </w:rPr>
                    <w:t>消声器、</w:t>
                  </w:r>
                  <w:r>
                    <w:rPr>
                      <w:rFonts w:hint="default" w:ascii="Times New Roman" w:hAnsi="Times New Roman" w:cs="Times New Roman"/>
                      <w:color w:val="auto"/>
                      <w:spacing w:val="4"/>
                    </w:rPr>
                    <w:t>加强维护保养</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38"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交通噪声</w:t>
                  </w:r>
                </w:p>
              </w:tc>
              <w:tc>
                <w:tcPr>
                  <w:tcW w:w="111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机动车辆</w:t>
                  </w:r>
                </w:p>
              </w:tc>
              <w:tc>
                <w:tcPr>
                  <w:tcW w:w="636"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若干</w:t>
                  </w:r>
                </w:p>
              </w:tc>
              <w:tc>
                <w:tcPr>
                  <w:tcW w:w="72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室外</w:t>
                  </w:r>
                </w:p>
              </w:tc>
              <w:tc>
                <w:tcPr>
                  <w:tcW w:w="930"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75</w:t>
                  </w:r>
                </w:p>
              </w:tc>
              <w:tc>
                <w:tcPr>
                  <w:tcW w:w="82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间断</w:t>
                  </w:r>
                </w:p>
              </w:tc>
              <w:tc>
                <w:tcPr>
                  <w:tcW w:w="169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rPr>
                  </w:pPr>
                  <w:r>
                    <w:rPr>
                      <w:rFonts w:hint="default" w:ascii="Times New Roman" w:hAnsi="Times New Roman" w:cs="Times New Roman"/>
                      <w:color w:val="auto"/>
                    </w:rPr>
                    <w:t>减速慢行，加强管理、设置禁止鸣笛等标识标牌</w:t>
                  </w:r>
                </w:p>
              </w:tc>
              <w:tc>
                <w:tcPr>
                  <w:tcW w:w="1292"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＜60</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项目营运期对声环境的影响主要来源于备用柴油发电机、风机、水泵、通风排气设施、学校进出车辆、教学噪声（学生活动、上下课铃声、广播等教学噪声）等，噪声源强为70~90dB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A）之间，拟采取治理措施如下</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①教室之间隔墙、教室外墙应加大厚度或加强隔声措施</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②高噪声振动实验装置采取基底减振措施，布置高噪声设备的实验室采取特殊隔声设计，如墙体增厚、吸声墙</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③备用发电机、配电设备、风机、水泵机组等采用低噪声型设备，且设置在专用设备房内，并设置减振基础、减震垫、消声器等，尽量减少设备振动产生的结构噪声影响</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项目建成营运后，应当加强对进出学院车辆及停车场的管理，在校区设置停车场位置指示牌，并设置明显的进出口标志，尽量减少机动车频繁启动和怠速，限制校区内的行车速度，规范停车场的停车秩序等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color w:val="000000"/>
                <w:kern w:val="0"/>
                <w:sz w:val="24"/>
                <w:szCs w:val="24"/>
                <w:lang w:val="en-US" w:eastAsia="zh-CN" w:bidi="ar"/>
              </w:rPr>
              <w:t>在对本项目进行一系列综合降噪处置措施，再经空气传播过程衰减，噪声可降低 15~</w:t>
            </w:r>
            <w:r>
              <w:rPr>
                <w:rFonts w:hint="eastAsia" w:ascii="Times New Roman" w:hAnsi="Times New Roman" w:eastAsia="宋体" w:cs="Times New Roman"/>
                <w:color w:val="000000"/>
                <w:kern w:val="0"/>
                <w:sz w:val="24"/>
                <w:szCs w:val="24"/>
                <w:lang w:val="en-US" w:eastAsia="zh-CN" w:bidi="ar"/>
              </w:rPr>
              <w:t>30</w:t>
            </w:r>
            <w:r>
              <w:rPr>
                <w:rFonts w:hint="default" w:ascii="Times New Roman" w:hAnsi="Times New Roman" w:eastAsia="宋体" w:cs="Times New Roman"/>
                <w:color w:val="000000"/>
                <w:kern w:val="0"/>
                <w:sz w:val="24"/>
                <w:szCs w:val="24"/>
                <w:lang w:val="en-US" w:eastAsia="zh-CN" w:bidi="ar"/>
              </w:rPr>
              <w:t>dB（A），本项目厂界噪声可达到《工业企业厂界环境噪声排放标准》(GB12348-2008) 中 2 类标准要求</w:t>
            </w:r>
            <w:r>
              <w:rPr>
                <w:rFonts w:hint="default" w:ascii="Times New Roman" w:hAnsi="Times New Roman" w:eastAsia="宋体" w:cs="Times New Roman"/>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产生的噪声对周边环境影响较小。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2、声环境监测计划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根据《排污单位自行监测技术指南 总则》（</w:t>
            </w:r>
            <w:r>
              <w:rPr>
                <w:rFonts w:hint="default" w:ascii="Times New Roman" w:hAnsi="Times New Roman" w:eastAsia="宋体" w:cs="Times New Roman"/>
                <w:color w:val="000000"/>
                <w:kern w:val="0"/>
                <w:sz w:val="24"/>
                <w:szCs w:val="24"/>
                <w:lang w:val="en-US" w:eastAsia="zh-CN" w:bidi="ar"/>
              </w:rPr>
              <w:t>HJ819-2017</w:t>
            </w:r>
            <w:r>
              <w:rPr>
                <w:rFonts w:hint="eastAsia" w:ascii="宋体" w:hAnsi="宋体" w:eastAsia="宋体" w:cs="宋体"/>
                <w:color w:val="000000"/>
                <w:kern w:val="0"/>
                <w:sz w:val="24"/>
                <w:szCs w:val="24"/>
                <w:lang w:val="en-US" w:eastAsia="zh-CN" w:bidi="ar"/>
              </w:rPr>
              <w:t>）</w:t>
            </w:r>
            <w:r>
              <w:rPr>
                <w:rFonts w:hint="default" w:ascii="Times New Roman" w:hAnsi="Times New Roman" w:cs="Times New Roman"/>
                <w:color w:val="auto"/>
                <w:sz w:val="24"/>
              </w:rPr>
              <w:t>提出项目生产运行阶段的污染源监测计划，详见下表。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eastAsia="宋体"/>
                <w:b/>
                <w:color w:val="000000"/>
                <w:sz w:val="21"/>
                <w:szCs w:val="21"/>
                <w:lang w:val="en-US" w:eastAsia="zh-CN"/>
              </w:rPr>
            </w:pPr>
            <w:r>
              <w:rPr>
                <w:rFonts w:hint="default" w:ascii="Times New Roman" w:hAnsi="Times New Roman" w:eastAsia="黑体" w:cs="Times New Roman"/>
                <w:b w:val="0"/>
                <w:bCs/>
                <w:color w:val="000000"/>
                <w:sz w:val="21"/>
                <w:szCs w:val="21"/>
              </w:rPr>
              <w:t>表</w:t>
            </w:r>
            <w:r>
              <w:rPr>
                <w:rFonts w:hint="default" w:ascii="Times New Roman" w:hAnsi="Times New Roman" w:eastAsia="黑体" w:cs="Times New Roman"/>
                <w:b w:val="0"/>
                <w:bCs/>
                <w:color w:val="000000"/>
                <w:sz w:val="21"/>
                <w:szCs w:val="21"/>
                <w:lang w:val="en-US" w:eastAsia="zh-CN"/>
              </w:rPr>
              <w:t>4-9</w:t>
            </w:r>
            <w:r>
              <w:rPr>
                <w:rFonts w:hint="default" w:ascii="Times New Roman" w:hAnsi="Times New Roman" w:eastAsia="黑体" w:cs="Times New Roman"/>
                <w:b w:val="0"/>
                <w:bCs/>
                <w:color w:val="000000"/>
                <w:sz w:val="21"/>
                <w:szCs w:val="21"/>
              </w:rPr>
              <w:t xml:space="preserve">   项目</w:t>
            </w:r>
            <w:r>
              <w:rPr>
                <w:rFonts w:hint="default" w:ascii="Times New Roman" w:hAnsi="Times New Roman" w:eastAsia="黑体" w:cs="Times New Roman"/>
                <w:b w:val="0"/>
                <w:bCs/>
                <w:color w:val="000000"/>
                <w:sz w:val="21"/>
                <w:szCs w:val="21"/>
                <w:lang w:val="en-US" w:eastAsia="zh-CN"/>
              </w:rPr>
              <w:t>运营期噪声监测计划一览表</w:t>
            </w:r>
          </w:p>
          <w:tbl>
            <w:tblPr>
              <w:tblStyle w:val="26"/>
              <w:tblW w:w="818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2"/>
              <w:gridCol w:w="1995"/>
              <w:gridCol w:w="1845"/>
              <w:gridCol w:w="2330"/>
              <w:gridCol w:w="11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72" w:type="dxa"/>
                  <w:tcBorders>
                    <w:tl2br w:val="nil"/>
                    <w:tr2bl w:val="nil"/>
                  </w:tcBorders>
                  <w:noWrap w:val="0"/>
                  <w:vAlign w:val="center"/>
                </w:tcPr>
                <w:p>
                  <w:pPr>
                    <w:adjustRightInd w:val="0"/>
                    <w:snapToGrid w:val="0"/>
                    <w:spacing w:line="25" w:lineRule="atLeast"/>
                    <w:jc w:val="center"/>
                    <w:rPr>
                      <w:rFonts w:hint="eastAsia"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类型</w:t>
                  </w:r>
                </w:p>
              </w:tc>
              <w:tc>
                <w:tcPr>
                  <w:tcW w:w="199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监测因子</w:t>
                  </w:r>
                </w:p>
              </w:tc>
              <w:tc>
                <w:tcPr>
                  <w:tcW w:w="1845"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eastAsia="宋体" w:cs="Times New Roman"/>
                      <w:b/>
                      <w:bCs/>
                      <w:color w:val="000000"/>
                      <w:kern w:val="0"/>
                      <w:sz w:val="21"/>
                      <w:szCs w:val="21"/>
                      <w:lang w:val="en-US" w:eastAsia="zh-CN"/>
                    </w:rPr>
                    <w:t>监测点位</w:t>
                  </w:r>
                </w:p>
              </w:tc>
              <w:tc>
                <w:tcPr>
                  <w:tcW w:w="23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监测频次</w:t>
                  </w:r>
                </w:p>
              </w:tc>
              <w:tc>
                <w:tcPr>
                  <w:tcW w:w="114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eastAsia="宋体" w:cs="Times New Roman"/>
                      <w:b/>
                      <w:bCs/>
                      <w:color w:val="000000"/>
                      <w:kern w:val="0"/>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87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噪声</w:t>
                  </w:r>
                </w:p>
              </w:tc>
              <w:tc>
                <w:tcPr>
                  <w:tcW w:w="199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rPr>
                  </w:pPr>
                  <w:r>
                    <w:rPr>
                      <w:rFonts w:hint="eastAsia" w:ascii="宋体" w:hAnsi="宋体" w:eastAsia="宋体" w:cs="宋体"/>
                      <w:color w:val="000000"/>
                      <w:kern w:val="0"/>
                      <w:sz w:val="21"/>
                      <w:szCs w:val="21"/>
                      <w:lang w:val="en-US" w:eastAsia="zh-CN" w:bidi="ar"/>
                    </w:rPr>
                    <w:t xml:space="preserve">等效连续 </w:t>
                  </w:r>
                  <w:r>
                    <w:rPr>
                      <w:rFonts w:hint="default" w:ascii="Times New Roman" w:hAnsi="Times New Roman" w:eastAsia="宋体" w:cs="Times New Roman"/>
                      <w:color w:val="000000"/>
                      <w:kern w:val="0"/>
                      <w:sz w:val="21"/>
                      <w:szCs w:val="21"/>
                      <w:lang w:val="en-US" w:eastAsia="zh-CN" w:bidi="ar"/>
                    </w:rPr>
                    <w:t xml:space="preserve">A </w:t>
                  </w:r>
                  <w:r>
                    <w:rPr>
                      <w:rFonts w:hint="eastAsia" w:ascii="宋体" w:hAnsi="宋体" w:eastAsia="宋体" w:cs="宋体"/>
                      <w:color w:val="000000"/>
                      <w:kern w:val="0"/>
                      <w:sz w:val="21"/>
                      <w:szCs w:val="21"/>
                      <w:lang w:val="en-US" w:eastAsia="zh-CN" w:bidi="ar"/>
                    </w:rPr>
                    <w:t>声级</w:t>
                  </w:r>
                </w:p>
              </w:tc>
              <w:tc>
                <w:tcPr>
                  <w:tcW w:w="1845" w:type="dxa"/>
                  <w:tcBorders>
                    <w:tl2br w:val="nil"/>
                    <w:tr2bl w:val="nil"/>
                  </w:tcBorders>
                  <w:noWrap w:val="0"/>
                  <w:vAlign w:val="center"/>
                </w:tcPr>
                <w:p>
                  <w:pPr>
                    <w:adjustRightInd w:val="0"/>
                    <w:snapToGrid w:val="0"/>
                    <w:spacing w:line="25" w:lineRule="atLeast"/>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学校四周场界</w:t>
                  </w:r>
                </w:p>
              </w:tc>
              <w:tc>
                <w:tcPr>
                  <w:tcW w:w="2330"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auto"/>
                    </w:rPr>
                    <w:t>季度/次，昼夜各一次</w:t>
                  </w:r>
                </w:p>
              </w:tc>
              <w:tc>
                <w:tcPr>
                  <w:tcW w:w="1142" w:type="dxa"/>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四、固废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color w:val="auto"/>
                <w:sz w:val="24"/>
              </w:rPr>
              <w:t>本项目产生的固废主要包括一般固废和危险废物。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1、一般固废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pPr>
            <w:r>
              <w:rPr>
                <w:rFonts w:hint="eastAsia" w:ascii="宋体" w:hAnsi="宋体" w:eastAsia="宋体" w:cs="宋体"/>
                <w:b/>
                <w:bCs/>
                <w:color w:val="000000"/>
                <w:kern w:val="0"/>
                <w:sz w:val="24"/>
                <w:szCs w:val="24"/>
                <w:lang w:val="en-US" w:eastAsia="zh-CN" w:bidi="ar"/>
              </w:rPr>
              <w:t>生活垃圾：</w:t>
            </w:r>
            <w:r>
              <w:rPr>
                <w:rFonts w:hint="eastAsia" w:ascii="宋体" w:hAnsi="宋体" w:eastAsia="宋体" w:cs="宋体"/>
                <w:color w:val="000000"/>
                <w:kern w:val="0"/>
                <w:sz w:val="24"/>
                <w:szCs w:val="24"/>
                <w:lang w:val="en-US" w:eastAsia="zh-CN" w:bidi="ar"/>
              </w:rPr>
              <w:t>本项目规划在校</w:t>
            </w:r>
            <w:r>
              <w:rPr>
                <w:rFonts w:hint="default" w:ascii="Times New Roman" w:hAnsi="Times New Roman" w:eastAsia="宋体" w:cs="Times New Roman"/>
                <w:color w:val="000000"/>
                <w:kern w:val="0"/>
                <w:sz w:val="24"/>
                <w:szCs w:val="24"/>
                <w:lang w:val="en-US" w:eastAsia="zh-CN" w:bidi="ar"/>
              </w:rPr>
              <w:t>师生</w:t>
            </w:r>
            <w:r>
              <w:rPr>
                <w:rFonts w:hint="eastAsia" w:ascii="Times New Roman" w:hAnsi="Times New Roman" w:eastAsia="宋体" w:cs="Times New Roman"/>
                <w:color w:val="000000"/>
                <w:kern w:val="0"/>
                <w:sz w:val="24"/>
                <w:szCs w:val="24"/>
                <w:lang w:val="en-US" w:eastAsia="zh-CN" w:bidi="ar"/>
              </w:rPr>
              <w:t>、后勤</w:t>
            </w:r>
            <w:r>
              <w:rPr>
                <w:rFonts w:hint="default" w:ascii="Times New Roman" w:hAnsi="Times New Roman" w:eastAsia="宋体" w:cs="Times New Roman"/>
                <w:color w:val="000000"/>
                <w:kern w:val="0"/>
                <w:sz w:val="24"/>
                <w:szCs w:val="24"/>
                <w:lang w:val="en-US" w:eastAsia="zh-CN" w:bidi="ar"/>
              </w:rPr>
              <w:t>人数</w:t>
            </w:r>
            <w:r>
              <w:rPr>
                <w:rFonts w:hint="eastAsia" w:ascii="Times New Roman" w:hAnsi="Times New Roman" w:eastAsia="宋体" w:cs="Times New Roman"/>
                <w:color w:val="000000"/>
                <w:kern w:val="0"/>
                <w:sz w:val="24"/>
                <w:szCs w:val="24"/>
                <w:lang w:val="en-US" w:eastAsia="zh-CN" w:bidi="ar"/>
              </w:rPr>
              <w:t>共</w:t>
            </w:r>
            <w:r>
              <w:rPr>
                <w:rFonts w:hint="default" w:ascii="Times New Roman" w:hAnsi="Times New Roman" w:eastAsia="宋体" w:cs="Times New Roman"/>
                <w:color w:val="000000"/>
                <w:kern w:val="0"/>
                <w:sz w:val="24"/>
                <w:szCs w:val="24"/>
                <w:lang w:val="en-US" w:eastAsia="zh-CN" w:bidi="ar"/>
              </w:rPr>
              <w:t>约</w:t>
            </w:r>
            <w:r>
              <w:rPr>
                <w:rFonts w:hint="eastAsia" w:ascii="Times New Roman" w:hAnsi="Times New Roman" w:eastAsia="宋体" w:cs="Times New Roman"/>
                <w:color w:val="000000"/>
                <w:kern w:val="0"/>
                <w:sz w:val="24"/>
                <w:szCs w:val="24"/>
                <w:lang w:val="en-US" w:eastAsia="zh-CN" w:bidi="ar"/>
              </w:rPr>
              <w:t>10670</w:t>
            </w:r>
            <w:r>
              <w:rPr>
                <w:rFonts w:hint="default" w:ascii="Times New Roman" w:hAnsi="Times New Roman" w:eastAsia="宋体" w:cs="Times New Roman"/>
                <w:color w:val="000000"/>
                <w:kern w:val="0"/>
                <w:sz w:val="24"/>
                <w:szCs w:val="24"/>
                <w:lang w:val="en-US" w:eastAsia="zh-CN" w:bidi="ar"/>
              </w:rPr>
              <w:t>人，年工作280天</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生活垃圾产生量按照</w:t>
            </w:r>
            <w:r>
              <w:rPr>
                <w:rFonts w:hint="default" w:ascii="Times New Roman" w:hAnsi="Times New Roman" w:eastAsia="宋体" w:cs="Times New Roman"/>
                <w:color w:val="000000"/>
                <w:kern w:val="0"/>
                <w:sz w:val="24"/>
                <w:szCs w:val="24"/>
                <w:lang w:val="en-US" w:eastAsia="zh-CN" w:bidi="ar"/>
              </w:rPr>
              <w:t>0.5kg/</w:t>
            </w:r>
            <w:r>
              <w:rPr>
                <w:rFonts w:hint="eastAsia" w:ascii="宋体" w:hAnsi="宋体" w:eastAsia="宋体" w:cs="宋体"/>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天，运营期生活垃圾产生量为 </w:t>
            </w:r>
            <w:r>
              <w:rPr>
                <w:rFonts w:hint="eastAsia" w:ascii="Times New Roman" w:hAnsi="Times New Roman" w:eastAsia="宋体" w:cs="Times New Roman"/>
                <w:color w:val="000000"/>
                <w:kern w:val="0"/>
                <w:sz w:val="24"/>
                <w:szCs w:val="24"/>
                <w:lang w:val="en-US" w:eastAsia="zh-CN" w:bidi="ar"/>
              </w:rPr>
              <w:t>5335</w:t>
            </w:r>
            <w:r>
              <w:rPr>
                <w:rFonts w:hint="default" w:ascii="Times New Roman" w:hAnsi="Times New Roman" w:eastAsia="宋体" w:cs="Times New Roman"/>
                <w:color w:val="000000"/>
                <w:kern w:val="0"/>
                <w:sz w:val="24"/>
                <w:szCs w:val="24"/>
                <w:lang w:val="en-US" w:eastAsia="zh-CN" w:bidi="ar"/>
              </w:rPr>
              <w:t>kg/</w:t>
            </w:r>
            <w:r>
              <w:rPr>
                <w:rFonts w:hint="eastAsia" w:ascii="Times New Roman" w:hAnsi="Times New Roman" w:eastAsia="宋体" w:cs="Times New Roman"/>
                <w:color w:val="000000"/>
                <w:kern w:val="0"/>
                <w:sz w:val="24"/>
                <w:szCs w:val="24"/>
                <w:lang w:val="en-US" w:eastAsia="zh-CN" w:bidi="ar"/>
              </w:rPr>
              <w:t>d（1493.8</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。生活垃圾由校后勤处请专人每天将全校垃圾清运至垃圾临时堆放间，再统一运至市政垃圾站进行无害化处理，做到日产日清。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餐厨垃圾：</w:t>
            </w:r>
            <w:r>
              <w:rPr>
                <w:rFonts w:hint="default" w:ascii="Times New Roman" w:hAnsi="Times New Roman" w:eastAsia="宋体" w:cs="Times New Roman"/>
                <w:b w:val="0"/>
                <w:bCs w:val="0"/>
                <w:color w:val="000000"/>
                <w:kern w:val="0"/>
                <w:sz w:val="24"/>
                <w:szCs w:val="24"/>
                <w:lang w:val="en-US" w:eastAsia="zh-CN" w:bidi="ar"/>
              </w:rPr>
              <w:t>食堂就餐人数按10670人/d（按一天三餐计），</w:t>
            </w:r>
            <w:r>
              <w:rPr>
                <w:rFonts w:hint="default" w:ascii="Times New Roman" w:hAnsi="Times New Roman" w:eastAsia="宋体" w:cs="Times New Roman"/>
                <w:color w:val="000000"/>
                <w:kern w:val="0"/>
                <w:sz w:val="24"/>
                <w:szCs w:val="24"/>
                <w:lang w:val="en-US" w:eastAsia="zh-CN" w:bidi="ar"/>
              </w:rPr>
              <w:t>年工作280天</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食堂餐厨垃圾以0.5kg/人·d计，则产生餐厨垃圾为</w:t>
            </w:r>
            <w:r>
              <w:rPr>
                <w:rFonts w:hint="eastAsia" w:ascii="Times New Roman" w:hAnsi="Times New Roman" w:eastAsia="宋体" w:cs="Times New Roman"/>
                <w:color w:val="000000"/>
                <w:kern w:val="0"/>
                <w:sz w:val="24"/>
                <w:szCs w:val="24"/>
                <w:lang w:val="en-US" w:eastAsia="zh-CN" w:bidi="ar"/>
              </w:rPr>
              <w:t>5335</w:t>
            </w:r>
            <w:r>
              <w:rPr>
                <w:rFonts w:hint="default" w:ascii="Times New Roman" w:hAnsi="Times New Roman" w:eastAsia="宋体" w:cs="Times New Roman"/>
                <w:color w:val="000000"/>
                <w:kern w:val="0"/>
                <w:sz w:val="24"/>
                <w:szCs w:val="24"/>
                <w:lang w:val="en-US" w:eastAsia="zh-CN" w:bidi="ar"/>
              </w:rPr>
              <w:t>kg/</w:t>
            </w:r>
            <w:r>
              <w:rPr>
                <w:rFonts w:hint="eastAsia" w:ascii="Times New Roman" w:hAnsi="Times New Roman" w:eastAsia="宋体" w:cs="Times New Roman"/>
                <w:color w:val="000000"/>
                <w:kern w:val="0"/>
                <w:sz w:val="24"/>
                <w:szCs w:val="24"/>
                <w:lang w:val="en-US" w:eastAsia="zh-CN" w:bidi="ar"/>
              </w:rPr>
              <w:t>d（1493.8</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。环评要求项目建成运营前，建设单位落实并签订餐厨垃圾（含隔油池清掏油污</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回收协议，桶装收集后送相关单位，每日运送，不得排入市政下水道。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化粪池污泥：</w:t>
            </w:r>
            <w:r>
              <w:rPr>
                <w:rFonts w:hint="default" w:ascii="Times New Roman" w:hAnsi="Times New Roman" w:eastAsia="宋体" w:cs="Times New Roman"/>
                <w:color w:val="000000"/>
                <w:kern w:val="0"/>
                <w:sz w:val="24"/>
                <w:szCs w:val="24"/>
                <w:lang w:val="en-US" w:eastAsia="zh-CN" w:bidi="ar"/>
              </w:rPr>
              <w:t>项目化粪池污泥估算为2t/a，由环卫部门定期清掏处理。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动物尸体：</w:t>
            </w:r>
            <w:r>
              <w:rPr>
                <w:rFonts w:hint="default" w:ascii="Times New Roman" w:hAnsi="Times New Roman" w:eastAsia="宋体" w:cs="Times New Roman"/>
                <w:color w:val="000000"/>
                <w:kern w:val="0"/>
                <w:sz w:val="24"/>
                <w:szCs w:val="24"/>
                <w:lang w:val="en-US" w:eastAsia="zh-CN" w:bidi="ar"/>
              </w:rPr>
              <w:t>根据《四川省科学技术厅关于进一步加强全省实验动物尸体及废弃物管理工作的通知》中“三、分级分类，集中处理”的要求，严格按照《实验动物环境及设施》</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GB14925-2010）要求，对未使用过，或仅用作常规科研、检定、检验、教学的实验动物尸体及废弃物，可交由具备《动物防疫条件合格证》等相关资质的单位，按规定进行集中无害化处理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接受病原体感染、染毒和放射性实验的实验动物尸体和废弃物，须先行高温高压灭菌后，再交由具备《危险废物经营许可证》资质且核准经营危险废物类别相符的单位集中处理。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本项目动物仅用于解剖实验，主要为</w:t>
            </w:r>
            <w:r>
              <w:rPr>
                <w:rFonts w:hint="eastAsia" w:ascii="Times New Roman" w:hAnsi="Times New Roman" w:eastAsia="宋体" w:cs="Times New Roman"/>
                <w:color w:val="000000"/>
                <w:kern w:val="0"/>
                <w:sz w:val="24"/>
                <w:szCs w:val="24"/>
                <w:lang w:val="en-US" w:eastAsia="zh-CN" w:bidi="ar"/>
              </w:rPr>
              <w:t>小白兔、</w:t>
            </w:r>
            <w:r>
              <w:rPr>
                <w:rFonts w:hint="default" w:ascii="Times New Roman" w:hAnsi="Times New Roman" w:eastAsia="宋体" w:cs="Times New Roman"/>
                <w:color w:val="000000"/>
                <w:kern w:val="0"/>
                <w:sz w:val="24"/>
                <w:szCs w:val="24"/>
                <w:lang w:val="en-US" w:eastAsia="zh-CN" w:bidi="ar"/>
              </w:rPr>
              <w:t>小鼠、</w:t>
            </w:r>
            <w:r>
              <w:rPr>
                <w:rFonts w:hint="eastAsia" w:ascii="Times New Roman" w:hAnsi="Times New Roman" w:eastAsia="宋体" w:cs="Times New Roman"/>
                <w:color w:val="000000"/>
                <w:kern w:val="0"/>
                <w:sz w:val="24"/>
                <w:szCs w:val="24"/>
                <w:lang w:val="en-US" w:eastAsia="zh-CN" w:bidi="ar"/>
              </w:rPr>
              <w:t>蟾蜍</w:t>
            </w:r>
            <w:r>
              <w:rPr>
                <w:rFonts w:hint="default" w:ascii="Times New Roman" w:hAnsi="Times New Roman" w:eastAsia="宋体" w:cs="Times New Roman"/>
                <w:color w:val="000000"/>
                <w:kern w:val="0"/>
                <w:sz w:val="24"/>
                <w:szCs w:val="24"/>
                <w:lang w:val="en-US" w:eastAsia="zh-CN" w:bidi="ar"/>
              </w:rPr>
              <w:t>等。产生量约为0.1t/a。项目产生的动物尸体、动物垫料、动物粪便等废物属于“仅用作常规科研、检定、检验、教学的实验动物尸体及废弃物”。动物尸体装入专用尸体袋中存放于尸体冰柜内，动物垫料、动物粪便等废物经紫外线消毒处理后，与动物尸体一起委托具备《动物防疫条件合格证》等相关资质的单位运走，按规定进行集中无害化处理</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实验废弃物：</w:t>
            </w:r>
            <w:r>
              <w:rPr>
                <w:rFonts w:hint="eastAsia" w:ascii="宋体" w:hAnsi="宋体" w:eastAsia="宋体" w:cs="宋体"/>
                <w:b w:val="0"/>
                <w:bCs w:val="0"/>
                <w:color w:val="000000"/>
                <w:kern w:val="0"/>
                <w:sz w:val="24"/>
                <w:szCs w:val="24"/>
                <w:lang w:val="en-US" w:eastAsia="zh-CN" w:bidi="ar"/>
              </w:rPr>
              <w:t>项目化学、生物实验产生的实验废液、废试剂、废试剂瓶、废培养基、</w:t>
            </w:r>
            <w:r>
              <w:rPr>
                <w:rFonts w:hint="default" w:ascii="Times New Roman" w:hAnsi="Times New Roman" w:eastAsia="宋体" w:cs="Times New Roman"/>
                <w:b w:val="0"/>
                <w:bCs w:val="0"/>
                <w:color w:val="000000"/>
                <w:kern w:val="0"/>
                <w:sz w:val="24"/>
                <w:szCs w:val="24"/>
                <w:lang w:val="en-US" w:eastAsia="zh-CN" w:bidi="ar"/>
              </w:rPr>
              <w:t>废沾染物（口罩、无尘布、手套等）</w:t>
            </w:r>
            <w:r>
              <w:rPr>
                <w:rFonts w:hint="eastAsia" w:ascii="宋体" w:hAnsi="宋体" w:eastAsia="宋体" w:cs="宋体"/>
                <w:b w:val="0"/>
                <w:bCs w:val="0"/>
                <w:color w:val="000000"/>
                <w:kern w:val="0"/>
                <w:sz w:val="24"/>
                <w:szCs w:val="24"/>
                <w:lang w:val="en-US" w:eastAsia="zh-CN" w:bidi="ar"/>
              </w:rPr>
              <w:t>等，</w:t>
            </w:r>
            <w:r>
              <w:rPr>
                <w:rFonts w:hint="default" w:ascii="Times New Roman" w:hAnsi="Times New Roman" w:eastAsia="宋体" w:cs="Times New Roman"/>
                <w:b w:val="0"/>
                <w:bCs w:val="0"/>
                <w:color w:val="000000"/>
                <w:kern w:val="0"/>
                <w:sz w:val="24"/>
                <w:szCs w:val="24"/>
                <w:lang w:val="en-US" w:eastAsia="zh-CN" w:bidi="ar"/>
              </w:rPr>
              <w:t>产生量约为0.1t/a，</w:t>
            </w:r>
            <w:r>
              <w:rPr>
                <w:rFonts w:hint="default" w:ascii="Times New Roman" w:hAnsi="Times New Roman" w:eastAsia="宋体" w:cs="Times New Roman"/>
                <w:color w:val="000000"/>
                <w:kern w:val="0"/>
                <w:sz w:val="24"/>
                <w:szCs w:val="24"/>
                <w:lang w:val="en-US" w:eastAsia="zh-CN" w:bidi="ar"/>
              </w:rPr>
              <w:t>属于《国家危险废物名录》(2021 年版)中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HW49 其他废物非特定行/900-047-49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使用</w:t>
            </w:r>
            <w:r>
              <w:rPr>
                <w:rFonts w:hint="default" w:ascii="宋体" w:hAnsi="宋体" w:eastAsia="宋体" w:cs="宋体"/>
                <w:b w:val="0"/>
                <w:bCs w:val="0"/>
                <w:color w:val="000000"/>
                <w:kern w:val="0"/>
                <w:sz w:val="24"/>
                <w:szCs w:val="24"/>
                <w:lang w:val="en-US" w:eastAsia="zh-CN" w:bidi="ar"/>
              </w:rPr>
              <w:t>密封瓶</w:t>
            </w:r>
            <w:r>
              <w:rPr>
                <w:rFonts w:hint="eastAsia" w:ascii="宋体" w:hAnsi="宋体" w:eastAsia="宋体" w:cs="宋体"/>
                <w:b w:val="0"/>
                <w:bCs w:val="0"/>
                <w:color w:val="000000"/>
                <w:kern w:val="0"/>
                <w:sz w:val="24"/>
                <w:szCs w:val="24"/>
                <w:lang w:val="en-US" w:eastAsia="zh-CN" w:bidi="ar"/>
              </w:rPr>
              <w:t>/密封袋分类收集后暂存于实验室危废暂存间，</w:t>
            </w:r>
            <w:r>
              <w:rPr>
                <w:rFonts w:hint="default" w:ascii="Times New Roman" w:hAnsi="Times New Roman" w:eastAsia="宋体" w:cs="Times New Roman"/>
                <w:color w:val="000000"/>
                <w:kern w:val="0"/>
                <w:sz w:val="24"/>
                <w:szCs w:val="24"/>
                <w:lang w:val="en-US" w:eastAsia="zh-CN" w:bidi="ar"/>
              </w:rPr>
              <w:t>签订危废处置协议并定期交由危废资质单位处理。</w:t>
            </w:r>
          </w:p>
          <w:p>
            <w:pPr>
              <w:adjustRightInd w:val="0"/>
              <w:snapToGrid w:val="0"/>
              <w:spacing w:line="360" w:lineRule="auto"/>
              <w:ind w:firstLine="482" w:firstLineChars="200"/>
              <w:rPr>
                <w:rFonts w:hAnsi="宋体"/>
                <w:sz w:val="24"/>
                <w:szCs w:val="24"/>
              </w:rPr>
            </w:pPr>
            <w:r>
              <w:rPr>
                <w:rFonts w:hint="eastAsia"/>
                <w:b/>
                <w:bCs/>
                <w:sz w:val="24"/>
                <w:szCs w:val="24"/>
              </w:rPr>
              <w:t>废活性炭：</w:t>
            </w:r>
            <w:r>
              <w:rPr>
                <w:rFonts w:hint="eastAsia"/>
                <w:sz w:val="24"/>
                <w:szCs w:val="24"/>
              </w:rPr>
              <w:t>本项目</w:t>
            </w:r>
            <w:r>
              <w:rPr>
                <w:rFonts w:hint="eastAsia"/>
                <w:sz w:val="24"/>
                <w:szCs w:val="24"/>
                <w:lang w:val="en-US" w:eastAsia="zh-CN"/>
              </w:rPr>
              <w:t>实验室</w:t>
            </w:r>
            <w:r>
              <w:rPr>
                <w:rFonts w:hint="eastAsia"/>
                <w:sz w:val="24"/>
                <w:szCs w:val="24"/>
              </w:rPr>
              <w:t>有机废气采用两级活性炭处理，二级活性炭吸附装置装填的活性炭吸附饱和后需更换活性炭，环评要求更换的活性炭为活性炭纤维或者蜂窝状活性炭。本项目按照</w:t>
            </w:r>
            <w:r>
              <w:rPr>
                <w:rFonts w:hAnsi="宋体"/>
                <w:sz w:val="24"/>
                <w:szCs w:val="24"/>
              </w:rPr>
              <w:t>100kg</w:t>
            </w:r>
            <w:r>
              <w:rPr>
                <w:rFonts w:hint="eastAsia"/>
                <w:sz w:val="24"/>
                <w:szCs w:val="24"/>
              </w:rPr>
              <w:t>活性炭吸附</w:t>
            </w:r>
            <w:r>
              <w:rPr>
                <w:rFonts w:hAnsi="宋体"/>
                <w:sz w:val="24"/>
                <w:szCs w:val="24"/>
              </w:rPr>
              <w:t>25kg</w:t>
            </w:r>
            <w:r>
              <w:rPr>
                <w:rFonts w:hint="eastAsia"/>
                <w:sz w:val="24"/>
                <w:szCs w:val="24"/>
              </w:rPr>
              <w:t>有机废气后达到饱和状态。项目实验室有机废气</w:t>
            </w:r>
            <w:r>
              <w:rPr>
                <w:rFonts w:hint="eastAsia" w:ascii="Times New Roman" w:hAnsi="Times New Roman" w:eastAsia="宋体" w:cs="Times New Roman"/>
                <w:b w:val="0"/>
                <w:bCs w:val="0"/>
                <w:color w:val="auto"/>
                <w:kern w:val="0"/>
                <w:sz w:val="24"/>
                <w:szCs w:val="24"/>
                <w:lang w:val="en-US" w:eastAsia="zh-CN" w:bidi="ar"/>
              </w:rPr>
              <w:t>经</w:t>
            </w:r>
            <w:r>
              <w:rPr>
                <w:rFonts w:hint="eastAsia"/>
                <w:sz w:val="24"/>
                <w:szCs w:val="24"/>
              </w:rPr>
              <w:t>“</w:t>
            </w:r>
            <w:r>
              <w:rPr>
                <w:rFonts w:hint="default" w:ascii="Times New Roman" w:hAnsi="Times New Roman" w:eastAsia="宋体" w:cs="Times New Roman"/>
                <w:b w:val="0"/>
                <w:bCs w:val="0"/>
                <w:color w:val="auto"/>
                <w:kern w:val="0"/>
                <w:sz w:val="24"/>
                <w:szCs w:val="24"/>
                <w:lang w:val="en-US" w:eastAsia="zh-CN" w:bidi="ar"/>
              </w:rPr>
              <w:t>通风橱</w:t>
            </w:r>
            <w:r>
              <w:rPr>
                <w:rFonts w:hint="eastAsia"/>
                <w:b w:val="0"/>
                <w:bCs w:val="0"/>
                <w:color w:val="auto"/>
                <w:sz w:val="24"/>
                <w:szCs w:val="24"/>
              </w:rPr>
              <w:t>+</w:t>
            </w:r>
            <w:r>
              <w:rPr>
                <w:rFonts w:hint="default" w:ascii="Times New Roman" w:hAnsi="Times New Roman" w:eastAsia="宋体" w:cs="Times New Roman"/>
                <w:b w:val="0"/>
                <w:bCs w:val="0"/>
                <w:color w:val="auto"/>
                <w:kern w:val="0"/>
                <w:sz w:val="24"/>
                <w:szCs w:val="24"/>
                <w:lang w:val="en-US" w:eastAsia="zh-CN" w:bidi="ar"/>
              </w:rPr>
              <w:t>活性炭吸附罐</w:t>
            </w:r>
            <w:r>
              <w:rPr>
                <w:rFonts w:hint="eastAsia" w:ascii="Times New Roman" w:hAnsi="Times New Roman" w:eastAsia="宋体" w:cs="Times New Roman"/>
                <w:b w:val="0"/>
                <w:bCs w:val="0"/>
                <w:color w:val="auto"/>
                <w:kern w:val="0"/>
                <w:sz w:val="24"/>
                <w:szCs w:val="24"/>
                <w:lang w:val="en-US" w:eastAsia="zh-CN" w:bidi="ar"/>
              </w:rPr>
              <w:t>（</w:t>
            </w:r>
            <w:r>
              <w:rPr>
                <w:rFonts w:hint="eastAsia"/>
                <w:b w:val="0"/>
                <w:bCs w:val="0"/>
                <w:color w:val="auto"/>
                <w:sz w:val="24"/>
                <w:szCs w:val="24"/>
              </w:rPr>
              <w:t>二级活性炭</w:t>
            </w:r>
            <w:r>
              <w:rPr>
                <w:rFonts w:hint="eastAsia"/>
                <w:b w:val="0"/>
                <w:bCs w:val="0"/>
                <w:color w:val="auto"/>
                <w:sz w:val="24"/>
                <w:szCs w:val="24"/>
                <w:lang w:eastAsia="zh-CN"/>
              </w:rPr>
              <w:t>）</w:t>
            </w:r>
            <w:r>
              <w:rPr>
                <w:rFonts w:hint="eastAsia"/>
                <w:sz w:val="24"/>
                <w:szCs w:val="24"/>
              </w:rPr>
              <w:t>”进行处理</w:t>
            </w:r>
            <w:r>
              <w:rPr>
                <w:rFonts w:hint="eastAsia"/>
                <w:sz w:val="24"/>
                <w:szCs w:val="24"/>
                <w:lang w:val="en-US" w:eastAsia="zh-CN"/>
              </w:rPr>
              <w:t>后</w:t>
            </w:r>
            <w:r>
              <w:rPr>
                <w:rFonts w:hint="default" w:ascii="Times New Roman" w:hAnsi="Times New Roman" w:eastAsia="宋体" w:cs="Times New Roman"/>
                <w:b w:val="0"/>
                <w:bCs w:val="0"/>
                <w:color w:val="auto"/>
                <w:kern w:val="0"/>
                <w:sz w:val="24"/>
                <w:szCs w:val="24"/>
                <w:lang w:val="en-US" w:eastAsia="zh-CN" w:bidi="ar"/>
              </w:rPr>
              <w:t>引至楼顶</w:t>
            </w:r>
            <w:r>
              <w:rPr>
                <w:rFonts w:hint="eastAsia" w:ascii="Times New Roman" w:hAnsi="Times New Roman" w:eastAsia="宋体" w:cs="Times New Roman"/>
                <w:b w:val="0"/>
                <w:bCs w:val="0"/>
                <w:color w:val="auto"/>
                <w:kern w:val="0"/>
                <w:sz w:val="24"/>
                <w:szCs w:val="24"/>
                <w:lang w:val="en-US" w:eastAsia="zh-CN" w:bidi="ar"/>
              </w:rPr>
              <w:t>排放</w:t>
            </w:r>
            <w:r>
              <w:rPr>
                <w:rFonts w:hint="eastAsia"/>
                <w:sz w:val="24"/>
                <w:szCs w:val="24"/>
              </w:rPr>
              <w:t>。本项目活性炭每半年更换一次，活性炭更换量</w:t>
            </w:r>
            <w:r>
              <w:rPr>
                <w:rFonts w:hint="eastAsia"/>
                <w:sz w:val="24"/>
                <w:szCs w:val="24"/>
                <w:lang w:val="en-US" w:eastAsia="zh-CN"/>
              </w:rPr>
              <w:t>约</w:t>
            </w:r>
            <w:r>
              <w:rPr>
                <w:rFonts w:hint="eastAsia"/>
                <w:sz w:val="24"/>
                <w:szCs w:val="24"/>
              </w:rPr>
              <w:t>为</w:t>
            </w:r>
            <w:r>
              <w:rPr>
                <w:rFonts w:hint="eastAsia" w:hAnsi="宋体"/>
                <w:sz w:val="24"/>
                <w:szCs w:val="24"/>
                <w:lang w:val="en-US" w:eastAsia="zh-CN"/>
              </w:rPr>
              <w:t>12.8</w:t>
            </w:r>
            <w:r>
              <w:rPr>
                <w:rFonts w:hint="eastAsia" w:hAnsi="宋体"/>
                <w:sz w:val="24"/>
                <w:szCs w:val="24"/>
              </w:rPr>
              <w:t>kg</w:t>
            </w:r>
            <w:r>
              <w:rPr>
                <w:rFonts w:hAnsi="宋体"/>
                <w:sz w:val="24"/>
                <w:szCs w:val="24"/>
              </w:rPr>
              <w:t>/a</w:t>
            </w:r>
            <w:r>
              <w:rPr>
                <w:rFonts w:hint="eastAsia"/>
                <w:sz w:val="24"/>
                <w:szCs w:val="24"/>
              </w:rPr>
              <w:t>。</w:t>
            </w:r>
            <w:r>
              <w:rPr>
                <w:rFonts w:hint="default" w:ascii="Times New Roman" w:hAnsi="Times New Roman" w:eastAsia="宋体" w:cs="Times New Roman"/>
                <w:color w:val="000000"/>
                <w:kern w:val="0"/>
                <w:sz w:val="24"/>
                <w:szCs w:val="24"/>
                <w:lang w:val="en-US" w:eastAsia="zh-CN" w:bidi="ar"/>
              </w:rPr>
              <w:t>属于《国家危险废物名录》(2021 年版)中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HW49 其他废物非特定行业/900-041-49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，使用密封袋收集后暂存于</w:t>
            </w:r>
            <w:r>
              <w:rPr>
                <w:rFonts w:hint="eastAsia" w:ascii="Times New Roman" w:hAnsi="Times New Roman" w:eastAsia="宋体" w:cs="Times New Roman"/>
                <w:color w:val="000000"/>
                <w:kern w:val="0"/>
                <w:sz w:val="24"/>
                <w:szCs w:val="24"/>
                <w:lang w:val="en-US" w:eastAsia="zh-CN" w:bidi="ar"/>
              </w:rPr>
              <w:t>实验室危废</w:t>
            </w:r>
            <w:r>
              <w:rPr>
                <w:rFonts w:hint="default" w:ascii="Times New Roman" w:hAnsi="Times New Roman" w:eastAsia="宋体" w:cs="Times New Roman"/>
                <w:color w:val="000000"/>
                <w:kern w:val="0"/>
                <w:sz w:val="24"/>
                <w:szCs w:val="24"/>
                <w:lang w:val="en-US" w:eastAsia="zh-CN" w:bidi="ar"/>
              </w:rPr>
              <w:t>暂存间，签订危废处置协议并定期交由危废资质单位处理。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sz w:val="24"/>
              </w:rPr>
              <w:t>综上所述，本项目固体废物产生及处置情况见下表。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4-10</w:t>
            </w:r>
            <w:r>
              <w:rPr>
                <w:rFonts w:hint="default" w:ascii="Times New Roman" w:hAnsi="Times New Roman" w:eastAsia="黑体" w:cs="Times New Roman"/>
                <w:b w:val="0"/>
                <w:bCs/>
                <w:sz w:val="21"/>
                <w:szCs w:val="21"/>
              </w:rPr>
              <w:t xml:space="preserve">   本项目固体废物产生及处置措施一览表</w:t>
            </w:r>
          </w:p>
          <w:tbl>
            <w:tblPr>
              <w:tblStyle w:val="26"/>
              <w:tblW w:w="84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3"/>
              <w:gridCol w:w="1380"/>
              <w:gridCol w:w="720"/>
              <w:gridCol w:w="1140"/>
              <w:gridCol w:w="45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b/>
                      <w:bCs/>
                      <w:kern w:val="0"/>
                      <w:sz w:val="21"/>
                      <w:szCs w:val="21"/>
                    </w:rPr>
                  </w:pPr>
                  <w:r>
                    <w:rPr>
                      <w:rFonts w:hint="eastAsia"/>
                      <w:b/>
                      <w:bCs/>
                      <w:kern w:val="0"/>
                      <w:sz w:val="21"/>
                      <w:szCs w:val="21"/>
                    </w:rPr>
                    <w:t>序号</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b/>
                      <w:bCs/>
                      <w:kern w:val="0"/>
                      <w:sz w:val="21"/>
                      <w:szCs w:val="21"/>
                    </w:rPr>
                  </w:pPr>
                  <w:r>
                    <w:rPr>
                      <w:rFonts w:hint="eastAsia"/>
                      <w:b/>
                      <w:bCs/>
                      <w:kern w:val="0"/>
                      <w:sz w:val="21"/>
                      <w:szCs w:val="21"/>
                    </w:rPr>
                    <w:t>排放源</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b/>
                      <w:bCs/>
                      <w:kern w:val="0"/>
                      <w:sz w:val="21"/>
                      <w:szCs w:val="21"/>
                    </w:rPr>
                  </w:pPr>
                  <w:r>
                    <w:rPr>
                      <w:rFonts w:hint="eastAsia"/>
                      <w:b/>
                      <w:bCs/>
                      <w:kern w:val="0"/>
                      <w:sz w:val="21"/>
                      <w:szCs w:val="21"/>
                    </w:rPr>
                    <w:t>性质</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b/>
                      <w:bCs/>
                      <w:kern w:val="0"/>
                      <w:sz w:val="21"/>
                      <w:szCs w:val="21"/>
                    </w:rPr>
                  </w:pPr>
                  <w:r>
                    <w:rPr>
                      <w:rFonts w:hint="eastAsia"/>
                      <w:b/>
                      <w:bCs/>
                      <w:kern w:val="0"/>
                      <w:sz w:val="21"/>
                      <w:szCs w:val="21"/>
                    </w:rPr>
                    <w:t>产生量t/a</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b/>
                      <w:bCs/>
                      <w:kern w:val="0"/>
                      <w:sz w:val="21"/>
                      <w:szCs w:val="21"/>
                    </w:rPr>
                  </w:pPr>
                  <w:r>
                    <w:rPr>
                      <w:rFonts w:hint="eastAsia"/>
                      <w:b/>
                      <w:bCs/>
                      <w:kern w:val="0"/>
                      <w:sz w:val="21"/>
                      <w:szCs w:val="21"/>
                    </w:rPr>
                    <w:t>处理、处置方式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kern w:val="0"/>
                      <w:sz w:val="21"/>
                      <w:szCs w:val="21"/>
                    </w:rPr>
                    <w:t>1</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kern w:val="0"/>
                      <w:sz w:val="21"/>
                      <w:szCs w:val="21"/>
                    </w:rPr>
                    <w:t>生活垃圾</w:t>
                  </w:r>
                </w:p>
              </w:tc>
              <w:tc>
                <w:tcPr>
                  <w:tcW w:w="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kern w:val="0"/>
                      <w:sz w:val="21"/>
                      <w:szCs w:val="21"/>
                    </w:rPr>
                    <w:t>一般固废</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kern w:val="0"/>
                      <w:sz w:val="21"/>
                      <w:szCs w:val="21"/>
                      <w:lang w:val="en-US" w:eastAsia="zh-CN"/>
                    </w:rPr>
                    <w:t>1493.8</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ascii="宋体" w:hAnsi="宋体" w:eastAsia="宋体" w:cs="宋体"/>
                      <w:color w:val="000000"/>
                      <w:kern w:val="0"/>
                      <w:sz w:val="21"/>
                      <w:szCs w:val="21"/>
                      <w:lang w:val="en-US" w:eastAsia="zh-CN" w:bidi="ar"/>
                    </w:rPr>
                    <w:t>生活垃圾由校后勤处请专人每天将全校垃圾清运至垃圾临时堆放间，再统一运至市政垃圾站进行无害化处理，做到日产日清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kern w:val="0"/>
                      <w:sz w:val="21"/>
                      <w:szCs w:val="21"/>
                    </w:rPr>
                    <w:t>2</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eastAsia="zh-CN"/>
                    </w:rPr>
                  </w:pPr>
                  <w:r>
                    <w:rPr>
                      <w:rFonts w:hint="eastAsia" w:eastAsia="宋体"/>
                      <w:kern w:val="0"/>
                      <w:sz w:val="21"/>
                      <w:szCs w:val="21"/>
                      <w:lang w:val="en-US" w:eastAsia="zh-CN"/>
                    </w:rPr>
                    <w:t>餐厨垃圾</w:t>
                  </w:r>
                </w:p>
              </w:tc>
              <w:tc>
                <w:tcPr>
                  <w:tcW w:w="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kern w:val="0"/>
                      <w:sz w:val="21"/>
                      <w:szCs w:val="21"/>
                      <w:lang w:val="en-US" w:eastAsia="zh-CN"/>
                    </w:rPr>
                    <w:t>1493.8</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bidi="ar"/>
                    </w:rPr>
                    <w:t>项目建成运营前，建设单位落实并签订餐厨垃圾（含隔油池清掏油污</w:t>
                  </w:r>
                  <w:r>
                    <w:rPr>
                      <w:rFonts w:hint="eastAsia" w:ascii="Times New Roman" w:hAnsi="Times New Roman" w:eastAsia="宋体"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回收协议，桶装收集后送相关单位，每日运送，不得排入市政下水道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eastAsia="zh-CN"/>
                    </w:rPr>
                  </w:pPr>
                  <w:r>
                    <w:rPr>
                      <w:rFonts w:hint="eastAsia"/>
                      <w:kern w:val="0"/>
                      <w:sz w:val="21"/>
                      <w:szCs w:val="21"/>
                      <w:lang w:val="en-US" w:eastAsia="zh-CN"/>
                    </w:rPr>
                    <w:t>3</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eastAsia="宋体"/>
                      <w:kern w:val="0"/>
                      <w:sz w:val="21"/>
                      <w:szCs w:val="21"/>
                      <w:lang w:val="en-US" w:eastAsia="zh-CN"/>
                    </w:rPr>
                    <w:t>化粪池污泥</w:t>
                  </w:r>
                </w:p>
              </w:tc>
              <w:tc>
                <w:tcPr>
                  <w:tcW w:w="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eastAsia="zh-CN"/>
                    </w:rPr>
                  </w:pPr>
                  <w:r>
                    <w:rPr>
                      <w:rFonts w:hint="eastAsia"/>
                      <w:kern w:val="0"/>
                      <w:sz w:val="21"/>
                      <w:szCs w:val="21"/>
                      <w:lang w:val="en-US" w:eastAsia="zh-CN"/>
                    </w:rPr>
                    <w:t>2</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default" w:ascii="Times New Roman" w:hAnsi="Times New Roman" w:eastAsia="宋体" w:cs="Times New Roman"/>
                      <w:color w:val="000000"/>
                      <w:kern w:val="0"/>
                      <w:sz w:val="21"/>
                      <w:szCs w:val="21"/>
                      <w:lang w:val="en-US" w:eastAsia="zh-CN" w:bidi="ar"/>
                    </w:rPr>
                    <w:t>由环卫部门定期清掏处理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eastAsia="zh-CN"/>
                    </w:rPr>
                  </w:pPr>
                  <w:r>
                    <w:rPr>
                      <w:rFonts w:hint="eastAsia"/>
                      <w:kern w:val="0"/>
                      <w:sz w:val="21"/>
                      <w:szCs w:val="21"/>
                      <w:lang w:val="en-US" w:eastAsia="zh-CN"/>
                    </w:rPr>
                    <w:t>4</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eastAsia="宋体"/>
                      <w:kern w:val="0"/>
                      <w:sz w:val="21"/>
                      <w:szCs w:val="21"/>
                      <w:lang w:val="en-US" w:eastAsia="zh-CN"/>
                    </w:rPr>
                    <w:t>动物尸体</w:t>
                  </w:r>
                </w:p>
              </w:tc>
              <w:tc>
                <w:tcPr>
                  <w:tcW w:w="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val="en-US" w:eastAsia="zh-CN"/>
                    </w:rPr>
                  </w:pPr>
                  <w:r>
                    <w:rPr>
                      <w:rFonts w:hint="eastAsia"/>
                      <w:kern w:val="0"/>
                      <w:sz w:val="21"/>
                      <w:szCs w:val="21"/>
                    </w:rPr>
                    <w:t>0.</w:t>
                  </w:r>
                  <w:r>
                    <w:rPr>
                      <w:rFonts w:hint="eastAsia"/>
                      <w:kern w:val="0"/>
                      <w:sz w:val="21"/>
                      <w:szCs w:val="21"/>
                      <w:lang w:val="en-US" w:eastAsia="zh-CN"/>
                    </w:rPr>
                    <w:t>1</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default" w:ascii="Times New Roman" w:hAnsi="Times New Roman" w:eastAsia="宋体" w:cs="Times New Roman"/>
                      <w:color w:val="000000"/>
                      <w:kern w:val="0"/>
                      <w:sz w:val="21"/>
                      <w:szCs w:val="21"/>
                      <w:lang w:val="en-US" w:eastAsia="zh-CN" w:bidi="ar"/>
                    </w:rPr>
                    <w:t>装入专用尸体袋中存放于尸体冰柜内，动物垫料、动物粪便等废物经紫外线消毒处理后，与动物尸体一起委托具备《动物防疫条件合格证》等相关资质的单位运走，按规定进行集中无害化处理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eastAsia="宋体"/>
                      <w:kern w:val="0"/>
                      <w:sz w:val="21"/>
                      <w:szCs w:val="21"/>
                      <w:lang w:val="en-US" w:eastAsia="zh-CN" w:bidi="ar-SA"/>
                    </w:rPr>
                  </w:pPr>
                  <w:r>
                    <w:rPr>
                      <w:rFonts w:hint="eastAsia"/>
                      <w:kern w:val="0"/>
                      <w:sz w:val="21"/>
                      <w:szCs w:val="21"/>
                      <w:lang w:val="en-US" w:eastAsia="zh-CN"/>
                    </w:rPr>
                    <w:t>5</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kern w:val="0"/>
                      <w:sz w:val="21"/>
                      <w:szCs w:val="21"/>
                      <w:lang w:val="en-US" w:eastAsia="zh-CN"/>
                    </w:rPr>
                    <w:t>实验废弃物</w:t>
                  </w:r>
                </w:p>
              </w:tc>
              <w:tc>
                <w:tcPr>
                  <w:tcW w:w="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r>
                    <w:rPr>
                      <w:rFonts w:hint="eastAsia"/>
                      <w:kern w:val="0"/>
                      <w:sz w:val="21"/>
                      <w:szCs w:val="21"/>
                    </w:rPr>
                    <w:t>危险废物</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eastAsia="宋体"/>
                      <w:kern w:val="0"/>
                      <w:sz w:val="21"/>
                      <w:szCs w:val="21"/>
                      <w:lang w:val="en-US" w:eastAsia="zh-CN"/>
                    </w:rPr>
                    <w:t>0.1</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使用</w:t>
                  </w:r>
                  <w:r>
                    <w:rPr>
                      <w:rFonts w:hint="default" w:ascii="宋体" w:hAnsi="宋体" w:eastAsia="宋体" w:cs="宋体"/>
                      <w:b w:val="0"/>
                      <w:bCs w:val="0"/>
                      <w:color w:val="000000"/>
                      <w:kern w:val="0"/>
                      <w:sz w:val="21"/>
                      <w:szCs w:val="21"/>
                      <w:lang w:val="en-US" w:eastAsia="zh-CN" w:bidi="ar"/>
                    </w:rPr>
                    <w:t>密封瓶</w:t>
                  </w:r>
                  <w:r>
                    <w:rPr>
                      <w:rFonts w:hint="eastAsia" w:ascii="宋体" w:hAnsi="宋体" w:eastAsia="宋体" w:cs="宋体"/>
                      <w:b w:val="0"/>
                      <w:bCs w:val="0"/>
                      <w:color w:val="000000"/>
                      <w:kern w:val="0"/>
                      <w:sz w:val="21"/>
                      <w:szCs w:val="21"/>
                      <w:lang w:val="en-US" w:eastAsia="zh-CN" w:bidi="ar"/>
                    </w:rPr>
                    <w:t>/密封袋分类收集后暂存于实验室危废暂存间，</w:t>
                  </w:r>
                  <w:r>
                    <w:rPr>
                      <w:rFonts w:hint="default" w:ascii="Times New Roman" w:hAnsi="Times New Roman" w:eastAsia="宋体" w:cs="Times New Roman"/>
                      <w:color w:val="000000"/>
                      <w:kern w:val="0"/>
                      <w:sz w:val="21"/>
                      <w:szCs w:val="21"/>
                      <w:lang w:val="en-US" w:eastAsia="zh-CN" w:bidi="ar"/>
                    </w:rPr>
                    <w:t>签订危废处置协议并定期交由危废资质单位处理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kern w:val="0"/>
                      <w:sz w:val="21"/>
                      <w:szCs w:val="21"/>
                      <w:lang w:val="en-US" w:eastAsia="zh-CN"/>
                    </w:rPr>
                    <w:t>6</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废活性炭</w:t>
                  </w:r>
                </w:p>
              </w:tc>
              <w:tc>
                <w:tcPr>
                  <w:tcW w:w="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kern w:val="0"/>
                      <w:sz w:val="21"/>
                      <w:szCs w:val="21"/>
                    </w:rPr>
                  </w:pP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rPr>
                  </w:pPr>
                  <w:r>
                    <w:rPr>
                      <w:rFonts w:hint="eastAsia"/>
                      <w:kern w:val="0"/>
                      <w:sz w:val="21"/>
                      <w:szCs w:val="21"/>
                      <w:lang w:val="en-US" w:eastAsia="zh-CN"/>
                    </w:rPr>
                    <w:t>0.0128</w:t>
                  </w:r>
                </w:p>
              </w:tc>
              <w:tc>
                <w:tcPr>
                  <w:tcW w:w="45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使用密封袋收集后暂存于</w:t>
                  </w:r>
                  <w:r>
                    <w:rPr>
                      <w:rFonts w:hint="eastAsia" w:ascii="Times New Roman" w:hAnsi="Times New Roman" w:eastAsia="宋体" w:cs="Times New Roman"/>
                      <w:color w:val="000000"/>
                      <w:kern w:val="0"/>
                      <w:sz w:val="21"/>
                      <w:szCs w:val="21"/>
                      <w:lang w:val="en-US" w:eastAsia="zh-CN" w:bidi="ar"/>
                    </w:rPr>
                    <w:t>实验室危废</w:t>
                  </w:r>
                  <w:r>
                    <w:rPr>
                      <w:rFonts w:hint="default" w:ascii="Times New Roman" w:hAnsi="Times New Roman" w:eastAsia="宋体" w:cs="Times New Roman"/>
                      <w:color w:val="000000"/>
                      <w:kern w:val="0"/>
                      <w:sz w:val="21"/>
                      <w:szCs w:val="21"/>
                      <w:lang w:val="en-US" w:eastAsia="zh-CN" w:bidi="ar"/>
                    </w:rPr>
                    <w:t>暂存间，签订危废处置协议并定期交由危废资质单位处理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center"/>
              <w:textAlignment w:val="auto"/>
              <w:rPr>
                <w:rFonts w:hint="default" w:ascii="Times New Roman" w:hAnsi="Times New Roman" w:eastAsia="黑体" w:cs="Times New Roman"/>
                <w:b w:val="0"/>
                <w:bCs/>
                <w:sz w:val="21"/>
                <w:szCs w:val="21"/>
              </w:rPr>
            </w:pPr>
            <w:r>
              <w:rPr>
                <w:rFonts w:hint="eastAsia" w:ascii="Times New Roman" w:hAnsi="Times New Roman" w:eastAsia="黑体" w:cs="Times New Roman"/>
                <w:b w:val="0"/>
                <w:bCs/>
                <w:sz w:val="21"/>
                <w:szCs w:val="21"/>
              </w:rPr>
              <w:t>表</w:t>
            </w:r>
            <w:r>
              <w:rPr>
                <w:rFonts w:hint="eastAsia" w:ascii="Times New Roman" w:hAnsi="Times New Roman" w:eastAsia="黑体" w:cs="Times New Roman"/>
                <w:b w:val="0"/>
                <w:bCs/>
                <w:sz w:val="21"/>
                <w:szCs w:val="21"/>
                <w:lang w:val="en-US" w:eastAsia="zh-CN"/>
              </w:rPr>
              <w:t>4-11</w:t>
            </w:r>
            <w:r>
              <w:rPr>
                <w:rFonts w:hint="eastAsia" w:ascii="Times New Roman" w:hAnsi="Times New Roman" w:eastAsia="黑体" w:cs="Times New Roman"/>
                <w:b w:val="0"/>
                <w:bCs/>
                <w:sz w:val="21"/>
                <w:szCs w:val="21"/>
              </w:rPr>
              <w:t xml:space="preserve">  本项目危险废物汇总表</w:t>
            </w:r>
          </w:p>
          <w:tbl>
            <w:tblPr>
              <w:tblStyle w:val="26"/>
              <w:tblW w:w="846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4"/>
              <w:gridCol w:w="757"/>
              <w:gridCol w:w="720"/>
              <w:gridCol w:w="705"/>
              <w:gridCol w:w="758"/>
              <w:gridCol w:w="480"/>
              <w:gridCol w:w="465"/>
              <w:gridCol w:w="1365"/>
              <w:gridCol w:w="870"/>
              <w:gridCol w:w="457"/>
              <w:gridCol w:w="14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44"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序号</w:t>
                  </w:r>
                </w:p>
              </w:tc>
              <w:tc>
                <w:tcPr>
                  <w:tcW w:w="447"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名称</w:t>
                  </w:r>
                </w:p>
              </w:tc>
              <w:tc>
                <w:tcPr>
                  <w:tcW w:w="425"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类别</w:t>
                  </w:r>
                </w:p>
                <w:p>
                  <w:pPr>
                    <w:adjustRightInd w:val="0"/>
                    <w:snapToGrid w:val="0"/>
                    <w:spacing w:line="25" w:lineRule="atLeast"/>
                    <w:jc w:val="center"/>
                    <w:rPr>
                      <w:b/>
                      <w:bCs/>
                      <w:kern w:val="0"/>
                      <w:sz w:val="21"/>
                      <w:szCs w:val="21"/>
                    </w:rPr>
                  </w:pPr>
                  <w:r>
                    <w:rPr>
                      <w:rFonts w:hint="eastAsia"/>
                      <w:b/>
                      <w:bCs/>
                      <w:kern w:val="0"/>
                      <w:sz w:val="21"/>
                      <w:szCs w:val="21"/>
                    </w:rPr>
                    <w:t>代码</w:t>
                  </w:r>
                </w:p>
              </w:tc>
              <w:tc>
                <w:tcPr>
                  <w:tcW w:w="416"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产生量t/a</w:t>
                  </w:r>
                </w:p>
              </w:tc>
              <w:tc>
                <w:tcPr>
                  <w:tcW w:w="447"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产生工序及装置</w:t>
                  </w:r>
                </w:p>
              </w:tc>
              <w:tc>
                <w:tcPr>
                  <w:tcW w:w="283"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形态</w:t>
                  </w:r>
                </w:p>
              </w:tc>
              <w:tc>
                <w:tcPr>
                  <w:tcW w:w="274"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产废周期</w:t>
                  </w:r>
                </w:p>
              </w:tc>
              <w:tc>
                <w:tcPr>
                  <w:tcW w:w="806"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主要成分</w:t>
                  </w:r>
                </w:p>
              </w:tc>
              <w:tc>
                <w:tcPr>
                  <w:tcW w:w="513"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有害成分</w:t>
                  </w:r>
                </w:p>
              </w:tc>
              <w:tc>
                <w:tcPr>
                  <w:tcW w:w="269" w:type="pct"/>
                  <w:tcBorders>
                    <w:tl2br w:val="nil"/>
                    <w:tr2bl w:val="nil"/>
                  </w:tcBorders>
                  <w:noWrap w:val="0"/>
                  <w:vAlign w:val="center"/>
                </w:tcPr>
                <w:p>
                  <w:pPr>
                    <w:adjustRightInd w:val="0"/>
                    <w:snapToGrid w:val="0"/>
                    <w:spacing w:line="25" w:lineRule="atLeast"/>
                    <w:jc w:val="center"/>
                    <w:rPr>
                      <w:rFonts w:hint="eastAsia"/>
                      <w:b/>
                      <w:bCs/>
                      <w:kern w:val="0"/>
                      <w:sz w:val="21"/>
                      <w:szCs w:val="21"/>
                    </w:rPr>
                  </w:pPr>
                  <w:r>
                    <w:rPr>
                      <w:rFonts w:hint="eastAsia"/>
                      <w:b/>
                      <w:bCs/>
                      <w:kern w:val="0"/>
                      <w:sz w:val="21"/>
                      <w:szCs w:val="21"/>
                    </w:rPr>
                    <w:t>危险特性</w:t>
                  </w:r>
                </w:p>
              </w:tc>
              <w:tc>
                <w:tcPr>
                  <w:tcW w:w="871" w:type="pct"/>
                  <w:tcBorders>
                    <w:tl2br w:val="nil"/>
                    <w:tr2bl w:val="nil"/>
                  </w:tcBorders>
                  <w:noWrap w:val="0"/>
                  <w:vAlign w:val="center"/>
                </w:tcPr>
                <w:p>
                  <w:pPr>
                    <w:adjustRightInd w:val="0"/>
                    <w:snapToGrid w:val="0"/>
                    <w:spacing w:line="25" w:lineRule="atLeast"/>
                    <w:jc w:val="center"/>
                    <w:rPr>
                      <w:rFonts w:hint="eastAsia"/>
                      <w:b/>
                      <w:bCs/>
                      <w:kern w:val="0"/>
                      <w:sz w:val="21"/>
                      <w:szCs w:val="21"/>
                    </w:rPr>
                  </w:pPr>
                  <w:r>
                    <w:rPr>
                      <w:rFonts w:hint="eastAsia"/>
                      <w:b/>
                      <w:bCs/>
                      <w:kern w:val="0"/>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44"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kern w:val="0"/>
                      <w:sz w:val="21"/>
                      <w:szCs w:val="21"/>
                    </w:rPr>
                    <w:t>1</w:t>
                  </w:r>
                </w:p>
              </w:tc>
              <w:tc>
                <w:tcPr>
                  <w:tcW w:w="447"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kern w:val="0"/>
                      <w:sz w:val="21"/>
                      <w:szCs w:val="21"/>
                      <w:lang w:val="en-US" w:eastAsia="zh-CN"/>
                    </w:rPr>
                    <w:t>实验废弃物</w:t>
                  </w:r>
                </w:p>
              </w:tc>
              <w:tc>
                <w:tcPr>
                  <w:tcW w:w="425" w:type="pct"/>
                  <w:vMerge w:val="restar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eastAsia="宋体" w:cs="Times New Roman"/>
                      <w:color w:val="000000"/>
                      <w:kern w:val="0"/>
                      <w:sz w:val="21"/>
                      <w:szCs w:val="21"/>
                      <w:lang w:val="en-US" w:eastAsia="zh-CN" w:bidi="ar"/>
                    </w:rPr>
                    <w:t>HW49/900-047-49</w:t>
                  </w:r>
                </w:p>
              </w:tc>
              <w:tc>
                <w:tcPr>
                  <w:tcW w:w="416"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kern w:val="0"/>
                      <w:sz w:val="21"/>
                      <w:szCs w:val="21"/>
                      <w:lang w:val="en-US" w:eastAsia="zh-CN"/>
                    </w:rPr>
                    <w:t>0.1</w:t>
                  </w:r>
                </w:p>
              </w:tc>
              <w:tc>
                <w:tcPr>
                  <w:tcW w:w="447"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kern w:val="0"/>
                      <w:sz w:val="21"/>
                      <w:szCs w:val="21"/>
                    </w:rPr>
                    <w:t>实验</w:t>
                  </w:r>
                </w:p>
              </w:tc>
              <w:tc>
                <w:tcPr>
                  <w:tcW w:w="283"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rPr>
                    <w:t>液</w:t>
                  </w:r>
                  <w:r>
                    <w:rPr>
                      <w:rFonts w:hint="eastAsia"/>
                      <w:kern w:val="0"/>
                      <w:sz w:val="21"/>
                      <w:szCs w:val="21"/>
                      <w:lang w:val="en-US" w:eastAsia="zh-CN"/>
                    </w:rPr>
                    <w:t>态固态</w:t>
                  </w:r>
                </w:p>
              </w:tc>
              <w:tc>
                <w:tcPr>
                  <w:tcW w:w="274"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eastAsia="zh-CN"/>
                    </w:rPr>
                  </w:pPr>
                  <w:r>
                    <w:rPr>
                      <w:rFonts w:hint="eastAsia"/>
                      <w:kern w:val="0"/>
                      <w:sz w:val="21"/>
                      <w:szCs w:val="21"/>
                      <w:lang w:val="en-US" w:eastAsia="zh-CN"/>
                    </w:rPr>
                    <w:t>半月</w:t>
                  </w:r>
                </w:p>
              </w:tc>
              <w:tc>
                <w:tcPr>
                  <w:tcW w:w="806"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eastAsia="zh-CN"/>
                    </w:rPr>
                  </w:pPr>
                  <w:r>
                    <w:rPr>
                      <w:rFonts w:hint="eastAsia" w:ascii="宋体" w:hAnsi="宋体" w:eastAsia="宋体" w:cs="宋体"/>
                      <w:b w:val="0"/>
                      <w:bCs w:val="0"/>
                      <w:color w:val="000000"/>
                      <w:kern w:val="0"/>
                      <w:sz w:val="21"/>
                      <w:szCs w:val="21"/>
                      <w:lang w:val="en-US" w:eastAsia="zh-CN" w:bidi="ar"/>
                    </w:rPr>
                    <w:t>实验废液、废试剂、废试剂瓶、废培养基、</w:t>
                  </w:r>
                  <w:r>
                    <w:rPr>
                      <w:rFonts w:hint="default" w:ascii="Times New Roman" w:hAnsi="Times New Roman" w:eastAsia="宋体" w:cs="Times New Roman"/>
                      <w:b w:val="0"/>
                      <w:bCs w:val="0"/>
                      <w:color w:val="000000"/>
                      <w:kern w:val="0"/>
                      <w:sz w:val="21"/>
                      <w:szCs w:val="21"/>
                      <w:lang w:val="en-US" w:eastAsia="zh-CN" w:bidi="ar"/>
                    </w:rPr>
                    <w:t>废沾染物（口罩、无尘布、手套等）</w:t>
                  </w:r>
                </w:p>
              </w:tc>
              <w:tc>
                <w:tcPr>
                  <w:tcW w:w="513"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ascii="宋体" w:hAnsi="宋体" w:eastAsia="宋体" w:cs="宋体"/>
                      <w:b w:val="0"/>
                      <w:bCs w:val="0"/>
                      <w:color w:val="000000"/>
                      <w:kern w:val="0"/>
                      <w:sz w:val="21"/>
                      <w:szCs w:val="21"/>
                      <w:lang w:val="en-US" w:eastAsia="zh-CN" w:bidi="ar"/>
                    </w:rPr>
                    <w:t>实验废液、废试剂</w:t>
                  </w:r>
                </w:p>
              </w:tc>
              <w:tc>
                <w:tcPr>
                  <w:tcW w:w="269"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kern w:val="0"/>
                      <w:sz w:val="21"/>
                      <w:szCs w:val="21"/>
                    </w:rPr>
                    <w:t>T/C/I/R</w:t>
                  </w:r>
                </w:p>
              </w:tc>
              <w:tc>
                <w:tcPr>
                  <w:tcW w:w="871"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ascii="Times New Roman" w:hAnsi="Times New Roman" w:eastAsia="宋体" w:cs="Times New Roman"/>
                      <w:color w:val="000000"/>
                      <w:kern w:val="0"/>
                      <w:sz w:val="21"/>
                      <w:szCs w:val="21"/>
                      <w:lang w:val="en-US" w:eastAsia="zh-CN" w:bidi="ar"/>
                    </w:rPr>
                    <w:t>使用</w:t>
                  </w:r>
                  <w:r>
                    <w:rPr>
                      <w:rFonts w:hint="default" w:ascii="宋体" w:hAnsi="宋体" w:eastAsia="宋体" w:cs="宋体"/>
                      <w:b w:val="0"/>
                      <w:bCs w:val="0"/>
                      <w:color w:val="000000"/>
                      <w:kern w:val="0"/>
                      <w:sz w:val="21"/>
                      <w:szCs w:val="21"/>
                      <w:lang w:val="en-US" w:eastAsia="zh-CN" w:bidi="ar"/>
                    </w:rPr>
                    <w:t>密封瓶</w:t>
                  </w:r>
                  <w:r>
                    <w:rPr>
                      <w:rFonts w:hint="eastAsia" w:ascii="宋体" w:hAnsi="宋体" w:eastAsia="宋体" w:cs="宋体"/>
                      <w:b w:val="0"/>
                      <w:bCs w:val="0"/>
                      <w:color w:val="000000"/>
                      <w:kern w:val="0"/>
                      <w:sz w:val="21"/>
                      <w:szCs w:val="21"/>
                      <w:lang w:val="en-US" w:eastAsia="zh-CN" w:bidi="ar"/>
                    </w:rPr>
                    <w:t>/密封袋分类收集后暂存于实验室危废暂存间，</w:t>
                  </w:r>
                  <w:r>
                    <w:rPr>
                      <w:rFonts w:hint="default" w:ascii="Times New Roman" w:hAnsi="Times New Roman" w:eastAsia="宋体" w:cs="Times New Roman"/>
                      <w:color w:val="000000"/>
                      <w:kern w:val="0"/>
                      <w:sz w:val="21"/>
                      <w:szCs w:val="21"/>
                      <w:lang w:val="en-US" w:eastAsia="zh-CN" w:bidi="ar"/>
                    </w:rPr>
                    <w:t>签订危废处置协议并定期交由危废资质单位处理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44"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2</w:t>
                  </w:r>
                </w:p>
              </w:tc>
              <w:tc>
                <w:tcPr>
                  <w:tcW w:w="447" w:type="pct"/>
                  <w:tcBorders>
                    <w:tl2br w:val="nil"/>
                    <w:tr2bl w:val="nil"/>
                  </w:tcBorders>
                  <w:noWrap w:val="0"/>
                  <w:vAlign w:val="center"/>
                </w:tcPr>
                <w:p>
                  <w:pPr>
                    <w:adjustRightInd w:val="0"/>
                    <w:snapToGrid w:val="0"/>
                    <w:spacing w:line="25" w:lineRule="atLeast"/>
                    <w:jc w:val="center"/>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废活性炭</w:t>
                  </w:r>
                </w:p>
              </w:tc>
              <w:tc>
                <w:tcPr>
                  <w:tcW w:w="425" w:type="pct"/>
                  <w:vMerge w:val="continue"/>
                  <w:tcBorders>
                    <w:tl2br w:val="nil"/>
                    <w:tr2bl w:val="nil"/>
                  </w:tcBorders>
                  <w:noWrap w:val="0"/>
                  <w:vAlign w:val="center"/>
                </w:tcPr>
                <w:p>
                  <w:pPr>
                    <w:adjustRightInd w:val="0"/>
                    <w:snapToGrid w:val="0"/>
                    <w:spacing w:line="25" w:lineRule="atLeast"/>
                    <w:jc w:val="center"/>
                    <w:rPr>
                      <w:rFonts w:hint="eastAsia"/>
                      <w:kern w:val="0"/>
                      <w:sz w:val="21"/>
                      <w:szCs w:val="21"/>
                    </w:rPr>
                  </w:pPr>
                </w:p>
              </w:tc>
              <w:tc>
                <w:tcPr>
                  <w:tcW w:w="416"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bidi="ar-SA"/>
                    </w:rPr>
                  </w:pPr>
                  <w:r>
                    <w:rPr>
                      <w:rFonts w:hint="eastAsia"/>
                      <w:kern w:val="0"/>
                      <w:sz w:val="21"/>
                      <w:szCs w:val="21"/>
                      <w:lang w:val="en-US" w:eastAsia="zh-CN"/>
                    </w:rPr>
                    <w:t>0.0128</w:t>
                  </w:r>
                </w:p>
              </w:tc>
              <w:tc>
                <w:tcPr>
                  <w:tcW w:w="447"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rFonts w:hint="eastAsia"/>
                      <w:kern w:val="0"/>
                      <w:sz w:val="21"/>
                      <w:szCs w:val="21"/>
                      <w:lang w:val="en-US" w:eastAsia="zh-CN"/>
                    </w:rPr>
                    <w:t>废气处理</w:t>
                  </w:r>
                </w:p>
              </w:tc>
              <w:tc>
                <w:tcPr>
                  <w:tcW w:w="283"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固态</w:t>
                  </w:r>
                </w:p>
              </w:tc>
              <w:tc>
                <w:tcPr>
                  <w:tcW w:w="274"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rFonts w:hint="eastAsia"/>
                      <w:kern w:val="0"/>
                      <w:sz w:val="21"/>
                      <w:szCs w:val="21"/>
                      <w:lang w:val="en-US" w:eastAsia="zh-CN"/>
                    </w:rPr>
                    <w:t>半年</w:t>
                  </w:r>
                </w:p>
              </w:tc>
              <w:tc>
                <w:tcPr>
                  <w:tcW w:w="806"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w:t>
                  </w:r>
                </w:p>
              </w:tc>
              <w:tc>
                <w:tcPr>
                  <w:tcW w:w="513" w:type="pct"/>
                  <w:tcBorders>
                    <w:tl2br w:val="nil"/>
                    <w:tr2bl w:val="nil"/>
                  </w:tcBorders>
                  <w:noWrap w:val="0"/>
                  <w:vAlign w:val="center"/>
                </w:tcPr>
                <w:p>
                  <w:pPr>
                    <w:adjustRightInd w:val="0"/>
                    <w:snapToGrid w:val="0"/>
                    <w:spacing w:line="25" w:lineRule="atLeast"/>
                    <w:jc w:val="center"/>
                    <w:rPr>
                      <w:rFonts w:hint="default" w:eastAsia="宋体"/>
                      <w:kern w:val="0"/>
                      <w:sz w:val="21"/>
                      <w:szCs w:val="21"/>
                      <w:vertAlign w:val="subscript"/>
                      <w:lang w:val="en-US" w:eastAsia="zh-CN"/>
                    </w:rPr>
                  </w:pPr>
                  <w:r>
                    <w:rPr>
                      <w:rFonts w:hint="eastAsia"/>
                      <w:kern w:val="0"/>
                      <w:sz w:val="21"/>
                      <w:szCs w:val="21"/>
                      <w:lang w:val="en-US" w:eastAsia="zh-CN"/>
                    </w:rPr>
                    <w:t>VOC</w:t>
                  </w:r>
                  <w:r>
                    <w:rPr>
                      <w:rFonts w:hint="eastAsia"/>
                      <w:kern w:val="0"/>
                      <w:sz w:val="21"/>
                      <w:szCs w:val="21"/>
                      <w:vertAlign w:val="subscript"/>
                      <w:lang w:val="en-US" w:eastAsia="zh-CN"/>
                    </w:rPr>
                    <w:t>s</w:t>
                  </w:r>
                </w:p>
              </w:tc>
              <w:tc>
                <w:tcPr>
                  <w:tcW w:w="269"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kern w:val="0"/>
                      <w:sz w:val="21"/>
                      <w:szCs w:val="21"/>
                    </w:rPr>
                    <w:t>T/</w:t>
                  </w:r>
                  <w:r>
                    <w:rPr>
                      <w:rFonts w:hint="eastAsia"/>
                      <w:kern w:val="0"/>
                      <w:sz w:val="21"/>
                      <w:szCs w:val="21"/>
                      <w:lang w:val="en-US" w:eastAsia="zh-CN"/>
                    </w:rPr>
                    <w:t>In</w:t>
                  </w:r>
                </w:p>
              </w:tc>
              <w:tc>
                <w:tcPr>
                  <w:tcW w:w="871" w:type="pc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eastAsia="宋体" w:cs="Times New Roman"/>
                      <w:color w:val="000000"/>
                      <w:kern w:val="0"/>
                      <w:sz w:val="21"/>
                      <w:szCs w:val="21"/>
                      <w:lang w:val="en-US" w:eastAsia="zh-CN" w:bidi="ar"/>
                    </w:rPr>
                    <w:t>使用密封袋收集后暂存于</w:t>
                  </w:r>
                  <w:r>
                    <w:rPr>
                      <w:rFonts w:hint="eastAsia" w:ascii="Times New Roman" w:hAnsi="Times New Roman" w:eastAsia="宋体" w:cs="Times New Roman"/>
                      <w:color w:val="000000"/>
                      <w:kern w:val="0"/>
                      <w:sz w:val="21"/>
                      <w:szCs w:val="21"/>
                      <w:lang w:val="en-US" w:eastAsia="zh-CN" w:bidi="ar"/>
                    </w:rPr>
                    <w:t>实验室危废</w:t>
                  </w:r>
                  <w:r>
                    <w:rPr>
                      <w:rFonts w:hint="default" w:ascii="Times New Roman" w:hAnsi="Times New Roman" w:eastAsia="宋体" w:cs="Times New Roman"/>
                      <w:color w:val="000000"/>
                      <w:kern w:val="0"/>
                      <w:sz w:val="21"/>
                      <w:szCs w:val="21"/>
                      <w:lang w:val="en-US" w:eastAsia="zh-CN" w:bidi="ar"/>
                    </w:rPr>
                    <w:t>暂存间，签订危废处置协议并定期交由危废资质单位处理</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4-1</w:t>
            </w:r>
            <w:r>
              <w:rPr>
                <w:rFonts w:hint="eastAsia"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 xml:space="preserve">  本项目</w:t>
            </w:r>
            <w:r>
              <w:rPr>
                <w:rFonts w:hint="default" w:ascii="Times New Roman" w:hAnsi="Times New Roman" w:eastAsia="黑体" w:cs="Times New Roman"/>
                <w:b w:val="0"/>
                <w:bCs/>
                <w:color w:val="000000"/>
                <w:kern w:val="0"/>
                <w:sz w:val="21"/>
                <w:szCs w:val="21"/>
                <w:lang w:val="en-US" w:eastAsia="zh-CN" w:bidi="ar"/>
              </w:rPr>
              <w:t>危险废物贮存场所（设施）基本情况表</w:t>
            </w:r>
          </w:p>
          <w:tbl>
            <w:tblPr>
              <w:tblStyle w:val="26"/>
              <w:tblW w:w="49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53"/>
              <w:gridCol w:w="1542"/>
              <w:gridCol w:w="883"/>
              <w:gridCol w:w="1212"/>
              <w:gridCol w:w="449"/>
              <w:gridCol w:w="718"/>
              <w:gridCol w:w="868"/>
              <w:gridCol w:w="643"/>
              <w:gridCol w:w="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rPr>
                    <w:t>序号</w:t>
                  </w:r>
                </w:p>
              </w:tc>
              <w:tc>
                <w:tcPr>
                  <w:tcW w:w="513" w:type="pct"/>
                  <w:tcBorders>
                    <w:tl2br w:val="nil"/>
                    <w:tr2bl w:val="nil"/>
                  </w:tcBorders>
                  <w:noWrap w:val="0"/>
                  <w:vAlign w:val="center"/>
                </w:tcPr>
                <w:p>
                  <w:pPr>
                    <w:adjustRightInd w:val="0"/>
                    <w:snapToGrid w:val="0"/>
                    <w:spacing w:line="25" w:lineRule="atLeast"/>
                    <w:jc w:val="center"/>
                    <w:rPr>
                      <w:b/>
                      <w:bCs/>
                      <w:kern w:val="0"/>
                      <w:sz w:val="21"/>
                      <w:szCs w:val="21"/>
                    </w:rPr>
                  </w:pPr>
                  <w:r>
                    <w:rPr>
                      <w:rFonts w:hint="eastAsia"/>
                      <w:b/>
                      <w:bCs/>
                      <w:kern w:val="0"/>
                      <w:sz w:val="21"/>
                      <w:szCs w:val="21"/>
                      <w:lang w:val="en-US" w:eastAsia="zh-CN"/>
                    </w:rPr>
                    <w:t>储存场所</w:t>
                  </w:r>
                  <w:r>
                    <w:rPr>
                      <w:rFonts w:hint="eastAsia"/>
                      <w:b/>
                      <w:bCs/>
                      <w:kern w:val="0"/>
                      <w:sz w:val="21"/>
                      <w:szCs w:val="21"/>
                    </w:rPr>
                    <w:t>名称</w:t>
                  </w:r>
                </w:p>
              </w:tc>
              <w:tc>
                <w:tcPr>
                  <w:tcW w:w="928"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危险废物名称</w:t>
                  </w:r>
                </w:p>
              </w:tc>
              <w:tc>
                <w:tcPr>
                  <w:tcW w:w="531"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危险废物类别</w:t>
                  </w:r>
                </w:p>
              </w:tc>
              <w:tc>
                <w:tcPr>
                  <w:tcW w:w="729"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危险废物代码</w:t>
                  </w:r>
                </w:p>
              </w:tc>
              <w:tc>
                <w:tcPr>
                  <w:tcW w:w="270" w:type="pct"/>
                  <w:tcBorders>
                    <w:tl2br w:val="nil"/>
                    <w:tr2bl w:val="nil"/>
                  </w:tcBorders>
                  <w:noWrap w:val="0"/>
                  <w:vAlign w:val="center"/>
                </w:tcPr>
                <w:p>
                  <w:pPr>
                    <w:adjustRightInd w:val="0"/>
                    <w:snapToGrid w:val="0"/>
                    <w:spacing w:line="25" w:lineRule="atLeast"/>
                    <w:jc w:val="center"/>
                    <w:rPr>
                      <w:rFonts w:hint="eastAsia" w:eastAsia="宋体"/>
                      <w:b/>
                      <w:bCs/>
                      <w:kern w:val="0"/>
                      <w:sz w:val="21"/>
                      <w:szCs w:val="21"/>
                      <w:lang w:eastAsia="zh-CN"/>
                    </w:rPr>
                  </w:pPr>
                  <w:r>
                    <w:rPr>
                      <w:rFonts w:hint="eastAsia"/>
                      <w:b/>
                      <w:bCs/>
                      <w:kern w:val="0"/>
                      <w:sz w:val="21"/>
                      <w:szCs w:val="21"/>
                      <w:lang w:val="en-US" w:eastAsia="zh-CN"/>
                    </w:rPr>
                    <w:t>位置</w:t>
                  </w:r>
                </w:p>
              </w:tc>
              <w:tc>
                <w:tcPr>
                  <w:tcW w:w="432"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占地面积</w:t>
                  </w:r>
                </w:p>
              </w:tc>
              <w:tc>
                <w:tcPr>
                  <w:tcW w:w="522"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储存方式</w:t>
                  </w:r>
                </w:p>
              </w:tc>
              <w:tc>
                <w:tcPr>
                  <w:tcW w:w="387"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储存能力</w:t>
                  </w:r>
                </w:p>
              </w:tc>
              <w:tc>
                <w:tcPr>
                  <w:tcW w:w="420" w:type="pct"/>
                  <w:tcBorders>
                    <w:tl2br w:val="nil"/>
                    <w:tr2bl w:val="nil"/>
                  </w:tcBorders>
                  <w:noWrap w:val="0"/>
                  <w:vAlign w:val="center"/>
                </w:tcPr>
                <w:p>
                  <w:pPr>
                    <w:adjustRightInd w:val="0"/>
                    <w:snapToGrid w:val="0"/>
                    <w:spacing w:line="25" w:lineRule="atLeast"/>
                    <w:jc w:val="center"/>
                    <w:rPr>
                      <w:rFonts w:hint="default" w:eastAsia="宋体"/>
                      <w:b/>
                      <w:bCs/>
                      <w:kern w:val="0"/>
                      <w:sz w:val="21"/>
                      <w:szCs w:val="21"/>
                      <w:lang w:val="en-US" w:eastAsia="zh-CN"/>
                    </w:rPr>
                  </w:pPr>
                  <w:r>
                    <w:rPr>
                      <w:rFonts w:hint="eastAsia"/>
                      <w:b/>
                      <w:bCs/>
                      <w:kern w:val="0"/>
                      <w:sz w:val="21"/>
                      <w:szCs w:val="21"/>
                      <w:lang w:val="en-US" w:eastAsia="zh-CN"/>
                    </w:rPr>
                    <w:t>储存周期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kern w:val="0"/>
                      <w:sz w:val="21"/>
                      <w:szCs w:val="21"/>
                    </w:rPr>
                    <w:t>1</w:t>
                  </w:r>
                </w:p>
              </w:tc>
              <w:tc>
                <w:tcPr>
                  <w:tcW w:w="513" w:type="pct"/>
                  <w:vMerge w:val="restar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危废</w:t>
                  </w:r>
                  <w:r>
                    <w:rPr>
                      <w:rFonts w:hint="default" w:ascii="Times New Roman" w:hAnsi="Times New Roman" w:eastAsia="宋体" w:cs="Times New Roman"/>
                      <w:color w:val="000000"/>
                      <w:kern w:val="0"/>
                      <w:sz w:val="21"/>
                      <w:szCs w:val="21"/>
                      <w:lang w:val="en-US" w:eastAsia="zh-CN" w:bidi="ar"/>
                    </w:rPr>
                    <w:t>暂存间</w:t>
                  </w:r>
                </w:p>
              </w:tc>
              <w:tc>
                <w:tcPr>
                  <w:tcW w:w="928"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eastAsia"/>
                      <w:kern w:val="0"/>
                      <w:sz w:val="21"/>
                      <w:szCs w:val="21"/>
                      <w:lang w:val="en-US" w:eastAsia="zh-CN"/>
                    </w:rPr>
                    <w:t>实验废弃物</w:t>
                  </w:r>
                </w:p>
              </w:tc>
              <w:tc>
                <w:tcPr>
                  <w:tcW w:w="531"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HW</w:t>
                  </w:r>
                  <w:r>
                    <w:rPr>
                      <w:rFonts w:hint="eastAsia" w:ascii="Times New Roman" w:hAnsi="Times New Roman" w:eastAsia="宋体" w:cs="Times New Roman"/>
                      <w:color w:val="000000"/>
                      <w:kern w:val="0"/>
                      <w:sz w:val="21"/>
                      <w:szCs w:val="21"/>
                      <w:lang w:val="en-US" w:eastAsia="zh-CN" w:bidi="ar"/>
                    </w:rPr>
                    <w:t>49</w:t>
                  </w:r>
                </w:p>
              </w:tc>
              <w:tc>
                <w:tcPr>
                  <w:tcW w:w="729" w:type="pct"/>
                  <w:vMerge w:val="restart"/>
                  <w:tcBorders>
                    <w:tl2br w:val="nil"/>
                    <w:tr2bl w:val="nil"/>
                  </w:tcBorders>
                  <w:noWrap w:val="0"/>
                  <w:vAlign w:val="center"/>
                </w:tcPr>
                <w:p>
                  <w:pPr>
                    <w:adjustRightInd w:val="0"/>
                    <w:snapToGrid w:val="0"/>
                    <w:spacing w:line="25" w:lineRule="atLeast"/>
                    <w:jc w:val="center"/>
                    <w:rPr>
                      <w:kern w:val="0"/>
                      <w:sz w:val="21"/>
                      <w:szCs w:val="21"/>
                    </w:rPr>
                  </w:pPr>
                  <w:r>
                    <w:rPr>
                      <w:rFonts w:hint="default" w:ascii="Times New Roman" w:hAnsi="Times New Roman" w:eastAsia="宋体" w:cs="Times New Roman"/>
                      <w:color w:val="000000"/>
                      <w:kern w:val="0"/>
                      <w:sz w:val="21"/>
                      <w:szCs w:val="21"/>
                      <w:lang w:val="en-US" w:eastAsia="zh-CN" w:bidi="ar"/>
                    </w:rPr>
                    <w:t>900-047-49</w:t>
                  </w:r>
                </w:p>
              </w:tc>
              <w:tc>
                <w:tcPr>
                  <w:tcW w:w="270" w:type="pct"/>
                  <w:vMerge w:val="restar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项目实验室</w:t>
                  </w:r>
                </w:p>
              </w:tc>
              <w:tc>
                <w:tcPr>
                  <w:tcW w:w="432" w:type="pct"/>
                  <w:vMerge w:val="restart"/>
                  <w:tcBorders>
                    <w:tl2br w:val="nil"/>
                    <w:tr2bl w:val="nil"/>
                  </w:tcBorders>
                  <w:noWrap w:val="0"/>
                  <w:vAlign w:val="center"/>
                </w:tcPr>
                <w:p>
                  <w:pPr>
                    <w:adjustRightInd w:val="0"/>
                    <w:snapToGrid w:val="0"/>
                    <w:spacing w:line="25" w:lineRule="atLeast"/>
                    <w:jc w:val="center"/>
                    <w:rPr>
                      <w:rFonts w:hint="default" w:eastAsia="宋体"/>
                      <w:kern w:val="0"/>
                      <w:sz w:val="21"/>
                      <w:szCs w:val="21"/>
                      <w:vertAlign w:val="superscript"/>
                      <w:lang w:val="en-US" w:eastAsia="zh-CN"/>
                    </w:rPr>
                  </w:pPr>
                  <w:r>
                    <w:rPr>
                      <w:rFonts w:hint="eastAsia" w:eastAsia="宋体"/>
                      <w:kern w:val="0"/>
                      <w:sz w:val="21"/>
                      <w:szCs w:val="21"/>
                      <w:lang w:val="en-US" w:eastAsia="zh-CN"/>
                    </w:rPr>
                    <w:t>5m</w:t>
                  </w:r>
                  <w:r>
                    <w:rPr>
                      <w:rFonts w:hint="eastAsia" w:eastAsia="宋体"/>
                      <w:kern w:val="0"/>
                      <w:sz w:val="21"/>
                      <w:szCs w:val="21"/>
                      <w:vertAlign w:val="superscript"/>
                      <w:lang w:val="en-US" w:eastAsia="zh-CN"/>
                    </w:rPr>
                    <w:t>2</w:t>
                  </w:r>
                </w:p>
              </w:tc>
              <w:tc>
                <w:tcPr>
                  <w:tcW w:w="52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default" w:ascii="Times New Roman" w:hAnsi="Times New Roman" w:eastAsia="宋体" w:cs="Times New Roman"/>
                      <w:color w:val="000000"/>
                      <w:kern w:val="0"/>
                      <w:sz w:val="21"/>
                      <w:szCs w:val="21"/>
                      <w:lang w:val="en-US" w:eastAsia="zh-CN" w:bidi="ar"/>
                    </w:rPr>
                    <w:t>密封瓶</w:t>
                  </w:r>
                  <w:r>
                    <w:rPr>
                      <w:rFonts w:hint="eastAsia" w:ascii="Times New Roman" w:hAnsi="Times New Roman" w:eastAsia="宋体" w:cs="Times New Roman"/>
                      <w:color w:val="000000"/>
                      <w:kern w:val="0"/>
                      <w:sz w:val="21"/>
                      <w:szCs w:val="21"/>
                      <w:lang w:val="en-US" w:eastAsia="zh-CN" w:bidi="ar"/>
                    </w:rPr>
                    <w:t>/密封袋储存</w:t>
                  </w:r>
                </w:p>
              </w:tc>
              <w:tc>
                <w:tcPr>
                  <w:tcW w:w="387"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0.2t</w:t>
                  </w:r>
                </w:p>
              </w:tc>
              <w:tc>
                <w:tcPr>
                  <w:tcW w:w="420"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3" w:type="pct"/>
                  <w:tcBorders>
                    <w:tl2br w:val="nil"/>
                    <w:tr2bl w:val="nil"/>
                  </w:tcBorders>
                  <w:noWrap w:val="0"/>
                  <w:vAlign w:val="center"/>
                </w:tcPr>
                <w:p>
                  <w:pPr>
                    <w:adjustRightInd w:val="0"/>
                    <w:snapToGrid w:val="0"/>
                    <w:spacing w:line="25" w:lineRule="atLeast"/>
                    <w:jc w:val="center"/>
                    <w:rPr>
                      <w:kern w:val="0"/>
                      <w:sz w:val="21"/>
                      <w:szCs w:val="21"/>
                    </w:rPr>
                  </w:pPr>
                  <w:r>
                    <w:rPr>
                      <w:rFonts w:hint="eastAsia"/>
                      <w:kern w:val="0"/>
                      <w:sz w:val="21"/>
                      <w:szCs w:val="21"/>
                    </w:rPr>
                    <w:t>2</w:t>
                  </w:r>
                </w:p>
              </w:tc>
              <w:tc>
                <w:tcPr>
                  <w:tcW w:w="513" w:type="pct"/>
                  <w:vMerge w:val="continue"/>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bidi="ar-SA"/>
                    </w:rPr>
                  </w:pPr>
                </w:p>
              </w:tc>
              <w:tc>
                <w:tcPr>
                  <w:tcW w:w="928" w:type="pct"/>
                  <w:tcBorders>
                    <w:tl2br w:val="nil"/>
                    <w:tr2bl w:val="nil"/>
                  </w:tcBorders>
                  <w:noWrap w:val="0"/>
                  <w:vAlign w:val="center"/>
                </w:tcPr>
                <w:p>
                  <w:pPr>
                    <w:adjustRightInd w:val="0"/>
                    <w:snapToGrid w:val="0"/>
                    <w:spacing w:line="25" w:lineRule="atLeast"/>
                    <w:jc w:val="center"/>
                    <w:rPr>
                      <w:rFonts w:hint="eastAsia"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废活性炭</w:t>
                  </w:r>
                </w:p>
              </w:tc>
              <w:tc>
                <w:tcPr>
                  <w:tcW w:w="531"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HW49</w:t>
                  </w:r>
                </w:p>
              </w:tc>
              <w:tc>
                <w:tcPr>
                  <w:tcW w:w="729" w:type="pct"/>
                  <w:vMerge w:val="continue"/>
                  <w:tcBorders>
                    <w:tl2br w:val="nil"/>
                    <w:tr2bl w:val="nil"/>
                  </w:tcBorders>
                  <w:noWrap w:val="0"/>
                  <w:vAlign w:val="center"/>
                </w:tcPr>
                <w:p>
                  <w:pPr>
                    <w:adjustRightInd w:val="0"/>
                    <w:snapToGrid w:val="0"/>
                    <w:spacing w:line="25" w:lineRule="atLeast"/>
                    <w:jc w:val="center"/>
                    <w:rPr>
                      <w:kern w:val="0"/>
                      <w:sz w:val="21"/>
                      <w:szCs w:val="21"/>
                    </w:rPr>
                  </w:pPr>
                </w:p>
              </w:tc>
              <w:tc>
                <w:tcPr>
                  <w:tcW w:w="270" w:type="pct"/>
                  <w:vMerge w:val="continue"/>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p>
              </w:tc>
              <w:tc>
                <w:tcPr>
                  <w:tcW w:w="432" w:type="pct"/>
                  <w:vMerge w:val="continue"/>
                  <w:tcBorders>
                    <w:tl2br w:val="nil"/>
                    <w:tr2bl w:val="nil"/>
                  </w:tcBorders>
                  <w:noWrap w:val="0"/>
                  <w:vAlign w:val="center"/>
                </w:tcPr>
                <w:p>
                  <w:pPr>
                    <w:adjustRightInd w:val="0"/>
                    <w:snapToGrid w:val="0"/>
                    <w:spacing w:line="25" w:lineRule="atLeast"/>
                    <w:jc w:val="center"/>
                    <w:rPr>
                      <w:rFonts w:hint="eastAsia" w:eastAsia="宋体"/>
                      <w:kern w:val="0"/>
                      <w:sz w:val="21"/>
                      <w:szCs w:val="21"/>
                      <w:lang w:eastAsia="zh-CN"/>
                    </w:rPr>
                  </w:pPr>
                </w:p>
              </w:tc>
              <w:tc>
                <w:tcPr>
                  <w:tcW w:w="522"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eastAsia="宋体"/>
                      <w:kern w:val="0"/>
                      <w:sz w:val="21"/>
                      <w:szCs w:val="21"/>
                      <w:lang w:val="en-US" w:eastAsia="zh-CN"/>
                    </w:rPr>
                    <w:t>密封袋储存</w:t>
                  </w:r>
                </w:p>
              </w:tc>
              <w:tc>
                <w:tcPr>
                  <w:tcW w:w="387" w:type="pct"/>
                  <w:tcBorders>
                    <w:tl2br w:val="nil"/>
                    <w:tr2bl w:val="nil"/>
                  </w:tcBorders>
                  <w:noWrap w:val="0"/>
                  <w:vAlign w:val="center"/>
                </w:tcPr>
                <w:p>
                  <w:pPr>
                    <w:adjustRightInd w:val="0"/>
                    <w:snapToGrid w:val="0"/>
                    <w:spacing w:line="25" w:lineRule="atLeast"/>
                    <w:jc w:val="center"/>
                    <w:rPr>
                      <w:rFonts w:hint="default" w:eastAsia="宋体"/>
                      <w:kern w:val="0"/>
                      <w:sz w:val="21"/>
                      <w:szCs w:val="21"/>
                      <w:lang w:val="en-US" w:eastAsia="zh-CN"/>
                    </w:rPr>
                  </w:pPr>
                  <w:r>
                    <w:rPr>
                      <w:rFonts w:hint="eastAsia"/>
                      <w:kern w:val="0"/>
                      <w:sz w:val="21"/>
                      <w:szCs w:val="21"/>
                      <w:lang w:val="en-US" w:eastAsia="zh-CN"/>
                    </w:rPr>
                    <w:t>0.02t</w:t>
                  </w:r>
                </w:p>
              </w:tc>
              <w:tc>
                <w:tcPr>
                  <w:tcW w:w="420" w:type="pct"/>
                  <w:tcBorders>
                    <w:tl2br w:val="nil"/>
                    <w:tr2bl w:val="nil"/>
                  </w:tcBorders>
                  <w:noWrap w:val="0"/>
                  <w:vAlign w:val="center"/>
                </w:tcPr>
                <w:p>
                  <w:pPr>
                    <w:adjustRightInd w:val="0"/>
                    <w:snapToGrid w:val="0"/>
                    <w:spacing w:line="25" w:lineRule="atLeast"/>
                    <w:jc w:val="center"/>
                    <w:rPr>
                      <w:rFonts w:hint="eastAsia" w:eastAsia="宋体"/>
                      <w:kern w:val="0"/>
                      <w:sz w:val="21"/>
                      <w:szCs w:val="21"/>
                      <w:lang w:val="en-US" w:eastAsia="zh-CN"/>
                    </w:rPr>
                  </w:pPr>
                  <w:r>
                    <w:rPr>
                      <w:rFonts w:hint="eastAsia" w:eastAsia="宋体"/>
                      <w:kern w:val="0"/>
                      <w:sz w:val="21"/>
                      <w:szCs w:val="21"/>
                      <w:lang w:val="en-US" w:eastAsia="zh-CN"/>
                    </w:rPr>
                    <w:t>6个月</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eastAsia="宋体" w:cs="Times New Roman"/>
                <w:b/>
                <w:color w:val="auto"/>
                <w:sz w:val="24"/>
              </w:rPr>
            </w:pPr>
            <w:r>
              <w:rPr>
                <w:rFonts w:hint="eastAsia" w:ascii="宋体" w:hAnsi="宋体" w:eastAsia="宋体" w:cs="宋体"/>
                <w:color w:val="000000"/>
                <w:kern w:val="0"/>
                <w:sz w:val="24"/>
                <w:szCs w:val="24"/>
                <w:lang w:val="en-US" w:eastAsia="zh-CN" w:bidi="ar"/>
              </w:rPr>
              <w:t xml:space="preserve">   </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rPr>
              <w:t>一般固废储运方式及管理要求</w:t>
            </w:r>
          </w:p>
          <w:p>
            <w:pPr>
              <w:adjustRightInd w:val="0"/>
              <w:snapToGrid w:val="0"/>
              <w:spacing w:line="360" w:lineRule="auto"/>
              <w:ind w:firstLine="480" w:firstLineChars="200"/>
              <w:rPr>
                <w:rFonts w:hint="eastAsia"/>
                <w:color w:val="auto"/>
                <w:sz w:val="24"/>
              </w:rPr>
            </w:pPr>
            <w:r>
              <w:rPr>
                <w:rFonts w:hint="eastAsia"/>
                <w:color w:val="auto"/>
                <w:sz w:val="24"/>
              </w:rPr>
              <w:t>生活垃圾、餐厨垃圾必须实现袋装或桶装集中，不可形成随处乱堆乱排现象。由于生活垃圾、餐厨垃圾中含有易发酵（即腐烂）的有机类垃圾，同时散发恶臭气味</w:t>
            </w:r>
            <w:r>
              <w:rPr>
                <w:rFonts w:hint="eastAsia"/>
                <w:color w:val="auto"/>
                <w:sz w:val="24"/>
                <w:lang w:eastAsia="zh-CN"/>
              </w:rPr>
              <w:t>；</w:t>
            </w:r>
            <w:r>
              <w:rPr>
                <w:rFonts w:hint="eastAsia"/>
                <w:color w:val="auto"/>
                <w:sz w:val="24"/>
              </w:rPr>
              <w:t>并易招引蚊蝇，学校应加强管理，按照</w:t>
            </w:r>
            <w:r>
              <w:rPr>
                <w:rFonts w:hint="default" w:ascii="Times New Roman" w:hAnsi="Times New Roman" w:cs="Times New Roman"/>
                <w:color w:val="auto"/>
                <w:sz w:val="24"/>
                <w:szCs w:val="24"/>
                <w:highlight w:val="none"/>
              </w:rPr>
              <w:t>《一般工业固体废物贮存和填埋污染控制标准》（GB18599-2020）</w:t>
            </w:r>
            <w:r>
              <w:rPr>
                <w:rFonts w:hint="eastAsia"/>
                <w:color w:val="auto"/>
                <w:sz w:val="24"/>
              </w:rPr>
              <w:t>的要求规范建设和维护使用垃圾收集点，做到日产日清，保证校区范围内无腐烂垃圾堆放。动物尸体及废弃物交由具备《动物防疫条件合格证》等相关资质的单位，按规定进行集中无害化处理。</w:t>
            </w:r>
          </w:p>
          <w:p>
            <w:pPr>
              <w:adjustRightInd w:val="0"/>
              <w:snapToGrid w:val="0"/>
              <w:spacing w:line="360" w:lineRule="auto"/>
              <w:ind w:firstLine="482" w:firstLineChars="200"/>
              <w:rPr>
                <w:rFonts w:hint="default" w:eastAsia="宋体"/>
                <w:color w:val="auto"/>
                <w:sz w:val="24"/>
                <w:lang w:val="en-US" w:eastAsia="zh-CN"/>
              </w:rPr>
            </w:pPr>
            <w:r>
              <w:rPr>
                <w:rFonts w:hint="eastAsia"/>
                <w:b/>
                <w:bCs/>
                <w:color w:val="auto"/>
                <w:sz w:val="24"/>
                <w:lang w:eastAsia="zh-CN"/>
              </w:rPr>
              <w:t>（</w:t>
            </w:r>
            <w:r>
              <w:rPr>
                <w:rFonts w:hint="eastAsia"/>
                <w:b/>
                <w:bCs/>
                <w:color w:val="auto"/>
                <w:sz w:val="24"/>
                <w:lang w:val="en-US" w:eastAsia="zh-CN"/>
              </w:rPr>
              <w:t>2）实验室危险废物</w:t>
            </w:r>
            <w:r>
              <w:rPr>
                <w:rFonts w:hint="eastAsia"/>
                <w:b/>
                <w:bCs/>
                <w:color w:val="auto"/>
                <w:sz w:val="24"/>
              </w:rPr>
              <w:t>储运方式及管理要求</w:t>
            </w:r>
          </w:p>
          <w:p>
            <w:pPr>
              <w:adjustRightInd w:val="0"/>
              <w:snapToGrid w:val="0"/>
              <w:spacing w:line="360" w:lineRule="auto"/>
              <w:ind w:firstLine="480" w:firstLineChars="200"/>
              <w:rPr>
                <w:rFonts w:hint="eastAsia"/>
                <w:color w:val="auto"/>
                <w:sz w:val="24"/>
              </w:rPr>
            </w:pPr>
            <w:r>
              <w:rPr>
                <w:rFonts w:hint="eastAsia"/>
                <w:color w:val="auto"/>
                <w:sz w:val="24"/>
              </w:rPr>
              <w:t>根据四川省环境保护厅印发的《四川省实验室危险废物污染防治技术指南（试行）》，对本项目产生的危险废物在分类、投放、暂存、收运、贮存、委托处置等过程中进行严格管理，实验室危险废物管理工作流程如下。</w:t>
            </w:r>
          </w:p>
          <w:p>
            <w:pPr>
              <w:rPr>
                <w:color w:val="00B050"/>
              </w:rPr>
            </w:pPr>
          </w:p>
          <w:p>
            <w:pPr>
              <w:adjustRightInd w:val="0"/>
              <w:snapToGrid w:val="0"/>
              <w:spacing w:line="360" w:lineRule="auto"/>
              <w:ind w:firstLine="420" w:firstLineChars="200"/>
              <w:jc w:val="center"/>
              <w:rPr>
                <w:sz w:val="24"/>
              </w:rPr>
            </w:pPr>
            <w:r>
              <w:object>
                <v:shape id="_x0000_i1026" o:spt="75" type="#_x0000_t75" style="height:306.75pt;width:261pt;" o:ole="t" filled="f" o:preferrelative="t" stroked="f" coordsize="21600,21600">
                  <v:path/>
                  <v:fill on="f" focussize="0,0"/>
                  <v:stroke on="f"/>
                  <v:imagedata r:id="rId28" cropright="35574f" cropbottom="18195f" o:title=""/>
                  <o:lock v:ext="edit" aspectratio="t"/>
                  <w10:wrap type="none"/>
                  <w10:anchorlock/>
                </v:shape>
                <o:OLEObject Type="Embed" ProgID="Visio.Drawing.11" ShapeID="_x0000_i1026" DrawAspect="Content" ObjectID="_1468075726" r:id="rId2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图</w:t>
            </w:r>
            <w:r>
              <w:rPr>
                <w:rFonts w:hint="default" w:ascii="Times New Roman" w:hAnsi="Times New Roman" w:eastAsia="黑体" w:cs="Times New Roman"/>
                <w:b w:val="0"/>
                <w:bCs/>
                <w:color w:val="auto"/>
                <w:sz w:val="21"/>
                <w:szCs w:val="21"/>
                <w:lang w:val="en-US" w:eastAsia="zh-CN"/>
              </w:rPr>
              <w:t>4-1</w:t>
            </w:r>
            <w:r>
              <w:rPr>
                <w:rFonts w:hint="default" w:ascii="Times New Roman" w:hAnsi="Times New Roman" w:eastAsia="黑体" w:cs="Times New Roman"/>
                <w:b w:val="0"/>
                <w:bCs/>
                <w:color w:val="auto"/>
                <w:sz w:val="21"/>
                <w:szCs w:val="21"/>
              </w:rPr>
              <w:t xml:space="preserve">   实验室危险废物管理工作流程图</w:t>
            </w:r>
          </w:p>
          <w:p>
            <w:pPr>
              <w:adjustRightInd w:val="0"/>
              <w:snapToGrid w:val="0"/>
              <w:spacing w:line="360" w:lineRule="auto"/>
              <w:ind w:firstLine="482" w:firstLineChars="200"/>
              <w:rPr>
                <w:color w:val="auto"/>
                <w:sz w:val="24"/>
              </w:rPr>
            </w:pPr>
            <w:r>
              <w:rPr>
                <w:rFonts w:hint="eastAsia"/>
                <w:b/>
                <w:bCs/>
                <w:color w:val="auto"/>
                <w:sz w:val="24"/>
              </w:rPr>
              <w:t>1）环境管理要求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应依据《国家危险废物名录》（环境保护部令第39号）等相关规定，判定实验室危险废物类别，做好分类投放、暂存、收运和贮存工作，执行申报登记、管理计划、转移联单等相关管理制度。</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实验室应建立实验室危险废物分类管理制度，并至少配备1名相应管理人员，负责组织、协调、监督、检查实验室危险废物管理工作的落实情况；并应定期对其进行培训，做好培训记录。</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禁将实验室危险废物随意倾倒、堆放或混入生活垃圾及排入下水道。</w:t>
            </w:r>
          </w:p>
          <w:p>
            <w:pPr>
              <w:adjustRightInd w:val="0"/>
              <w:snapToGrid w:val="0"/>
              <w:spacing w:line="360" w:lineRule="auto"/>
              <w:ind w:firstLine="482" w:firstLineChars="200"/>
              <w:rPr>
                <w:b/>
                <w:bCs/>
                <w:color w:val="auto"/>
                <w:sz w:val="24"/>
              </w:rPr>
            </w:pPr>
            <w:r>
              <w:rPr>
                <w:rFonts w:hint="eastAsia"/>
                <w:b/>
                <w:bCs/>
                <w:color w:val="auto"/>
                <w:sz w:val="24"/>
              </w:rPr>
              <w:t>2）</w:t>
            </w:r>
            <w:r>
              <w:rPr>
                <w:b/>
                <w:bCs/>
                <w:color w:val="auto"/>
                <w:sz w:val="24"/>
              </w:rPr>
              <w:t>源头控制要求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应按需购买化学药品，尽量减少其闲置或报废量；鼓励在单位内部转让使用闲置药品；尽可能采用无毒无害或低毒低害的实验材料，最大限度地减少实验室危险废物的产生。</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实验人员应按规范或标准要求开展实验，减少由于操作不当而产生的实验室危险废物。</w:t>
            </w:r>
          </w:p>
          <w:p>
            <w:pPr>
              <w:adjustRightInd w:val="0"/>
              <w:snapToGrid w:val="0"/>
              <w:spacing w:line="360" w:lineRule="auto"/>
              <w:ind w:firstLine="482" w:firstLineChars="200"/>
              <w:rPr>
                <w:b/>
                <w:bCs/>
                <w:color w:val="auto"/>
                <w:sz w:val="24"/>
              </w:rPr>
            </w:pPr>
            <w:r>
              <w:rPr>
                <w:rFonts w:hint="eastAsia"/>
                <w:b/>
                <w:bCs/>
                <w:color w:val="auto"/>
                <w:sz w:val="24"/>
              </w:rPr>
              <w:t>3）</w:t>
            </w:r>
            <w:r>
              <w:rPr>
                <w:b/>
                <w:bCs/>
                <w:color w:val="auto"/>
                <w:sz w:val="24"/>
              </w:rPr>
              <w:t>分类要求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分类原则</w:t>
            </w:r>
          </w:p>
          <w:p>
            <w:pPr>
              <w:adjustRightInd w:val="0"/>
              <w:snapToGrid w:val="0"/>
              <w:spacing w:line="360" w:lineRule="auto"/>
              <w:ind w:firstLine="480" w:firstLineChars="200"/>
              <w:rPr>
                <w:color w:val="auto"/>
                <w:sz w:val="24"/>
              </w:rPr>
            </w:pPr>
            <w:r>
              <w:rPr>
                <w:rFonts w:hint="eastAsia"/>
                <w:color w:val="auto"/>
                <w:sz w:val="24"/>
              </w:rPr>
              <w:t>应遵循安全性、可操作性和经济性原则。</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类别划分</w:t>
            </w:r>
          </w:p>
          <w:p>
            <w:pPr>
              <w:adjustRightInd w:val="0"/>
              <w:snapToGrid w:val="0"/>
              <w:spacing w:line="360" w:lineRule="auto"/>
              <w:ind w:firstLine="480" w:firstLineChars="200"/>
              <w:rPr>
                <w:color w:val="auto"/>
                <w:sz w:val="24"/>
              </w:rPr>
            </w:pPr>
            <w:r>
              <w:rPr>
                <w:rFonts w:hint="eastAsia"/>
                <w:color w:val="auto"/>
                <w:sz w:val="24"/>
              </w:rPr>
              <w:t>a、实验室危险废物按其物相可分为液态废物、固态废物和其它废物。</w:t>
            </w:r>
          </w:p>
          <w:p>
            <w:pPr>
              <w:adjustRightInd w:val="0"/>
              <w:snapToGrid w:val="0"/>
              <w:spacing w:line="360" w:lineRule="auto"/>
              <w:ind w:firstLine="480" w:firstLineChars="200"/>
              <w:rPr>
                <w:color w:val="auto"/>
                <w:sz w:val="24"/>
              </w:rPr>
            </w:pPr>
            <w:r>
              <w:rPr>
                <w:rFonts w:hint="eastAsia"/>
                <w:color w:val="auto"/>
                <w:sz w:val="24"/>
              </w:rPr>
              <w:t>b、液态废物分为有机废液、无机废液和其它废液。有机废液分为含卤素有机废液和不含卤素有机废液；无机废液分为含氰废液、含汞废液、重金属废液（不含汞）、废酸、废碱、其它无机废液；</w:t>
            </w:r>
          </w:p>
          <w:p>
            <w:pPr>
              <w:adjustRightInd w:val="0"/>
              <w:snapToGrid w:val="0"/>
              <w:spacing w:line="360" w:lineRule="auto"/>
              <w:ind w:firstLine="480" w:firstLineChars="200"/>
              <w:rPr>
                <w:color w:val="auto"/>
                <w:sz w:val="24"/>
              </w:rPr>
            </w:pPr>
            <w:r>
              <w:rPr>
                <w:rFonts w:hint="eastAsia"/>
                <w:color w:val="auto"/>
                <w:sz w:val="24"/>
              </w:rPr>
              <w:t>c、固态废物分为废固态化学药品、废弃包装物及包装容器、其它固态废物。</w:t>
            </w:r>
          </w:p>
          <w:p>
            <w:pPr>
              <w:adjustRightInd w:val="0"/>
              <w:snapToGrid w:val="0"/>
              <w:spacing w:line="360" w:lineRule="auto"/>
              <w:ind w:firstLine="480" w:firstLineChars="200"/>
              <w:rPr>
                <w:color w:val="auto"/>
                <w:sz w:val="24"/>
              </w:rPr>
            </w:pPr>
            <w:r>
              <w:rPr>
                <w:rFonts w:hint="eastAsia"/>
                <w:color w:val="auto"/>
                <w:sz w:val="24"/>
              </w:rPr>
              <w:t>d、其它废物指成分不明、物相难定、无法辨识的实验室危险废物。</w:t>
            </w:r>
          </w:p>
          <w:p>
            <w:pPr>
              <w:adjustRightInd w:val="0"/>
              <w:snapToGrid w:val="0"/>
              <w:spacing w:line="360" w:lineRule="auto"/>
              <w:ind w:firstLine="480" w:firstLineChars="200"/>
              <w:rPr>
                <w:color w:val="auto"/>
                <w:sz w:val="24"/>
              </w:rPr>
            </w:pPr>
            <w:r>
              <w:rPr>
                <w:rFonts w:hint="eastAsia"/>
                <w:color w:val="auto"/>
                <w:sz w:val="24"/>
              </w:rPr>
              <w:t>e、分类应具有唯一性，危险废物只能属于上述分类中具体一类。</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类别判定</w:t>
            </w:r>
          </w:p>
          <w:p>
            <w:pPr>
              <w:adjustRightInd w:val="0"/>
              <w:snapToGrid w:val="0"/>
              <w:spacing w:line="360" w:lineRule="auto"/>
              <w:ind w:firstLine="480" w:firstLineChars="200"/>
              <w:rPr>
                <w:color w:val="auto"/>
                <w:sz w:val="24"/>
              </w:rPr>
            </w:pPr>
            <w:r>
              <w:rPr>
                <w:rFonts w:hint="eastAsia"/>
                <w:color w:val="auto"/>
                <w:sz w:val="24"/>
              </w:rPr>
              <w:t>a、可参考附录B进行实验室危险废物类别的判定。</w:t>
            </w:r>
          </w:p>
          <w:p>
            <w:pPr>
              <w:adjustRightInd w:val="0"/>
              <w:snapToGrid w:val="0"/>
              <w:spacing w:line="360" w:lineRule="auto"/>
              <w:ind w:firstLine="480" w:firstLineChars="200"/>
              <w:rPr>
                <w:color w:val="auto"/>
                <w:sz w:val="24"/>
              </w:rPr>
            </w:pPr>
            <w:r>
              <w:rPr>
                <w:rFonts w:hint="eastAsia"/>
                <w:color w:val="auto"/>
                <w:sz w:val="24"/>
              </w:rPr>
              <w:t>b、混合多种有害成分的危险废物，应按照附录B自左而右、自上而下的顺序进行判定，归为其中危险性最高的分类，即附录B中最靠上的类别。</w:t>
            </w:r>
          </w:p>
          <w:p>
            <w:pPr>
              <w:adjustRightInd w:val="0"/>
              <w:snapToGrid w:val="0"/>
              <w:spacing w:line="360" w:lineRule="auto"/>
              <w:ind w:firstLine="482" w:firstLineChars="200"/>
              <w:rPr>
                <w:b/>
                <w:bCs/>
                <w:color w:val="auto"/>
                <w:sz w:val="24"/>
              </w:rPr>
            </w:pPr>
            <w:r>
              <w:rPr>
                <w:rFonts w:hint="eastAsia"/>
                <w:b/>
                <w:bCs/>
                <w:color w:val="auto"/>
                <w:sz w:val="24"/>
              </w:rPr>
              <w:t>4）投放要求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容器要求</w:t>
            </w:r>
          </w:p>
          <w:p>
            <w:pPr>
              <w:adjustRightInd w:val="0"/>
              <w:snapToGrid w:val="0"/>
              <w:spacing w:line="360" w:lineRule="auto"/>
              <w:ind w:firstLine="480" w:firstLineChars="200"/>
              <w:rPr>
                <w:color w:val="auto"/>
                <w:sz w:val="24"/>
              </w:rPr>
            </w:pPr>
            <w:r>
              <w:rPr>
                <w:rFonts w:hint="eastAsia"/>
                <w:color w:val="auto"/>
                <w:sz w:val="24"/>
              </w:rPr>
              <w:t>a、实验室危险废物与容器的材质应满足化学相容性（不相互反应）。</w:t>
            </w:r>
          </w:p>
          <w:p>
            <w:pPr>
              <w:adjustRightInd w:val="0"/>
              <w:snapToGrid w:val="0"/>
              <w:spacing w:line="360" w:lineRule="auto"/>
              <w:ind w:firstLine="480" w:firstLineChars="200"/>
              <w:rPr>
                <w:color w:val="auto"/>
                <w:sz w:val="24"/>
              </w:rPr>
            </w:pPr>
            <w:r>
              <w:rPr>
                <w:rFonts w:hint="eastAsia"/>
                <w:color w:val="auto"/>
                <w:sz w:val="24"/>
              </w:rPr>
              <w:t>b、包装容器应保持完好，破损或污染后须及时更换。</w:t>
            </w:r>
          </w:p>
          <w:p>
            <w:pPr>
              <w:adjustRightInd w:val="0"/>
              <w:snapToGrid w:val="0"/>
              <w:spacing w:line="360" w:lineRule="auto"/>
              <w:ind w:firstLine="480" w:firstLineChars="200"/>
              <w:rPr>
                <w:color w:val="auto"/>
                <w:sz w:val="24"/>
              </w:rPr>
            </w:pPr>
            <w:r>
              <w:rPr>
                <w:rFonts w:hint="eastAsia"/>
                <w:color w:val="auto"/>
                <w:sz w:val="24"/>
              </w:rPr>
              <w:t>c、包装容器外部须粘贴标签，用中文全称（不可简写或缩写）标示内部危险废物种类和主要成分等信息（应符合附录C要求）；有条件的单位可以同时使用电子标签。</w:t>
            </w:r>
          </w:p>
          <w:p>
            <w:pPr>
              <w:adjustRightInd w:val="0"/>
              <w:snapToGrid w:val="0"/>
              <w:spacing w:line="360" w:lineRule="auto"/>
              <w:ind w:firstLine="480" w:firstLineChars="200"/>
              <w:rPr>
                <w:color w:val="auto"/>
                <w:sz w:val="24"/>
              </w:rPr>
            </w:pPr>
            <w:r>
              <w:rPr>
                <w:rFonts w:hint="eastAsia"/>
                <w:color w:val="auto"/>
                <w:sz w:val="24"/>
              </w:rPr>
              <w:t>d、液态废物使用的塑料容器应符合GB 18191要求，且材质厚实、气密性好；容量应为5升、10升、25升、50升、100升。</w:t>
            </w:r>
          </w:p>
          <w:p>
            <w:pPr>
              <w:adjustRightInd w:val="0"/>
              <w:snapToGrid w:val="0"/>
              <w:spacing w:line="360" w:lineRule="auto"/>
              <w:ind w:firstLine="480" w:firstLineChars="200"/>
              <w:rPr>
                <w:color w:val="auto"/>
                <w:sz w:val="24"/>
              </w:rPr>
            </w:pPr>
            <w:r>
              <w:rPr>
                <w:rFonts w:hint="eastAsia"/>
                <w:color w:val="auto"/>
                <w:sz w:val="24"/>
              </w:rPr>
              <w:t>e、固态废物应存放于满足相应强度和密闭要求的包装容器中（废药品应存放在原包装容器中，确保原标签完好，否则应粘贴新标签）。</w:t>
            </w:r>
          </w:p>
          <w:p>
            <w:pPr>
              <w:adjustRightInd w:val="0"/>
              <w:snapToGrid w:val="0"/>
              <w:spacing w:line="360" w:lineRule="auto"/>
              <w:ind w:firstLine="480" w:firstLineChars="200"/>
              <w:rPr>
                <w:color w:val="auto"/>
                <w:sz w:val="24"/>
              </w:rPr>
            </w:pPr>
            <w:r>
              <w:rPr>
                <w:rFonts w:hint="eastAsia"/>
                <w:color w:val="auto"/>
                <w:sz w:val="24"/>
              </w:rPr>
              <w:t>f、无法装入常用容器的危险废物可用防漏胶袋等盛装。</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登记要求</w:t>
            </w:r>
          </w:p>
          <w:p>
            <w:pPr>
              <w:adjustRightInd w:val="0"/>
              <w:snapToGrid w:val="0"/>
              <w:spacing w:line="360" w:lineRule="auto"/>
              <w:ind w:firstLine="480" w:firstLineChars="200"/>
              <w:rPr>
                <w:color w:val="auto"/>
                <w:sz w:val="24"/>
              </w:rPr>
            </w:pPr>
            <w:r>
              <w:rPr>
                <w:rFonts w:hint="eastAsia"/>
                <w:color w:val="auto"/>
                <w:sz w:val="24"/>
              </w:rPr>
              <w:t>a、实验室危险废物产生单位应制定危险废物产生及暂存管理台账，台账原则上应永久保存。</w:t>
            </w:r>
          </w:p>
          <w:p>
            <w:pPr>
              <w:adjustRightInd w:val="0"/>
              <w:snapToGrid w:val="0"/>
              <w:spacing w:line="360" w:lineRule="auto"/>
              <w:ind w:firstLine="480" w:firstLineChars="200"/>
              <w:rPr>
                <w:color w:val="auto"/>
                <w:sz w:val="24"/>
              </w:rPr>
            </w:pPr>
            <w:r>
              <w:rPr>
                <w:rFonts w:hint="eastAsia"/>
                <w:color w:val="auto"/>
                <w:sz w:val="24"/>
              </w:rPr>
              <w:t>b、实验室应设置投放登记表，记录危险废物投放情况，并及时上报单位制定管理台账。</w:t>
            </w:r>
          </w:p>
          <w:p>
            <w:pPr>
              <w:adjustRightInd w:val="0"/>
              <w:snapToGrid w:val="0"/>
              <w:spacing w:line="360" w:lineRule="auto"/>
              <w:ind w:firstLine="480" w:firstLineChars="200"/>
              <w:rPr>
                <w:color w:val="auto"/>
                <w:sz w:val="24"/>
              </w:rPr>
            </w:pPr>
            <w:r>
              <w:rPr>
                <w:rFonts w:hint="eastAsia"/>
                <w:color w:val="auto"/>
                <w:sz w:val="24"/>
              </w:rPr>
              <w:t>c、废液容器的投放登记表应注明pH值。在最后一次投放后或收运前，对容器内废液pH值进行测量，并填写在投放登记表上。</w:t>
            </w:r>
          </w:p>
          <w:p>
            <w:pPr>
              <w:adjustRightInd w:val="0"/>
              <w:snapToGrid w:val="0"/>
              <w:spacing w:line="360" w:lineRule="auto"/>
              <w:ind w:firstLine="480" w:firstLineChars="200"/>
              <w:rPr>
                <w:color w:val="auto"/>
                <w:sz w:val="24"/>
              </w:rPr>
            </w:pPr>
            <w:r>
              <w:rPr>
                <w:rFonts w:hint="eastAsia"/>
                <w:color w:val="auto"/>
                <w:sz w:val="24"/>
              </w:rPr>
              <w:t>d、鼓励使用物联网技术对登记信息进行实时管理。</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投放要求</w:t>
            </w:r>
          </w:p>
          <w:p>
            <w:pPr>
              <w:adjustRightInd w:val="0"/>
              <w:snapToGrid w:val="0"/>
              <w:spacing w:line="360" w:lineRule="auto"/>
              <w:ind w:firstLine="480" w:firstLineChars="200"/>
              <w:rPr>
                <w:color w:val="auto"/>
                <w:sz w:val="24"/>
              </w:rPr>
            </w:pPr>
            <w:r>
              <w:rPr>
                <w:rFonts w:hint="eastAsia"/>
                <w:color w:val="auto"/>
                <w:sz w:val="24"/>
              </w:rPr>
              <w:t>a、根据6分类要求，将实验室危险废物投放到规定的容器中。</w:t>
            </w:r>
          </w:p>
          <w:p>
            <w:pPr>
              <w:adjustRightInd w:val="0"/>
              <w:snapToGrid w:val="0"/>
              <w:spacing w:line="360" w:lineRule="auto"/>
              <w:ind w:firstLine="480" w:firstLineChars="200"/>
              <w:rPr>
                <w:color w:val="auto"/>
                <w:sz w:val="24"/>
              </w:rPr>
            </w:pPr>
            <w:r>
              <w:rPr>
                <w:rFonts w:hint="eastAsia"/>
                <w:color w:val="auto"/>
                <w:sz w:val="24"/>
              </w:rPr>
              <w:t>b、在常温常压下易爆、易燃及排出有毒气体的危险废物必须进行预处理，使之稳定后再投放，否则按易燃、易爆危险品贮存。</w:t>
            </w:r>
          </w:p>
          <w:p>
            <w:pPr>
              <w:adjustRightInd w:val="0"/>
              <w:snapToGrid w:val="0"/>
              <w:spacing w:line="360" w:lineRule="auto"/>
              <w:ind w:firstLine="480" w:firstLineChars="200"/>
              <w:rPr>
                <w:color w:val="auto"/>
                <w:sz w:val="24"/>
              </w:rPr>
            </w:pPr>
            <w:r>
              <w:rPr>
                <w:rFonts w:hint="eastAsia"/>
                <w:color w:val="auto"/>
                <w:sz w:val="24"/>
              </w:rPr>
              <w:t>c、投放废液后，应及时密闭容器；废液不宜盛装过满，应保留容器约10%的剩余容积，或容器顶部与液面之前保留100mm以上的空间。</w:t>
            </w:r>
          </w:p>
          <w:p>
            <w:pPr>
              <w:adjustRightInd w:val="0"/>
              <w:snapToGrid w:val="0"/>
              <w:spacing w:line="360" w:lineRule="auto"/>
              <w:ind w:firstLine="480" w:firstLineChars="200"/>
              <w:rPr>
                <w:color w:val="auto"/>
                <w:sz w:val="24"/>
              </w:rPr>
            </w:pPr>
            <w:r>
              <w:rPr>
                <w:rFonts w:hint="eastAsia"/>
                <w:color w:val="auto"/>
                <w:sz w:val="24"/>
              </w:rPr>
              <w:t>e、废弃药品瓶（含空瓶）应口朝上码放于包装容器中，确保稳固，防止泄漏、磕碰，并在容器外部标注朝上的方向标识。</w:t>
            </w:r>
          </w:p>
          <w:p>
            <w:pPr>
              <w:adjustRightInd w:val="0"/>
              <w:snapToGrid w:val="0"/>
              <w:spacing w:line="360" w:lineRule="auto"/>
              <w:ind w:firstLine="482" w:firstLineChars="200"/>
              <w:rPr>
                <w:color w:val="auto"/>
                <w:sz w:val="24"/>
              </w:rPr>
            </w:pPr>
            <w:r>
              <w:rPr>
                <w:rFonts w:hint="eastAsia"/>
                <w:b/>
                <w:bCs/>
                <w:color w:val="auto"/>
                <w:sz w:val="24"/>
              </w:rPr>
              <w:t>5）暂存要求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一般要求</w:t>
            </w:r>
          </w:p>
          <w:p>
            <w:pPr>
              <w:adjustRightInd w:val="0"/>
              <w:snapToGrid w:val="0"/>
              <w:spacing w:line="360" w:lineRule="auto"/>
              <w:ind w:firstLine="480" w:firstLineChars="200"/>
              <w:rPr>
                <w:color w:val="auto"/>
                <w:sz w:val="24"/>
              </w:rPr>
            </w:pPr>
            <w:r>
              <w:rPr>
                <w:rFonts w:hint="eastAsia"/>
                <w:color w:val="auto"/>
                <w:sz w:val="24"/>
              </w:rPr>
              <w:t>a、实验室应设置危险废物暂存区，其外边界应施划3厘米宽的黄色实线，暂存区标志应符合GB15562.2 要求。</w:t>
            </w:r>
          </w:p>
          <w:p>
            <w:pPr>
              <w:adjustRightInd w:val="0"/>
              <w:snapToGrid w:val="0"/>
              <w:spacing w:line="360" w:lineRule="auto"/>
              <w:ind w:firstLine="480" w:firstLineChars="200"/>
              <w:rPr>
                <w:color w:val="auto"/>
                <w:sz w:val="24"/>
              </w:rPr>
            </w:pPr>
            <w:r>
              <w:rPr>
                <w:rFonts w:hint="eastAsia"/>
                <w:color w:val="auto"/>
                <w:sz w:val="24"/>
              </w:rPr>
              <w:t>b、危险废物原则上应存放于本实验室暂存区内。</w:t>
            </w:r>
          </w:p>
          <w:p>
            <w:pPr>
              <w:adjustRightInd w:val="0"/>
              <w:snapToGrid w:val="0"/>
              <w:spacing w:line="360" w:lineRule="auto"/>
              <w:ind w:firstLine="480" w:firstLineChars="200"/>
              <w:rPr>
                <w:color w:val="auto"/>
                <w:sz w:val="24"/>
              </w:rPr>
            </w:pPr>
            <w:r>
              <w:rPr>
                <w:rFonts w:hint="eastAsia"/>
                <w:color w:val="auto"/>
                <w:sz w:val="24"/>
              </w:rPr>
              <w:t>c、应分类分区存放不相容危险废物，间隔距离至少10cm。</w:t>
            </w:r>
          </w:p>
          <w:p>
            <w:pPr>
              <w:adjustRightInd w:val="0"/>
              <w:snapToGrid w:val="0"/>
              <w:spacing w:line="360" w:lineRule="auto"/>
              <w:ind w:firstLine="480" w:firstLineChars="200"/>
              <w:rPr>
                <w:color w:val="auto"/>
                <w:sz w:val="24"/>
              </w:rPr>
            </w:pPr>
            <w:r>
              <w:rPr>
                <w:rFonts w:hint="eastAsia"/>
                <w:color w:val="auto"/>
                <w:sz w:val="24"/>
              </w:rPr>
              <w:t>d、暂存区应按GB 18597要求建设防遗撒、防渗漏设施（如防漏容器）。</w:t>
            </w:r>
          </w:p>
          <w:p>
            <w:pPr>
              <w:adjustRightInd w:val="0"/>
              <w:snapToGrid w:val="0"/>
              <w:spacing w:line="360" w:lineRule="auto"/>
              <w:ind w:firstLine="480" w:firstLineChars="200"/>
              <w:rPr>
                <w:color w:val="auto"/>
                <w:sz w:val="24"/>
              </w:rPr>
            </w:pPr>
            <w:r>
              <w:rPr>
                <w:rFonts w:hint="eastAsia"/>
                <w:color w:val="auto"/>
                <w:sz w:val="24"/>
              </w:rPr>
              <w:t>e、暂存区须保持良好通风条件，危险废物应单层码放，并远离火源、避免高温、日晒和雨淋。</w:t>
            </w:r>
          </w:p>
          <w:p>
            <w:pPr>
              <w:adjustRightInd w:val="0"/>
              <w:snapToGrid w:val="0"/>
              <w:spacing w:line="360" w:lineRule="auto"/>
              <w:ind w:firstLine="480" w:firstLineChars="200"/>
              <w:rPr>
                <w:color w:val="auto"/>
                <w:sz w:val="24"/>
              </w:rPr>
            </w:pPr>
            <w:r>
              <w:rPr>
                <w:rFonts w:hint="eastAsia"/>
                <w:color w:val="auto"/>
                <w:sz w:val="24"/>
              </w:rPr>
              <w:t>f、实验室管理人员应对暂存区包装容器和防漏容器密闭、破损、泄漏及标签粘贴等情况定期检查并做好检查记录。</w:t>
            </w:r>
          </w:p>
          <w:p>
            <w:pPr>
              <w:adjustRightInd w:val="0"/>
              <w:snapToGrid w:val="0"/>
              <w:spacing w:line="360" w:lineRule="auto"/>
              <w:ind w:firstLine="480" w:firstLineChars="200"/>
              <w:rPr>
                <w:color w:val="auto"/>
                <w:sz w:val="24"/>
              </w:rPr>
            </w:pPr>
            <w:r>
              <w:rPr>
                <w:rFonts w:hint="eastAsia"/>
                <w:color w:val="auto"/>
                <w:sz w:val="24"/>
              </w:rPr>
              <w:t>g、暂存区危险废物原则上应日产日清（指暂存区危险废物应于当日运至贮存区），暂存量不宜超过暂存区面积的80%。</w:t>
            </w:r>
          </w:p>
          <w:p>
            <w:pPr>
              <w:adjustRightInd w:val="0"/>
              <w:snapToGrid w:val="0"/>
              <w:spacing w:line="360" w:lineRule="auto"/>
              <w:ind w:firstLine="482" w:firstLineChars="200"/>
              <w:rPr>
                <w:color w:val="auto"/>
                <w:sz w:val="24"/>
              </w:rPr>
            </w:pPr>
            <w:r>
              <w:rPr>
                <w:rFonts w:hint="eastAsia"/>
                <w:b/>
                <w:bCs/>
                <w:color w:val="auto"/>
                <w:sz w:val="24"/>
              </w:rPr>
              <w:t>6）防漏容器要求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盛装危险废物的原始包装容器应放置于防漏容器中。</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防漏容器材质和强度应满足容器的要求，其容积至少为（所有）原始包装容器容积的110%。</w:t>
            </w:r>
          </w:p>
          <w:p>
            <w:pPr>
              <w:adjustRightInd w:val="0"/>
              <w:snapToGrid w:val="0"/>
              <w:spacing w:line="360" w:lineRule="auto"/>
              <w:ind w:firstLine="482" w:firstLineChars="200"/>
              <w:rPr>
                <w:b/>
                <w:bCs/>
                <w:color w:val="auto"/>
                <w:sz w:val="24"/>
              </w:rPr>
            </w:pPr>
            <w:r>
              <w:rPr>
                <w:rFonts w:hint="eastAsia"/>
                <w:b/>
                <w:bCs/>
                <w:color w:val="auto"/>
                <w:sz w:val="24"/>
              </w:rPr>
              <w:t>7）收运要求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一般要求</w:t>
            </w:r>
          </w:p>
          <w:p>
            <w:pPr>
              <w:adjustRightInd w:val="0"/>
              <w:snapToGrid w:val="0"/>
              <w:spacing w:line="360" w:lineRule="auto"/>
              <w:ind w:firstLine="480" w:firstLineChars="200"/>
              <w:rPr>
                <w:color w:val="auto"/>
                <w:sz w:val="24"/>
              </w:rPr>
            </w:pPr>
            <w:r>
              <w:rPr>
                <w:rFonts w:hint="eastAsia"/>
                <w:color w:val="auto"/>
                <w:sz w:val="24"/>
              </w:rPr>
              <w:t>a、应符合HJ 2025 收集和内部转运作业的要求。</w:t>
            </w:r>
          </w:p>
          <w:p>
            <w:pPr>
              <w:adjustRightInd w:val="0"/>
              <w:snapToGrid w:val="0"/>
              <w:spacing w:line="360" w:lineRule="auto"/>
              <w:ind w:firstLine="480" w:firstLineChars="200"/>
              <w:rPr>
                <w:color w:val="auto"/>
                <w:sz w:val="24"/>
              </w:rPr>
            </w:pPr>
            <w:r>
              <w:rPr>
                <w:rFonts w:hint="eastAsia"/>
                <w:color w:val="auto"/>
                <w:sz w:val="24"/>
              </w:rPr>
              <w:t>b、应核对投放登记表的信息，并签字确认。</w:t>
            </w:r>
          </w:p>
          <w:p>
            <w:pPr>
              <w:adjustRightInd w:val="0"/>
              <w:snapToGrid w:val="0"/>
              <w:spacing w:line="360" w:lineRule="auto"/>
              <w:ind w:firstLine="480" w:firstLineChars="200"/>
              <w:rPr>
                <w:color w:val="auto"/>
                <w:sz w:val="24"/>
              </w:rPr>
            </w:pPr>
            <w:r>
              <w:rPr>
                <w:rFonts w:hint="eastAsia"/>
                <w:color w:val="auto"/>
                <w:sz w:val="24"/>
              </w:rPr>
              <w:t>c、极端天气禁止开展收运作业。</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收运要求</w:t>
            </w:r>
          </w:p>
          <w:p>
            <w:pPr>
              <w:adjustRightInd w:val="0"/>
              <w:snapToGrid w:val="0"/>
              <w:spacing w:line="360" w:lineRule="auto"/>
              <w:ind w:firstLine="480" w:firstLineChars="200"/>
              <w:rPr>
                <w:color w:val="auto"/>
                <w:sz w:val="24"/>
              </w:rPr>
            </w:pPr>
            <w:r>
              <w:rPr>
                <w:rFonts w:hint="eastAsia"/>
                <w:color w:val="auto"/>
                <w:sz w:val="24"/>
              </w:rPr>
              <w:t>a、应提前确定运输路线，确保专用运输工具状态完好。</w:t>
            </w:r>
          </w:p>
          <w:p>
            <w:pPr>
              <w:adjustRightInd w:val="0"/>
              <w:snapToGrid w:val="0"/>
              <w:spacing w:line="360" w:lineRule="auto"/>
              <w:ind w:firstLine="480" w:firstLineChars="200"/>
              <w:rPr>
                <w:color w:val="auto"/>
                <w:sz w:val="24"/>
              </w:rPr>
            </w:pPr>
            <w:r>
              <w:rPr>
                <w:rFonts w:hint="eastAsia"/>
                <w:color w:val="auto"/>
                <w:sz w:val="24"/>
              </w:rPr>
              <w:t>b、收运时产生方和内部转运方至少各需一人同时在场，携带必要的个人防护用具和应急物资；运输时应低速慢行，避免遗撒。</w:t>
            </w:r>
          </w:p>
          <w:p>
            <w:pPr>
              <w:adjustRightInd w:val="0"/>
              <w:snapToGrid w:val="0"/>
              <w:spacing w:line="360" w:lineRule="auto"/>
              <w:ind w:firstLine="480" w:firstLineChars="200"/>
              <w:rPr>
                <w:color w:val="auto"/>
                <w:sz w:val="24"/>
              </w:rPr>
            </w:pPr>
            <w:r>
              <w:rPr>
                <w:rFonts w:hint="eastAsia"/>
                <w:color w:val="auto"/>
                <w:sz w:val="24"/>
              </w:rPr>
              <w:t>c、运输后应及时清洁运输工具。</w:t>
            </w:r>
          </w:p>
          <w:p>
            <w:pPr>
              <w:adjustRightInd w:val="0"/>
              <w:snapToGrid w:val="0"/>
              <w:spacing w:line="360" w:lineRule="auto"/>
              <w:ind w:firstLine="482" w:firstLineChars="200"/>
              <w:rPr>
                <w:b/>
                <w:bCs/>
                <w:color w:val="auto"/>
                <w:sz w:val="24"/>
              </w:rPr>
            </w:pPr>
            <w:r>
              <w:rPr>
                <w:rFonts w:hint="eastAsia"/>
                <w:b/>
                <w:bCs/>
                <w:color w:val="auto"/>
                <w:sz w:val="24"/>
              </w:rPr>
              <w:t>8）贮存要求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贮存区的建设与运行管理应符合GB 18597和HJ 2025的要求。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危险废物贮存区施工前应取得相应环保手续。</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实验室危险废物贮存区应制定危险废物贮存管理台账，台账原则上应永久保存。</w:t>
            </w:r>
          </w:p>
          <w:p>
            <w:pPr>
              <w:adjustRightInd w:val="0"/>
              <w:snapToGrid w:val="0"/>
              <w:spacing w:line="360" w:lineRule="auto"/>
              <w:ind w:firstLine="482" w:firstLineChars="200"/>
              <w:rPr>
                <w:b/>
                <w:bCs/>
                <w:color w:val="auto"/>
                <w:sz w:val="24"/>
              </w:rPr>
            </w:pPr>
            <w:r>
              <w:rPr>
                <w:rFonts w:hint="eastAsia"/>
                <w:b/>
                <w:bCs/>
                <w:color w:val="auto"/>
                <w:sz w:val="24"/>
              </w:rPr>
              <w:t>9）处置利用要求</w:t>
            </w:r>
          </w:p>
          <w:p>
            <w:pPr>
              <w:adjustRightInd w:val="0"/>
              <w:snapToGrid w:val="0"/>
              <w:spacing w:line="360" w:lineRule="auto"/>
              <w:ind w:firstLine="480" w:firstLineChars="200"/>
              <w:rPr>
                <w:color w:val="auto"/>
                <w:sz w:val="24"/>
              </w:rPr>
            </w:pPr>
            <w:r>
              <w:rPr>
                <w:rFonts w:hint="eastAsia"/>
                <w:color w:val="auto"/>
                <w:sz w:val="24"/>
              </w:rPr>
              <w:t>应委托具有危险废物经营许可证的单位及时对实验室危险废物进行处置、利用，并严格执行危险废物申报登记、管理计划、转移联单等基本管理制度。</w:t>
            </w:r>
          </w:p>
          <w:p>
            <w:pPr>
              <w:adjustRightInd w:val="0"/>
              <w:snapToGrid w:val="0"/>
              <w:spacing w:line="360" w:lineRule="auto"/>
              <w:ind w:firstLine="482" w:firstLineChars="200"/>
              <w:rPr>
                <w:b/>
                <w:bCs/>
                <w:color w:val="auto"/>
                <w:sz w:val="24"/>
              </w:rPr>
            </w:pPr>
            <w:r>
              <w:rPr>
                <w:rFonts w:hint="eastAsia"/>
                <w:b/>
                <w:bCs/>
                <w:color w:val="auto"/>
                <w:sz w:val="24"/>
              </w:rPr>
              <w:t>10）其他要求</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rFonts w:hint="eastAsia"/>
                <w:color w:val="auto"/>
                <w:sz w:val="24"/>
              </w:rPr>
              <w:t>实验室危险废物产生单位应制定危险废物突发事故应急预案，并定期演练。</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rFonts w:hint="eastAsia"/>
                <w:color w:val="auto"/>
                <w:sz w:val="24"/>
              </w:rPr>
              <w:t>发生危险废物污染环境事件时，应及时采取措施消除或减轻污染和危害，及时向属地环保部门汇报。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lang w:val="en-US" w:eastAsia="zh-CN" w:bidi="ar"/>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应依法处罚在实验室危险废物污染防治工作中违反法律法规的单位和个人。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rPr>
            </w:pPr>
            <w:r>
              <w:rPr>
                <w:rFonts w:hint="eastAsia" w:ascii="宋体" w:hAnsi="宋体" w:eastAsia="宋体" w:cs="宋体"/>
                <w:b w:val="0"/>
                <w:bCs w:val="0"/>
                <w:color w:val="auto"/>
                <w:kern w:val="0"/>
                <w:sz w:val="24"/>
                <w:szCs w:val="24"/>
                <w:lang w:val="en-US" w:eastAsia="zh-CN" w:bidi="ar"/>
              </w:rPr>
              <w:t>综上，项目各类固体废弃物处理措施可行，去向明确，不会造成二次污染。</w:t>
            </w:r>
            <w:r>
              <w:rPr>
                <w:rFonts w:hint="eastAsia" w:ascii="宋体" w:hAnsi="宋体" w:eastAsia="宋体" w:cs="宋体"/>
                <w:b w:val="0"/>
                <w:bCs w:val="0"/>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五、</w:t>
            </w:r>
            <w:r>
              <w:rPr>
                <w:rFonts w:hint="default" w:ascii="Times New Roman" w:hAnsi="Times New Roman" w:cs="Times New Roman"/>
                <w:b/>
                <w:bCs/>
                <w:color w:val="auto"/>
                <w:sz w:val="24"/>
              </w:rPr>
              <w:t>地下水、土壤污染及防治措施</w:t>
            </w:r>
          </w:p>
          <w:p>
            <w:pPr>
              <w:adjustRightInd w:val="0"/>
              <w:snapToGrid w:val="0"/>
              <w:spacing w:line="360" w:lineRule="auto"/>
              <w:ind w:firstLine="480" w:firstLineChars="200"/>
              <w:rPr>
                <w:rFonts w:hint="eastAsia"/>
                <w:color w:val="000000"/>
                <w:sz w:val="24"/>
                <w:szCs w:val="24"/>
              </w:rPr>
            </w:pPr>
            <w:r>
              <w:rPr>
                <w:rFonts w:hint="eastAsia"/>
                <w:color w:val="000000"/>
                <w:sz w:val="24"/>
                <w:szCs w:val="24"/>
              </w:rPr>
              <w:t>为了降低本项目对地下水和土壤环境造成的影响，项目应严格</w:t>
            </w:r>
            <w:r>
              <w:rPr>
                <w:rFonts w:hint="eastAsia"/>
                <w:color w:val="000000"/>
                <w:sz w:val="24"/>
                <w:szCs w:val="24"/>
                <w:lang w:val="en-US" w:eastAsia="zh-CN"/>
              </w:rPr>
              <w:t>执行</w:t>
            </w:r>
            <w:r>
              <w:rPr>
                <w:rFonts w:hint="eastAsia"/>
                <w:color w:val="000000"/>
                <w:sz w:val="24"/>
                <w:szCs w:val="24"/>
              </w:rPr>
              <w:t>《中华人民共和国水污染防治法》的相关规定，按照“源头控制、分区防治、污染监控、应急响应”的原则进行地下水污染防治控制，项目对</w:t>
            </w:r>
            <w:r>
              <w:rPr>
                <w:rFonts w:hint="eastAsia"/>
                <w:color w:val="000000"/>
                <w:sz w:val="24"/>
                <w:szCs w:val="24"/>
                <w:lang w:val="en-US" w:eastAsia="zh-CN"/>
              </w:rPr>
              <w:t>地下水/</w:t>
            </w:r>
            <w:r>
              <w:rPr>
                <w:rFonts w:hint="eastAsia"/>
                <w:color w:val="000000"/>
                <w:sz w:val="24"/>
                <w:szCs w:val="24"/>
              </w:rPr>
              <w:t>土壤的潜在污染可能来自项目隔油池、化粪池、中和池、发电机房、垃圾临时堆放间、实验室、危废暂存间</w:t>
            </w:r>
            <w:r>
              <w:rPr>
                <w:rFonts w:hint="eastAsia"/>
                <w:color w:val="000000"/>
                <w:sz w:val="24"/>
                <w:szCs w:val="24"/>
                <w:lang w:eastAsia="zh-CN"/>
              </w:rPr>
              <w:t>、</w:t>
            </w:r>
            <w:r>
              <w:rPr>
                <w:rFonts w:hint="eastAsia"/>
                <w:color w:val="000000"/>
                <w:sz w:val="24"/>
                <w:szCs w:val="24"/>
                <w:lang w:val="en-US" w:eastAsia="zh-CN"/>
              </w:rPr>
              <w:t>发电机房</w:t>
            </w:r>
            <w:r>
              <w:rPr>
                <w:rFonts w:hint="eastAsia"/>
                <w:color w:val="000000"/>
                <w:sz w:val="24"/>
                <w:szCs w:val="24"/>
              </w:rPr>
              <w:t>等。本次评价按简单防渗区、一般防渗区、重点防渗区设计考虑控制措施，采取不同等级的防渗措施，防止事故情况下液体漫流。项目采取防渗措施见下表。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4-13</w:t>
            </w:r>
            <w:r>
              <w:rPr>
                <w:rFonts w:hint="default" w:ascii="Times New Roman" w:hAnsi="Times New Roman" w:eastAsia="黑体" w:cs="Times New Roman"/>
                <w:b w:val="0"/>
                <w:bCs/>
                <w:sz w:val="21"/>
                <w:szCs w:val="21"/>
              </w:rPr>
              <w:t xml:space="preserve">   分区防渗一览表</w:t>
            </w:r>
          </w:p>
          <w:tbl>
            <w:tblPr>
              <w:tblStyle w:val="26"/>
              <w:tblW w:w="84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0"/>
              <w:gridCol w:w="2790"/>
              <w:gridCol w:w="2760"/>
              <w:gridCol w:w="19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20" w:type="dxa"/>
                  <w:tcBorders>
                    <w:tl2br w:val="nil"/>
                    <w:tr2bl w:val="nil"/>
                  </w:tcBorders>
                  <w:noWrap w:val="0"/>
                  <w:vAlign w:val="center"/>
                </w:tcPr>
                <w:p>
                  <w:pPr>
                    <w:adjustRightInd w:val="0"/>
                    <w:snapToGrid w:val="0"/>
                    <w:spacing w:line="300" w:lineRule="auto"/>
                    <w:jc w:val="center"/>
                    <w:rPr>
                      <w:b/>
                      <w:bCs/>
                      <w:kern w:val="0"/>
                      <w:sz w:val="21"/>
                      <w:szCs w:val="21"/>
                    </w:rPr>
                  </w:pPr>
                  <w:r>
                    <w:rPr>
                      <w:rFonts w:hint="eastAsia"/>
                      <w:b/>
                      <w:bCs/>
                      <w:kern w:val="0"/>
                      <w:sz w:val="21"/>
                      <w:szCs w:val="21"/>
                    </w:rPr>
                    <w:t>防渗区分类</w:t>
                  </w:r>
                </w:p>
              </w:tc>
              <w:tc>
                <w:tcPr>
                  <w:tcW w:w="2790" w:type="dxa"/>
                  <w:tcBorders>
                    <w:tl2br w:val="nil"/>
                    <w:tr2bl w:val="nil"/>
                  </w:tcBorders>
                  <w:noWrap w:val="0"/>
                  <w:vAlign w:val="center"/>
                </w:tcPr>
                <w:p>
                  <w:pPr>
                    <w:adjustRightInd w:val="0"/>
                    <w:snapToGrid w:val="0"/>
                    <w:spacing w:line="300" w:lineRule="auto"/>
                    <w:jc w:val="center"/>
                    <w:rPr>
                      <w:b/>
                      <w:bCs/>
                      <w:kern w:val="0"/>
                      <w:sz w:val="21"/>
                      <w:szCs w:val="21"/>
                    </w:rPr>
                  </w:pPr>
                  <w:r>
                    <w:rPr>
                      <w:rFonts w:hint="eastAsia"/>
                      <w:b/>
                      <w:bCs/>
                      <w:kern w:val="0"/>
                      <w:sz w:val="21"/>
                      <w:szCs w:val="21"/>
                    </w:rPr>
                    <w:t>包括区域</w:t>
                  </w:r>
                </w:p>
              </w:tc>
              <w:tc>
                <w:tcPr>
                  <w:tcW w:w="2760" w:type="dxa"/>
                  <w:tcBorders>
                    <w:tl2br w:val="nil"/>
                    <w:tr2bl w:val="nil"/>
                  </w:tcBorders>
                  <w:noWrap w:val="0"/>
                  <w:vAlign w:val="center"/>
                </w:tcPr>
                <w:p>
                  <w:pPr>
                    <w:adjustRightInd w:val="0"/>
                    <w:snapToGrid w:val="0"/>
                    <w:spacing w:line="300" w:lineRule="auto"/>
                    <w:jc w:val="center"/>
                    <w:rPr>
                      <w:rFonts w:hint="default" w:eastAsia="宋体"/>
                      <w:b/>
                      <w:bCs/>
                      <w:kern w:val="0"/>
                      <w:sz w:val="21"/>
                      <w:szCs w:val="21"/>
                      <w:lang w:val="en-US" w:eastAsia="zh-CN"/>
                    </w:rPr>
                  </w:pPr>
                  <w:r>
                    <w:rPr>
                      <w:rFonts w:hint="eastAsia"/>
                      <w:b/>
                      <w:bCs/>
                      <w:kern w:val="0"/>
                      <w:sz w:val="21"/>
                      <w:szCs w:val="21"/>
                      <w:lang w:val="en-US" w:eastAsia="zh-CN"/>
                    </w:rPr>
                    <w:t>拟采取的措施</w:t>
                  </w:r>
                </w:p>
              </w:tc>
              <w:tc>
                <w:tcPr>
                  <w:tcW w:w="1990" w:type="dxa"/>
                  <w:tcBorders>
                    <w:tl2br w:val="nil"/>
                    <w:tr2bl w:val="nil"/>
                  </w:tcBorders>
                  <w:noWrap w:val="0"/>
                  <w:vAlign w:val="center"/>
                </w:tcPr>
                <w:p>
                  <w:pPr>
                    <w:adjustRightInd w:val="0"/>
                    <w:snapToGrid w:val="0"/>
                    <w:spacing w:line="300" w:lineRule="auto"/>
                    <w:jc w:val="center"/>
                    <w:rPr>
                      <w:rFonts w:hint="eastAsia" w:eastAsia="宋体"/>
                      <w:b/>
                      <w:bCs/>
                      <w:kern w:val="0"/>
                      <w:sz w:val="21"/>
                      <w:szCs w:val="21"/>
                      <w:lang w:eastAsia="zh-CN"/>
                    </w:rPr>
                  </w:pPr>
                  <w:r>
                    <w:rPr>
                      <w:rFonts w:hint="eastAsia"/>
                      <w:b/>
                      <w:bCs/>
                      <w:kern w:val="0"/>
                      <w:sz w:val="21"/>
                      <w:szCs w:val="21"/>
                    </w:rPr>
                    <w:t>防渗</w:t>
                  </w:r>
                  <w:r>
                    <w:rPr>
                      <w:rFonts w:hint="eastAsia"/>
                      <w:b/>
                      <w:bCs/>
                      <w:kern w:val="0"/>
                      <w:sz w:val="21"/>
                      <w:szCs w:val="21"/>
                      <w:lang w:val="en-US" w:eastAsia="zh-CN"/>
                    </w:rPr>
                    <w:t>技术要求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20" w:type="dxa"/>
                  <w:tcBorders>
                    <w:tl2br w:val="nil"/>
                    <w:tr2bl w:val="nil"/>
                  </w:tcBorders>
                  <w:noWrap w:val="0"/>
                  <w:vAlign w:val="center"/>
                </w:tcPr>
                <w:p>
                  <w:pPr>
                    <w:adjustRightInd w:val="0"/>
                    <w:snapToGrid w:val="0"/>
                    <w:spacing w:line="300" w:lineRule="auto"/>
                    <w:jc w:val="center"/>
                    <w:rPr>
                      <w:rFonts w:hint="eastAsia"/>
                      <w:kern w:val="0"/>
                      <w:sz w:val="21"/>
                      <w:szCs w:val="21"/>
                      <w:lang w:val="en-US" w:eastAsia="zh-CN" w:bidi="ar-SA"/>
                    </w:rPr>
                  </w:pPr>
                  <w:r>
                    <w:rPr>
                      <w:rFonts w:hint="eastAsia"/>
                      <w:kern w:val="0"/>
                      <w:sz w:val="21"/>
                      <w:szCs w:val="21"/>
                    </w:rPr>
                    <w:t>重点防渗区</w:t>
                  </w:r>
                </w:p>
              </w:tc>
              <w:tc>
                <w:tcPr>
                  <w:tcW w:w="2790" w:type="dxa"/>
                  <w:tcBorders>
                    <w:tl2br w:val="nil"/>
                    <w:tr2bl w:val="nil"/>
                  </w:tcBorders>
                  <w:noWrap w:val="0"/>
                  <w:vAlign w:val="center"/>
                </w:tcPr>
                <w:p>
                  <w:pPr>
                    <w:adjustRightInd w:val="0"/>
                    <w:snapToGrid w:val="0"/>
                    <w:spacing w:line="300" w:lineRule="auto"/>
                    <w:jc w:val="center"/>
                    <w:rPr>
                      <w:rFonts w:hint="default" w:eastAsia="宋体"/>
                      <w:kern w:val="0"/>
                      <w:sz w:val="21"/>
                      <w:szCs w:val="21"/>
                      <w:lang w:val="en-US" w:eastAsia="zh-CN" w:bidi="ar-SA"/>
                    </w:rPr>
                  </w:pPr>
                  <w:r>
                    <w:rPr>
                      <w:rFonts w:hint="eastAsia"/>
                      <w:kern w:val="0"/>
                      <w:sz w:val="21"/>
                      <w:szCs w:val="21"/>
                    </w:rPr>
                    <w:t>危废暂存间</w:t>
                  </w:r>
                  <w:r>
                    <w:rPr>
                      <w:rFonts w:hint="eastAsia"/>
                      <w:kern w:val="0"/>
                      <w:sz w:val="21"/>
                      <w:szCs w:val="21"/>
                      <w:lang w:eastAsia="zh-CN"/>
                    </w:rPr>
                    <w:t>、</w:t>
                  </w:r>
                  <w:r>
                    <w:rPr>
                      <w:rFonts w:hint="eastAsia"/>
                      <w:kern w:val="0"/>
                      <w:sz w:val="21"/>
                      <w:szCs w:val="21"/>
                      <w:lang w:val="en-US" w:eastAsia="zh-CN"/>
                    </w:rPr>
                    <w:t>发电机房</w:t>
                  </w:r>
                </w:p>
              </w:tc>
              <w:tc>
                <w:tcPr>
                  <w:tcW w:w="2760" w:type="dxa"/>
                  <w:tcBorders>
                    <w:tl2br w:val="nil"/>
                    <w:tr2bl w:val="nil"/>
                  </w:tcBorders>
                  <w:noWrap w:val="0"/>
                  <w:vAlign w:val="center"/>
                </w:tcPr>
                <w:p>
                  <w:pPr>
                    <w:adjustRightInd w:val="0"/>
                    <w:snapToGrid w:val="0"/>
                    <w:spacing w:line="300" w:lineRule="auto"/>
                    <w:jc w:val="center"/>
                    <w:rPr>
                      <w:rFonts w:hint="eastAsia"/>
                      <w:kern w:val="0"/>
                      <w:sz w:val="21"/>
                      <w:szCs w:val="21"/>
                      <w:lang w:val="en-US" w:eastAsia="zh-CN" w:bidi="ar-SA"/>
                    </w:rPr>
                  </w:pPr>
                  <w:r>
                    <w:rPr>
                      <w:rFonts w:hint="eastAsia"/>
                      <w:kern w:val="0"/>
                      <w:sz w:val="21"/>
                      <w:szCs w:val="21"/>
                    </w:rPr>
                    <w:t>水泥硬化+瓷砖+2mm厚环氧树脂，液态物料桶置于托盘内</w:t>
                  </w:r>
                </w:p>
              </w:tc>
              <w:tc>
                <w:tcPr>
                  <w:tcW w:w="1990" w:type="dxa"/>
                  <w:tcBorders>
                    <w:tl2br w:val="nil"/>
                    <w:tr2bl w:val="nil"/>
                  </w:tcBorders>
                  <w:noWrap w:val="0"/>
                  <w:vAlign w:val="center"/>
                </w:tcPr>
                <w:p>
                  <w:pPr>
                    <w:adjustRightInd w:val="0"/>
                    <w:snapToGrid w:val="0"/>
                    <w:spacing w:line="300" w:lineRule="auto"/>
                    <w:jc w:val="center"/>
                    <w:rPr>
                      <w:rFonts w:hint="eastAsia"/>
                      <w:kern w:val="0"/>
                      <w:sz w:val="21"/>
                      <w:szCs w:val="21"/>
                      <w:lang w:val="en-US" w:eastAsia="zh-CN" w:bidi="ar-SA"/>
                    </w:rPr>
                  </w:pPr>
                  <w:r>
                    <w:rPr>
                      <w:rFonts w:hint="eastAsia"/>
                      <w:kern w:val="0"/>
                      <w:sz w:val="21"/>
                      <w:szCs w:val="21"/>
                    </w:rPr>
                    <w:t>等效黏土防渗层Mb≥6.0m，</w:t>
                  </w:r>
                  <w:r>
                    <w:rPr>
                      <w:kern w:val="0"/>
                      <w:sz w:val="21"/>
                      <w:szCs w:val="21"/>
                    </w:rPr>
                    <w:t>防渗层渗透系数</w:t>
                  </w:r>
                  <w:r>
                    <w:rPr>
                      <w:rFonts w:eastAsia="TimesNewRomanPSMT"/>
                      <w:kern w:val="0"/>
                      <w:sz w:val="21"/>
                      <w:szCs w:val="21"/>
                    </w:rPr>
                    <w:t>≤10</w:t>
                  </w:r>
                  <w:r>
                    <w:rPr>
                      <w:rFonts w:eastAsia="TimesNewRomanPSMT"/>
                      <w:kern w:val="0"/>
                      <w:sz w:val="21"/>
                      <w:szCs w:val="21"/>
                      <w:vertAlign w:val="superscript"/>
                    </w:rPr>
                    <w:t>-10</w:t>
                  </w:r>
                  <w:r>
                    <w:rPr>
                      <w:rFonts w:eastAsia="TimesNewRomanPSMT"/>
                      <w:kern w:val="0"/>
                      <w:sz w:val="21"/>
                      <w:szCs w:val="21"/>
                    </w:rPr>
                    <w:t>cm/s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20" w:type="dxa"/>
                  <w:vMerge w:val="restart"/>
                  <w:tcBorders>
                    <w:tl2br w:val="nil"/>
                    <w:tr2bl w:val="nil"/>
                  </w:tcBorders>
                  <w:noWrap w:val="0"/>
                  <w:vAlign w:val="center"/>
                </w:tcPr>
                <w:p>
                  <w:pPr>
                    <w:adjustRightInd w:val="0"/>
                    <w:snapToGrid w:val="0"/>
                    <w:spacing w:line="300" w:lineRule="auto"/>
                    <w:jc w:val="center"/>
                    <w:rPr>
                      <w:kern w:val="0"/>
                      <w:sz w:val="21"/>
                      <w:szCs w:val="21"/>
                    </w:rPr>
                  </w:pPr>
                  <w:r>
                    <w:rPr>
                      <w:rFonts w:hint="eastAsia"/>
                      <w:kern w:val="0"/>
                      <w:sz w:val="21"/>
                      <w:szCs w:val="21"/>
                    </w:rPr>
                    <w:t>一般防渗区</w:t>
                  </w:r>
                </w:p>
              </w:tc>
              <w:tc>
                <w:tcPr>
                  <w:tcW w:w="2790" w:type="dxa"/>
                  <w:tcBorders>
                    <w:tl2br w:val="nil"/>
                    <w:tr2bl w:val="nil"/>
                  </w:tcBorders>
                  <w:noWrap w:val="0"/>
                  <w:vAlign w:val="center"/>
                </w:tcPr>
                <w:p>
                  <w:pPr>
                    <w:adjustRightInd w:val="0"/>
                    <w:snapToGrid w:val="0"/>
                    <w:spacing w:line="300" w:lineRule="auto"/>
                    <w:jc w:val="center"/>
                    <w:rPr>
                      <w:rFonts w:hint="default" w:eastAsia="宋体"/>
                      <w:kern w:val="0"/>
                      <w:sz w:val="21"/>
                      <w:szCs w:val="21"/>
                      <w:lang w:val="en-US" w:eastAsia="zh-CN"/>
                    </w:rPr>
                  </w:pPr>
                  <w:r>
                    <w:rPr>
                      <w:rFonts w:hint="eastAsia"/>
                      <w:kern w:val="0"/>
                      <w:sz w:val="21"/>
                      <w:szCs w:val="21"/>
                      <w:lang w:val="en-US" w:eastAsia="zh-CN"/>
                    </w:rPr>
                    <w:t>实验室区域</w:t>
                  </w:r>
                </w:p>
              </w:tc>
              <w:tc>
                <w:tcPr>
                  <w:tcW w:w="2760" w:type="dxa"/>
                  <w:tcBorders>
                    <w:tl2br w:val="nil"/>
                    <w:tr2bl w:val="nil"/>
                  </w:tcBorders>
                  <w:noWrap w:val="0"/>
                  <w:vAlign w:val="center"/>
                </w:tcPr>
                <w:p>
                  <w:pPr>
                    <w:adjustRightInd w:val="0"/>
                    <w:snapToGrid w:val="0"/>
                    <w:spacing w:line="300" w:lineRule="auto"/>
                    <w:jc w:val="center"/>
                    <w:rPr>
                      <w:kern w:val="0"/>
                      <w:sz w:val="21"/>
                      <w:szCs w:val="21"/>
                    </w:rPr>
                  </w:pPr>
                  <w:r>
                    <w:rPr>
                      <w:rFonts w:hint="eastAsia"/>
                      <w:kern w:val="0"/>
                      <w:sz w:val="21"/>
                      <w:szCs w:val="21"/>
                    </w:rPr>
                    <w:t>水泥硬化+瓷砖，实验试剂存储在专门的贮存柜内</w:t>
                  </w:r>
                </w:p>
              </w:tc>
              <w:tc>
                <w:tcPr>
                  <w:tcW w:w="1990" w:type="dxa"/>
                  <w:vMerge w:val="restart"/>
                  <w:tcBorders>
                    <w:tl2br w:val="nil"/>
                    <w:tr2bl w:val="nil"/>
                  </w:tcBorders>
                  <w:noWrap w:val="0"/>
                  <w:vAlign w:val="center"/>
                </w:tcPr>
                <w:p>
                  <w:pPr>
                    <w:adjustRightInd w:val="0"/>
                    <w:snapToGrid w:val="0"/>
                    <w:spacing w:line="300" w:lineRule="auto"/>
                    <w:jc w:val="center"/>
                    <w:rPr>
                      <w:kern w:val="0"/>
                      <w:sz w:val="21"/>
                      <w:szCs w:val="21"/>
                    </w:rPr>
                  </w:pPr>
                  <w:r>
                    <w:rPr>
                      <w:rFonts w:hint="eastAsia"/>
                      <w:kern w:val="0"/>
                      <w:sz w:val="21"/>
                      <w:szCs w:val="21"/>
                    </w:rPr>
                    <w:t>等效黏土防渗层Mb≥1.5m，K≤1</w:t>
                  </w:r>
                  <w:r>
                    <w:rPr>
                      <w:kern w:val="0"/>
                      <w:sz w:val="21"/>
                      <w:szCs w:val="21"/>
                    </w:rPr>
                    <w:t>×</w:t>
                  </w:r>
                  <w:r>
                    <w:rPr>
                      <w:rFonts w:hint="eastAsia"/>
                      <w:kern w:val="0"/>
                      <w:sz w:val="21"/>
                      <w:szCs w:val="21"/>
                    </w:rPr>
                    <w:t>10</w:t>
                  </w:r>
                  <w:r>
                    <w:rPr>
                      <w:rFonts w:hint="eastAsia"/>
                      <w:kern w:val="0"/>
                      <w:sz w:val="21"/>
                      <w:szCs w:val="21"/>
                      <w:vertAlign w:val="superscript"/>
                    </w:rPr>
                    <w:t>-7</w:t>
                  </w:r>
                  <w:r>
                    <w:rPr>
                      <w:rFonts w:hint="eastAsia"/>
                      <w:kern w:val="0"/>
                      <w:sz w:val="21"/>
                      <w:szCs w:val="21"/>
                    </w:rPr>
                    <w:t>cm/s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20" w:type="dxa"/>
                  <w:vMerge w:val="continue"/>
                  <w:tcBorders>
                    <w:tl2br w:val="nil"/>
                    <w:tr2bl w:val="nil"/>
                  </w:tcBorders>
                  <w:noWrap w:val="0"/>
                  <w:vAlign w:val="center"/>
                </w:tcPr>
                <w:p>
                  <w:pPr>
                    <w:adjustRightInd w:val="0"/>
                    <w:snapToGrid w:val="0"/>
                    <w:spacing w:line="300" w:lineRule="auto"/>
                    <w:jc w:val="center"/>
                    <w:rPr>
                      <w:rFonts w:hint="eastAsia"/>
                      <w:kern w:val="0"/>
                      <w:sz w:val="21"/>
                      <w:szCs w:val="21"/>
                    </w:rPr>
                  </w:pPr>
                </w:p>
              </w:tc>
              <w:tc>
                <w:tcPr>
                  <w:tcW w:w="2790" w:type="dxa"/>
                  <w:tcBorders>
                    <w:tl2br w:val="nil"/>
                    <w:tr2bl w:val="nil"/>
                  </w:tcBorders>
                  <w:noWrap w:val="0"/>
                  <w:vAlign w:val="center"/>
                </w:tcPr>
                <w:p>
                  <w:pPr>
                    <w:adjustRightInd w:val="0"/>
                    <w:snapToGrid w:val="0"/>
                    <w:spacing w:line="300" w:lineRule="auto"/>
                    <w:jc w:val="center"/>
                    <w:rPr>
                      <w:rFonts w:hint="eastAsia"/>
                      <w:kern w:val="0"/>
                      <w:sz w:val="21"/>
                      <w:szCs w:val="21"/>
                      <w:lang w:val="en-US" w:eastAsia="zh-CN"/>
                    </w:rPr>
                  </w:pPr>
                  <w:r>
                    <w:rPr>
                      <w:rFonts w:hint="eastAsia"/>
                      <w:kern w:val="0"/>
                      <w:sz w:val="21"/>
                      <w:szCs w:val="21"/>
                      <w:lang w:val="en-US" w:eastAsia="zh-CN"/>
                    </w:rPr>
                    <w:t>隔油池、化粪池、中和池、垃圾临时堆放间</w:t>
                  </w:r>
                </w:p>
              </w:tc>
              <w:tc>
                <w:tcPr>
                  <w:tcW w:w="2760" w:type="dxa"/>
                  <w:tcBorders>
                    <w:tl2br w:val="nil"/>
                    <w:tr2bl w:val="nil"/>
                  </w:tcBorders>
                  <w:noWrap w:val="0"/>
                  <w:vAlign w:val="center"/>
                </w:tcPr>
                <w:p>
                  <w:pPr>
                    <w:adjustRightInd w:val="0"/>
                    <w:snapToGrid w:val="0"/>
                    <w:spacing w:line="300" w:lineRule="auto"/>
                    <w:jc w:val="center"/>
                    <w:rPr>
                      <w:rFonts w:hint="eastAsia"/>
                      <w:kern w:val="0"/>
                      <w:sz w:val="21"/>
                      <w:szCs w:val="21"/>
                    </w:rPr>
                  </w:pPr>
                  <w:r>
                    <w:rPr>
                      <w:rFonts w:hint="eastAsia"/>
                      <w:kern w:val="0"/>
                      <w:sz w:val="21"/>
                      <w:szCs w:val="21"/>
                    </w:rPr>
                    <w:t>抗渗混凝土硬化</w:t>
                  </w:r>
                </w:p>
              </w:tc>
              <w:tc>
                <w:tcPr>
                  <w:tcW w:w="1990" w:type="dxa"/>
                  <w:vMerge w:val="continue"/>
                  <w:tcBorders>
                    <w:tl2br w:val="nil"/>
                    <w:tr2bl w:val="nil"/>
                  </w:tcBorders>
                  <w:noWrap w:val="0"/>
                  <w:vAlign w:val="center"/>
                </w:tcPr>
                <w:p>
                  <w:pPr>
                    <w:adjustRightInd w:val="0"/>
                    <w:snapToGrid w:val="0"/>
                    <w:spacing w:line="300" w:lineRule="auto"/>
                    <w:jc w:val="center"/>
                    <w:rPr>
                      <w:rFonts w:hint="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20" w:type="dxa"/>
                  <w:vMerge w:val="continue"/>
                  <w:tcBorders>
                    <w:tl2br w:val="nil"/>
                    <w:tr2bl w:val="nil"/>
                  </w:tcBorders>
                  <w:noWrap w:val="0"/>
                  <w:vAlign w:val="center"/>
                </w:tcPr>
                <w:p>
                  <w:pPr>
                    <w:adjustRightInd w:val="0"/>
                    <w:snapToGrid w:val="0"/>
                    <w:spacing w:line="300" w:lineRule="auto"/>
                    <w:jc w:val="center"/>
                    <w:rPr>
                      <w:rFonts w:hint="eastAsia"/>
                      <w:kern w:val="0"/>
                      <w:sz w:val="21"/>
                      <w:szCs w:val="21"/>
                    </w:rPr>
                  </w:pPr>
                </w:p>
              </w:tc>
              <w:tc>
                <w:tcPr>
                  <w:tcW w:w="2790" w:type="dxa"/>
                  <w:tcBorders>
                    <w:tl2br w:val="nil"/>
                    <w:tr2bl w:val="nil"/>
                  </w:tcBorders>
                  <w:noWrap w:val="0"/>
                  <w:vAlign w:val="center"/>
                </w:tcPr>
                <w:p>
                  <w:pPr>
                    <w:adjustRightInd w:val="0"/>
                    <w:snapToGrid w:val="0"/>
                    <w:spacing w:line="300" w:lineRule="auto"/>
                    <w:jc w:val="center"/>
                    <w:rPr>
                      <w:rFonts w:hint="eastAsia"/>
                      <w:kern w:val="0"/>
                      <w:sz w:val="21"/>
                      <w:szCs w:val="21"/>
                      <w:lang w:val="en-US" w:eastAsia="zh-CN"/>
                    </w:rPr>
                  </w:pPr>
                  <w:r>
                    <w:rPr>
                      <w:rFonts w:hint="eastAsia"/>
                      <w:kern w:val="0"/>
                      <w:sz w:val="21"/>
                      <w:szCs w:val="21"/>
                      <w:lang w:val="en-US" w:eastAsia="zh-CN"/>
                    </w:rPr>
                    <w:t>食堂加工区，各区域卫生间</w:t>
                  </w:r>
                </w:p>
              </w:tc>
              <w:tc>
                <w:tcPr>
                  <w:tcW w:w="2760" w:type="dxa"/>
                  <w:tcBorders>
                    <w:tl2br w:val="nil"/>
                    <w:tr2bl w:val="nil"/>
                  </w:tcBorders>
                  <w:noWrap w:val="0"/>
                  <w:vAlign w:val="center"/>
                </w:tcPr>
                <w:p>
                  <w:pPr>
                    <w:adjustRightInd w:val="0"/>
                    <w:snapToGrid w:val="0"/>
                    <w:spacing w:line="300" w:lineRule="auto"/>
                    <w:jc w:val="center"/>
                    <w:rPr>
                      <w:rFonts w:hint="eastAsia"/>
                      <w:kern w:val="0"/>
                      <w:sz w:val="21"/>
                      <w:szCs w:val="21"/>
                    </w:rPr>
                  </w:pPr>
                  <w:r>
                    <w:rPr>
                      <w:rFonts w:hint="eastAsia"/>
                      <w:kern w:val="0"/>
                      <w:sz w:val="21"/>
                      <w:szCs w:val="21"/>
                    </w:rPr>
                    <w:t>抗渗混凝土硬化</w:t>
                  </w:r>
                </w:p>
              </w:tc>
              <w:tc>
                <w:tcPr>
                  <w:tcW w:w="1990" w:type="dxa"/>
                  <w:vMerge w:val="continue"/>
                  <w:tcBorders>
                    <w:tl2br w:val="nil"/>
                    <w:tr2bl w:val="nil"/>
                  </w:tcBorders>
                  <w:noWrap w:val="0"/>
                  <w:vAlign w:val="center"/>
                </w:tcPr>
                <w:p>
                  <w:pPr>
                    <w:adjustRightInd w:val="0"/>
                    <w:snapToGrid w:val="0"/>
                    <w:spacing w:line="300" w:lineRule="auto"/>
                    <w:jc w:val="center"/>
                    <w:rPr>
                      <w:rFonts w:hint="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920" w:type="dxa"/>
                  <w:tcBorders>
                    <w:tl2br w:val="nil"/>
                    <w:tr2bl w:val="nil"/>
                  </w:tcBorders>
                  <w:noWrap w:val="0"/>
                  <w:vAlign w:val="center"/>
                </w:tcPr>
                <w:p>
                  <w:pPr>
                    <w:adjustRightInd w:val="0"/>
                    <w:snapToGrid w:val="0"/>
                    <w:spacing w:line="300" w:lineRule="auto"/>
                    <w:jc w:val="center"/>
                    <w:rPr>
                      <w:rFonts w:hint="default" w:eastAsia="宋体"/>
                      <w:kern w:val="0"/>
                      <w:sz w:val="21"/>
                      <w:szCs w:val="21"/>
                      <w:lang w:val="en-US" w:eastAsia="zh-CN"/>
                    </w:rPr>
                  </w:pPr>
                  <w:r>
                    <w:rPr>
                      <w:rFonts w:hint="eastAsia"/>
                      <w:kern w:val="0"/>
                      <w:sz w:val="21"/>
                      <w:szCs w:val="21"/>
                      <w:lang w:val="en-US" w:eastAsia="zh-CN"/>
                    </w:rPr>
                    <w:t>简单防渗区</w:t>
                  </w:r>
                </w:p>
              </w:tc>
              <w:tc>
                <w:tcPr>
                  <w:tcW w:w="2790" w:type="dxa"/>
                  <w:tcBorders>
                    <w:tl2br w:val="nil"/>
                    <w:tr2bl w:val="nil"/>
                  </w:tcBorders>
                  <w:noWrap w:val="0"/>
                  <w:vAlign w:val="center"/>
                </w:tcPr>
                <w:p>
                  <w:pPr>
                    <w:adjustRightInd w:val="0"/>
                    <w:snapToGrid w:val="0"/>
                    <w:spacing w:line="300" w:lineRule="auto"/>
                    <w:jc w:val="center"/>
                    <w:rPr>
                      <w:kern w:val="0"/>
                      <w:sz w:val="21"/>
                      <w:szCs w:val="21"/>
                    </w:rPr>
                  </w:pPr>
                  <w:r>
                    <w:rPr>
                      <w:rFonts w:hint="eastAsia"/>
                      <w:kern w:val="0"/>
                      <w:sz w:val="21"/>
                      <w:szCs w:val="21"/>
                    </w:rPr>
                    <w:t>除重点防渗区、一般防渗区、绿化区域以外的其他区域</w:t>
                  </w:r>
                </w:p>
              </w:tc>
              <w:tc>
                <w:tcPr>
                  <w:tcW w:w="2760" w:type="dxa"/>
                  <w:tcBorders>
                    <w:tl2br w:val="nil"/>
                    <w:tr2bl w:val="nil"/>
                  </w:tcBorders>
                  <w:noWrap w:val="0"/>
                  <w:vAlign w:val="center"/>
                </w:tcPr>
                <w:p>
                  <w:pPr>
                    <w:adjustRightInd w:val="0"/>
                    <w:snapToGrid w:val="0"/>
                    <w:spacing w:line="300" w:lineRule="auto"/>
                    <w:jc w:val="center"/>
                    <w:rPr>
                      <w:rFonts w:hint="default" w:eastAsia="宋体"/>
                      <w:kern w:val="0"/>
                      <w:sz w:val="21"/>
                      <w:szCs w:val="21"/>
                      <w:lang w:val="en-US" w:eastAsia="zh-CN"/>
                    </w:rPr>
                  </w:pPr>
                  <w:r>
                    <w:rPr>
                      <w:rFonts w:hint="eastAsia"/>
                      <w:kern w:val="0"/>
                      <w:sz w:val="21"/>
                      <w:szCs w:val="21"/>
                      <w:lang w:val="en-US" w:eastAsia="zh-CN"/>
                    </w:rPr>
                    <w:t>水泥硬化</w:t>
                  </w:r>
                </w:p>
              </w:tc>
              <w:tc>
                <w:tcPr>
                  <w:tcW w:w="1990" w:type="dxa"/>
                  <w:tcBorders>
                    <w:tl2br w:val="nil"/>
                    <w:tr2bl w:val="nil"/>
                  </w:tcBorders>
                  <w:noWrap w:val="0"/>
                  <w:vAlign w:val="center"/>
                </w:tcPr>
                <w:p>
                  <w:pPr>
                    <w:adjustRightInd w:val="0"/>
                    <w:snapToGrid w:val="0"/>
                    <w:spacing w:line="300" w:lineRule="auto"/>
                    <w:jc w:val="center"/>
                    <w:rPr>
                      <w:rFonts w:hint="eastAsia" w:eastAsia="宋体"/>
                      <w:kern w:val="0"/>
                      <w:sz w:val="21"/>
                      <w:szCs w:val="21"/>
                      <w:lang w:val="en-US" w:eastAsia="zh-CN"/>
                    </w:rPr>
                  </w:pPr>
                  <w:r>
                    <w:rPr>
                      <w:rFonts w:hint="eastAsia"/>
                      <w:kern w:val="0"/>
                      <w:sz w:val="21"/>
                      <w:szCs w:val="21"/>
                      <w:lang w:val="en-US" w:eastAsia="zh-CN"/>
                    </w:rPr>
                    <w:t>/</w:t>
                  </w:r>
                </w:p>
              </w:tc>
            </w:tr>
          </w:tbl>
          <w:p>
            <w:pPr>
              <w:pStyle w:val="60"/>
              <w:snapToGrid w:val="0"/>
              <w:spacing w:before="156" w:beforeLines="50" w:line="360" w:lineRule="auto"/>
              <w:ind w:left="0" w:right="0" w:firstLineChars="200"/>
              <w:jc w:val="both"/>
              <w:rPr>
                <w:b w:val="0"/>
                <w:bCs/>
                <w:szCs w:val="21"/>
              </w:rPr>
            </w:pPr>
            <w:r>
              <w:rPr>
                <w:b w:val="0"/>
                <w:bCs/>
                <w:szCs w:val="21"/>
              </w:rPr>
              <w:t>综上，项目在采取上述</w:t>
            </w:r>
            <w:r>
              <w:rPr>
                <w:rFonts w:hint="eastAsia"/>
                <w:b w:val="0"/>
                <w:bCs/>
                <w:szCs w:val="21"/>
              </w:rPr>
              <w:t>防渗</w:t>
            </w:r>
            <w:r>
              <w:rPr>
                <w:b w:val="0"/>
                <w:bCs/>
                <w:szCs w:val="21"/>
              </w:rPr>
              <w:t>防治措施后对地下水</w:t>
            </w:r>
            <w:r>
              <w:rPr>
                <w:rFonts w:hint="eastAsia"/>
                <w:b w:val="0"/>
                <w:bCs/>
                <w:szCs w:val="21"/>
                <w:lang w:eastAsia="zh-CN"/>
              </w:rPr>
              <w:t>、</w:t>
            </w:r>
            <w:r>
              <w:rPr>
                <w:rFonts w:hint="eastAsia"/>
                <w:b w:val="0"/>
                <w:bCs/>
                <w:szCs w:val="21"/>
                <w:lang w:val="en-US" w:eastAsia="zh-CN"/>
              </w:rPr>
              <w:t>土壤</w:t>
            </w:r>
            <w:r>
              <w:rPr>
                <w:b w:val="0"/>
                <w:bCs/>
                <w:szCs w:val="21"/>
              </w:rPr>
              <w:t>不会造成明显影响。</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六、环境风险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1、风险调查</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ascii="Times New Roman" w:hAnsi="Times New Roman" w:cs="Times New Roman"/>
              </w:rPr>
            </w:pPr>
            <w:r>
              <w:rPr>
                <w:rFonts w:hint="default" w:ascii="Times New Roman" w:hAnsi="Times New Roman" w:cs="Times New Roman"/>
                <w:color w:val="auto"/>
                <w:sz w:val="24"/>
                <w:szCs w:val="24"/>
              </w:rPr>
              <w:t>根据《建设项目环境风险评价技术导则》(HJ169-2018）附录B，本项目</w:t>
            </w:r>
            <w:r>
              <w:rPr>
                <w:rFonts w:hint="eastAsia" w:ascii="Times New Roman" w:hAnsi="Times New Roman" w:cs="Times New Roman"/>
                <w:color w:val="auto"/>
                <w:sz w:val="24"/>
                <w:szCs w:val="24"/>
                <w:lang w:val="en-US" w:eastAsia="zh-CN"/>
              </w:rPr>
              <w:t>涉及的</w:t>
            </w:r>
            <w:r>
              <w:rPr>
                <w:rFonts w:hint="default" w:ascii="Times New Roman" w:hAnsi="Times New Roman" w:cs="Times New Roman"/>
                <w:color w:val="auto"/>
                <w:sz w:val="24"/>
                <w:szCs w:val="24"/>
              </w:rPr>
              <w:t>风险</w:t>
            </w:r>
            <w:r>
              <w:rPr>
                <w:rFonts w:hint="eastAsia" w:ascii="Times New Roman" w:hAnsi="Times New Roman" w:cs="Times New Roman"/>
                <w:color w:val="auto"/>
                <w:sz w:val="24"/>
                <w:szCs w:val="24"/>
                <w:lang w:val="en-US" w:eastAsia="zh-CN"/>
              </w:rPr>
              <w:t>物质</w:t>
            </w:r>
            <w:r>
              <w:rPr>
                <w:rFonts w:hint="default" w:ascii="Times New Roman" w:hAnsi="Times New Roman" w:cs="Times New Roman"/>
                <w:color w:val="auto"/>
                <w:sz w:val="24"/>
                <w:szCs w:val="24"/>
              </w:rPr>
              <w:t>主要有</w:t>
            </w:r>
            <w:r>
              <w:rPr>
                <w:rFonts w:hint="eastAsia" w:ascii="Times New Roman" w:hAnsi="Times New Roman" w:cs="Times New Roman"/>
                <w:color w:val="000000"/>
                <w:kern w:val="0"/>
                <w:sz w:val="24"/>
                <w:szCs w:val="24"/>
                <w:lang w:val="en-US" w:eastAsia="zh-CN"/>
              </w:rPr>
              <w:t>乙醇、</w:t>
            </w:r>
            <w:r>
              <w:rPr>
                <w:rFonts w:hint="default" w:ascii="Times New Roman" w:hAnsi="Times New Roman" w:eastAsia="宋体" w:cs="Times New Roman"/>
                <w:i w:val="0"/>
                <w:iCs w:val="0"/>
                <w:color w:val="000000"/>
                <w:kern w:val="0"/>
                <w:sz w:val="24"/>
                <w:szCs w:val="24"/>
                <w:u w:val="none"/>
                <w:lang w:val="en-US" w:eastAsia="zh-CN" w:bidi="ar"/>
              </w:rPr>
              <w:t>苯酚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硫酸铵</w:t>
            </w:r>
            <w:r>
              <w:rPr>
                <w:rFonts w:hint="eastAsia"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color w:val="000000"/>
                <w:kern w:val="0"/>
                <w:sz w:val="24"/>
                <w:szCs w:val="24"/>
                <w:lang w:val="en-US" w:eastAsia="zh-CN"/>
              </w:rPr>
              <w:t>乙酸、</w:t>
            </w:r>
            <w:r>
              <w:rPr>
                <w:rFonts w:hint="default" w:ascii="Times New Roman" w:hAnsi="Times New Roman" w:eastAsia="宋体" w:cs="Times New Roman"/>
                <w:i w:val="0"/>
                <w:iCs w:val="0"/>
                <w:color w:val="000000"/>
                <w:kern w:val="0"/>
                <w:sz w:val="24"/>
                <w:szCs w:val="24"/>
                <w:u w:val="none"/>
                <w:lang w:val="en-US" w:eastAsia="zh-CN" w:bidi="ar"/>
              </w:rPr>
              <w:t>磷酸</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福尔马林</w:t>
            </w:r>
            <w:r>
              <w:rPr>
                <w:rFonts w:hint="eastAsia" w:ascii="Times New Roman" w:hAnsi="Times New Roman" w:eastAsia="宋体" w:cs="Times New Roman"/>
                <w:i w:val="0"/>
                <w:iCs w:val="0"/>
                <w:color w:val="000000"/>
                <w:kern w:val="0"/>
                <w:sz w:val="24"/>
                <w:szCs w:val="24"/>
                <w:u w:val="none"/>
                <w:lang w:val="en-US" w:eastAsia="zh-CN" w:bidi="ar"/>
              </w:rPr>
              <w:t>（甲醛的水溶液）、苯胺、</w:t>
            </w:r>
            <w:r>
              <w:rPr>
                <w:rFonts w:hint="default" w:ascii="Times New Roman" w:hAnsi="Times New Roman" w:eastAsia="宋体" w:cs="Times New Roman"/>
                <w:i w:val="0"/>
                <w:iCs w:val="0"/>
                <w:color w:val="000000"/>
                <w:kern w:val="0"/>
                <w:sz w:val="24"/>
                <w:szCs w:val="24"/>
                <w:u w:val="none"/>
                <w:lang w:val="en-US" w:eastAsia="zh-CN" w:bidi="ar"/>
              </w:rPr>
              <w:t>乙酸乙酯</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石油醚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aps w:val="0"/>
                <w:color w:val="000000"/>
                <w:spacing w:val="0"/>
                <w:sz w:val="24"/>
                <w:szCs w:val="24"/>
                <w:shd w:val="clear" w:color="auto" w:fill="FFFFFF"/>
              </w:rPr>
              <w:t>硝酸</w:t>
            </w:r>
            <w:r>
              <w:rPr>
                <w:rFonts w:hint="eastAsia" w:ascii="Times New Roman" w:hAnsi="Times New Roman" w:eastAsia="宋体" w:cs="Times New Roman"/>
                <w:i w:val="0"/>
                <w:iCs w:val="0"/>
                <w:caps w:val="0"/>
                <w:color w:val="000000"/>
                <w:spacing w:val="0"/>
                <w:sz w:val="24"/>
                <w:szCs w:val="24"/>
                <w:shd w:val="clear" w:color="auto" w:fill="FFFFFF"/>
                <w:lang w:eastAsia="zh-CN"/>
              </w:rPr>
              <w:t>、</w:t>
            </w:r>
            <w:r>
              <w:rPr>
                <w:rFonts w:hint="eastAsia" w:ascii="Times New Roman" w:hAnsi="Times New Roman" w:cs="Times New Roman"/>
                <w:color w:val="000000"/>
                <w:kern w:val="0"/>
                <w:sz w:val="24"/>
                <w:szCs w:val="24"/>
                <w:lang w:val="en-US" w:eastAsia="zh-CN"/>
              </w:rPr>
              <w:t>盐酸、丁醇、柴油。</w:t>
            </w:r>
            <w:r>
              <w:rPr>
                <w:rFonts w:hint="default" w:ascii="Times New Roman" w:hAnsi="Times New Roman" w:eastAsia="宋体" w:cs="Times New Roman"/>
                <w:sz w:val="24"/>
                <w:szCs w:val="24"/>
              </w:rPr>
              <w:t>存在化学品泄漏、火灾爆炸环境风险</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风险物质情况如下表所示。</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jc w:val="center"/>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4-14</w:t>
            </w:r>
            <w:r>
              <w:rPr>
                <w:rFonts w:hint="default" w:ascii="Times New Roman" w:hAnsi="Times New Roman" w:eastAsia="黑体" w:cs="Times New Roman"/>
                <w:b w:val="0"/>
                <w:bCs/>
                <w:sz w:val="21"/>
                <w:szCs w:val="21"/>
              </w:rPr>
              <w:t xml:space="preserve">   </w:t>
            </w:r>
            <w:r>
              <w:rPr>
                <w:rFonts w:hint="default" w:ascii="Times New Roman" w:hAnsi="Times New Roman" w:eastAsia="黑体" w:cs="Times New Roman"/>
                <w:b w:val="0"/>
                <w:bCs/>
                <w:color w:val="auto"/>
                <w:sz w:val="21"/>
                <w:szCs w:val="21"/>
              </w:rPr>
              <w:t>主要危险物质储存及危险特性</w:t>
            </w:r>
          </w:p>
          <w:tbl>
            <w:tblPr>
              <w:tblStyle w:val="25"/>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01"/>
              <w:gridCol w:w="1624"/>
              <w:gridCol w:w="1205"/>
              <w:gridCol w:w="154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9"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861"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物质名称</w:t>
                  </w:r>
                </w:p>
              </w:tc>
              <w:tc>
                <w:tcPr>
                  <w:tcW w:w="998" w:type="pct"/>
                  <w:noWrap w:val="0"/>
                  <w:vAlign w:val="center"/>
                </w:tcPr>
                <w:p>
                  <w:pPr>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最大储存量</w:t>
                  </w: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t）</w:t>
                  </w:r>
                </w:p>
              </w:tc>
              <w:tc>
                <w:tcPr>
                  <w:tcW w:w="740"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储存方式</w:t>
                  </w:r>
                </w:p>
              </w:tc>
              <w:tc>
                <w:tcPr>
                  <w:tcW w:w="946"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储存位置</w:t>
                  </w:r>
                </w:p>
              </w:tc>
              <w:tc>
                <w:tcPr>
                  <w:tcW w:w="922" w:type="pc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p>
              </w:tc>
              <w:tc>
                <w:tcPr>
                  <w:tcW w:w="8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乙醇</w:t>
                  </w:r>
                </w:p>
              </w:tc>
              <w:tc>
                <w:tcPr>
                  <w:tcW w:w="998"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0.012</w:t>
                  </w:r>
                </w:p>
              </w:tc>
              <w:tc>
                <w:tcPr>
                  <w:tcW w:w="74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瓶装</w:t>
                  </w:r>
                </w:p>
              </w:tc>
              <w:tc>
                <w:tcPr>
                  <w:tcW w:w="946" w:type="pct"/>
                  <w:vMerge w:val="restart"/>
                  <w:noWrap w:val="0"/>
                  <w:vAlign w:val="center"/>
                </w:tcPr>
                <w:p>
                  <w:pPr>
                    <w:jc w:val="center"/>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rPr>
                    <w:t>实验室试剂柜</w:t>
                  </w:r>
                </w:p>
              </w:tc>
              <w:tc>
                <w:tcPr>
                  <w:tcW w:w="92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8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苯酚</w:t>
                  </w:r>
                </w:p>
              </w:tc>
              <w:tc>
                <w:tcPr>
                  <w:tcW w:w="998"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0.0005</w:t>
                  </w:r>
                </w:p>
              </w:tc>
              <w:tc>
                <w:tcPr>
                  <w:tcW w:w="74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922"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毒性、</w:t>
                  </w:r>
                  <w:r>
                    <w:rPr>
                      <w:rFonts w:hint="default" w:ascii="Times New Roman" w:hAnsi="Times New Roman" w:eastAsia="宋体" w:cs="Times New Roman"/>
                      <w:i w:val="0"/>
                      <w:iCs w:val="0"/>
                      <w:caps w:val="0"/>
                      <w:color w:val="000000"/>
                      <w:spacing w:val="0"/>
                      <w:sz w:val="21"/>
                      <w:szCs w:val="21"/>
                      <w:shd w:val="clear" w:color="auto" w:fill="FFFFFF"/>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w:t>
                  </w:r>
                </w:p>
              </w:tc>
              <w:tc>
                <w:tcPr>
                  <w:tcW w:w="8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硫酸铵</w:t>
                  </w:r>
                </w:p>
              </w:tc>
              <w:tc>
                <w:tcPr>
                  <w:tcW w:w="998" w:type="pct"/>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0.0005</w:t>
                  </w:r>
                </w:p>
              </w:tc>
              <w:tc>
                <w:tcPr>
                  <w:tcW w:w="74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922"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8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乙酸</w:t>
                  </w:r>
                </w:p>
              </w:tc>
              <w:tc>
                <w:tcPr>
                  <w:tcW w:w="998"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0.0011</w:t>
                  </w:r>
                </w:p>
              </w:tc>
              <w:tc>
                <w:tcPr>
                  <w:tcW w:w="74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92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磷酸</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0.0047</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i w:val="0"/>
                      <w:iCs w:val="0"/>
                      <w:caps w:val="0"/>
                      <w:color w:val="000000"/>
                      <w:spacing w:val="0"/>
                      <w:sz w:val="21"/>
                      <w:szCs w:val="21"/>
                      <w:shd w:val="clear" w:color="auto" w:fill="FFFFFF"/>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0.125</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苯胺</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0.001</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毒性、</w:t>
                  </w: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0.0023</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0.0016</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color="auto" w:fill="FFFFFF"/>
                    </w:rPr>
                    <w:t>硝酸</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0.0014</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i w:val="0"/>
                      <w:iCs w:val="0"/>
                      <w:caps w:val="0"/>
                      <w:color w:val="000000"/>
                      <w:spacing w:val="0"/>
                      <w:sz w:val="21"/>
                      <w:szCs w:val="21"/>
                      <w:shd w:val="clear" w:color="auto" w:fill="FFFFFF"/>
                    </w:rPr>
                    <w:t>强氧化性、腐蚀性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盐酸</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0.0059</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i w:val="0"/>
                      <w:iCs w:val="0"/>
                      <w:caps w:val="0"/>
                      <w:color w:val="000000"/>
                      <w:spacing w:val="0"/>
                      <w:sz w:val="21"/>
                      <w:szCs w:val="21"/>
                      <w:shd w:val="clear" w:color="auto" w:fill="FFFFFF"/>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丁醇</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0.002</w:t>
                  </w:r>
                </w:p>
              </w:tc>
              <w:tc>
                <w:tcPr>
                  <w:tcW w:w="740" w:type="pct"/>
                  <w:noWrap w:val="0"/>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瓶装</w:t>
                  </w:r>
                </w:p>
              </w:tc>
              <w:tc>
                <w:tcPr>
                  <w:tcW w:w="946" w:type="pct"/>
                  <w:vMerge w:val="continue"/>
                  <w:noWrap w:val="0"/>
                  <w:vAlign w:val="center"/>
                </w:tcPr>
                <w:p>
                  <w:pPr>
                    <w:jc w:val="center"/>
                    <w:rPr>
                      <w:rFonts w:hint="default" w:ascii="Times New Roman" w:hAnsi="Times New Roman" w:cs="Times New Roman"/>
                      <w:color w:val="auto"/>
                    </w:rPr>
                  </w:pP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柴油</w:t>
                  </w:r>
                </w:p>
              </w:tc>
              <w:tc>
                <w:tcPr>
                  <w:tcW w:w="0" w:type="auto"/>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0.5</w:t>
                  </w:r>
                </w:p>
              </w:tc>
              <w:tc>
                <w:tcPr>
                  <w:tcW w:w="740"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桶装</w:t>
                  </w:r>
                </w:p>
              </w:tc>
              <w:tc>
                <w:tcPr>
                  <w:tcW w:w="946"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发电机房</w:t>
                  </w:r>
                  <w:r>
                    <w:rPr>
                      <w:rFonts w:hint="eastAsia" w:ascii="Times New Roman" w:hAnsi="Times New Roman" w:eastAsia="宋体" w:cs="Times New Roman"/>
                      <w:color w:val="auto"/>
                      <w:sz w:val="21"/>
                      <w:szCs w:val="21"/>
                      <w:lang w:val="en-US" w:eastAsia="zh-CN"/>
                    </w:rPr>
                    <w:t>柴油储存间</w:t>
                  </w:r>
                </w:p>
              </w:tc>
              <w:tc>
                <w:tcPr>
                  <w:tcW w:w="0" w:type="auto"/>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易燃性</w:t>
                  </w:r>
                </w:p>
              </w:tc>
            </w:tr>
          </w:tbl>
          <w:p>
            <w:pPr>
              <w:pStyle w:val="22"/>
              <w:keepNext w:val="0"/>
              <w:keepLines w:val="0"/>
              <w:pageBreakBefore w:val="0"/>
              <w:widowControl/>
              <w:kinsoku/>
              <w:wordWrap/>
              <w:overflowPunct/>
              <w:topLinePunct w:val="0"/>
              <w:autoSpaceDE/>
              <w:autoSpaceDN/>
              <w:bidi w:val="0"/>
              <w:adjustRightInd w:val="0"/>
              <w:snapToGrid w:val="0"/>
              <w:spacing w:before="156" w:beforeLines="50" w:beforeAutospacing="0" w:after="0" w:afterAutospacing="0" w:line="360" w:lineRule="auto"/>
              <w:ind w:firstLine="482" w:firstLineChars="200"/>
              <w:textAlignment w:val="auto"/>
              <w:rPr>
                <w:rFonts w:hint="default" w:ascii="Times New Roman" w:hAnsi="Times New Roman" w:eastAsia="宋体" w:cs="Times New Roman"/>
                <w:b/>
              </w:rPr>
            </w:pPr>
            <w:r>
              <w:rPr>
                <w:rFonts w:hint="default" w:ascii="Times New Roman" w:hAnsi="Times New Roman" w:eastAsia="宋体" w:cs="Times New Roman"/>
                <w:b/>
              </w:rPr>
              <w:t>2、风险潜势初判</w:t>
            </w:r>
          </w:p>
          <w:p>
            <w:pPr>
              <w:pageBreakBefore w:val="0"/>
              <w:kinsoku/>
              <w:wordWrap/>
              <w:bidi w:val="0"/>
              <w:spacing w:line="360" w:lineRule="auto"/>
              <w:ind w:left="0" w:leftChars="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建设项目环境风险潜势划分为I、II、III、IV/IV</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hint="default" w:ascii="Times New Roman" w:hAnsi="Times New Roman" w:eastAsia="宋体" w:cs="Times New Roman"/>
                <w:i/>
                <w:color w:val="auto"/>
                <w:sz w:val="24"/>
                <w:szCs w:val="24"/>
                <w:highlight w:val="none"/>
              </w:rPr>
              <w:t>Q</w:t>
            </w:r>
            <w:r>
              <w:rPr>
                <w:rFonts w:hint="default" w:ascii="Times New Roman" w:hAnsi="Times New Roman" w:eastAsia="宋体" w:cs="Times New Roman"/>
                <w:color w:val="auto"/>
                <w:sz w:val="24"/>
                <w:szCs w:val="24"/>
                <w:highlight w:val="none"/>
              </w:rPr>
              <w:t>）为每种危险物质在厂界内的最大存在总量与其在HJ169-2018附录B中对应临界量的比值，即：</w:t>
            </w:r>
          </w:p>
          <w:p>
            <w:pPr>
              <w:adjustRightInd w:val="0"/>
              <w:snapToGrid w:val="0"/>
              <w:spacing w:line="360" w:lineRule="auto"/>
              <w:ind w:firstLine="480" w:firstLineChars="200"/>
              <w:jc w:val="center"/>
              <w:rPr>
                <w:iCs/>
                <w:sz w:val="24"/>
                <w:szCs w:val="24"/>
              </w:rPr>
            </w:pPr>
            <w:r>
              <w:rPr>
                <w:sz w:val="24"/>
                <w:szCs w:val="24"/>
              </w:rPr>
              <w:drawing>
                <wp:inline distT="0" distB="0" distL="114300" distR="114300">
                  <wp:extent cx="1924685" cy="616585"/>
                  <wp:effectExtent l="0" t="0" r="1841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9"/>
                          <a:stretch>
                            <a:fillRect/>
                          </a:stretch>
                        </pic:blipFill>
                        <pic:spPr>
                          <a:xfrm>
                            <a:off x="0" y="0"/>
                            <a:ext cx="1924685" cy="616585"/>
                          </a:xfrm>
                          <a:prstGeom prst="rect">
                            <a:avLst/>
                          </a:prstGeom>
                          <a:noFill/>
                          <a:ln>
                            <a:noFill/>
                          </a:ln>
                        </pic:spPr>
                      </pic:pic>
                    </a:graphicData>
                  </a:graphic>
                </wp:inline>
              </w:drawing>
            </w:r>
          </w:p>
          <w:p>
            <w:pPr>
              <w:adjustRightInd w:val="0"/>
              <w:snapToGrid w:val="0"/>
              <w:spacing w:line="360" w:lineRule="auto"/>
              <w:ind w:firstLine="480" w:firstLineChars="200"/>
              <w:rPr>
                <w:rFonts w:hint="default" w:ascii="Times New Roman" w:hAnsi="Times New Roman" w:cs="Times New Roman"/>
                <w:iCs/>
                <w:sz w:val="24"/>
                <w:szCs w:val="24"/>
              </w:rPr>
            </w:pPr>
            <w:r>
              <w:rPr>
                <w:rFonts w:hint="default" w:ascii="Times New Roman" w:hAnsi="Times New Roman" w:cs="Times New Roman"/>
                <w:iCs/>
                <w:sz w:val="24"/>
                <w:szCs w:val="24"/>
              </w:rPr>
              <w:t>式中：</w:t>
            </w:r>
            <w:r>
              <w:rPr>
                <w:rFonts w:hint="default" w:ascii="Times New Roman" w:hAnsi="Times New Roman" w:cs="Times New Roman"/>
                <w:i/>
                <w:iCs/>
                <w:sz w:val="24"/>
                <w:szCs w:val="24"/>
              </w:rPr>
              <w:t>q</w:t>
            </w:r>
            <w:r>
              <w:rPr>
                <w:rFonts w:hint="default" w:ascii="Times New Roman" w:hAnsi="Times New Roman" w:cs="Times New Roman"/>
                <w:iCs/>
                <w:sz w:val="24"/>
                <w:szCs w:val="24"/>
              </w:rPr>
              <w:t>1，</w:t>
            </w:r>
            <w:r>
              <w:rPr>
                <w:rFonts w:hint="default" w:ascii="Times New Roman" w:hAnsi="Times New Roman" w:cs="Times New Roman"/>
                <w:i/>
                <w:iCs/>
                <w:sz w:val="24"/>
                <w:szCs w:val="24"/>
              </w:rPr>
              <w:t>q</w:t>
            </w:r>
            <w:r>
              <w:rPr>
                <w:rFonts w:hint="default" w:ascii="Times New Roman" w:hAnsi="Times New Roman" w:cs="Times New Roman"/>
                <w:iCs/>
                <w:sz w:val="24"/>
                <w:szCs w:val="24"/>
              </w:rPr>
              <w:t>2，...，</w:t>
            </w:r>
            <w:r>
              <w:rPr>
                <w:rFonts w:hint="default" w:ascii="Times New Roman" w:hAnsi="Times New Roman" w:cs="Times New Roman"/>
                <w:i/>
                <w:iCs/>
                <w:sz w:val="24"/>
                <w:szCs w:val="24"/>
              </w:rPr>
              <w:t>qn</w:t>
            </w:r>
            <w:r>
              <w:rPr>
                <w:rFonts w:hint="default" w:ascii="Times New Roman" w:hAnsi="Times New Roman" w:cs="Times New Roman"/>
                <w:iCs/>
                <w:sz w:val="24"/>
                <w:szCs w:val="24"/>
              </w:rPr>
              <w:t>——每种危险物质的最大存在总量，t；</w:t>
            </w:r>
          </w:p>
          <w:p>
            <w:pPr>
              <w:adjustRightInd w:val="0"/>
              <w:snapToGrid w:val="0"/>
              <w:spacing w:line="360" w:lineRule="auto"/>
              <w:ind w:firstLine="480" w:firstLineChars="200"/>
              <w:rPr>
                <w:rFonts w:hint="default" w:ascii="Times New Roman" w:hAnsi="Times New Roman" w:cs="Times New Roman"/>
                <w:iCs/>
                <w:sz w:val="24"/>
                <w:szCs w:val="24"/>
              </w:rPr>
            </w:pPr>
            <w:r>
              <w:rPr>
                <w:rFonts w:hint="default" w:ascii="Times New Roman" w:hAnsi="Times New Roman" w:cs="Times New Roman"/>
                <w:i/>
                <w:iCs/>
                <w:sz w:val="24"/>
                <w:szCs w:val="24"/>
              </w:rPr>
              <w:t>Q</w:t>
            </w:r>
            <w:r>
              <w:rPr>
                <w:rFonts w:hint="default" w:ascii="Times New Roman" w:hAnsi="Times New Roman" w:cs="Times New Roman"/>
                <w:iCs/>
                <w:sz w:val="24"/>
                <w:szCs w:val="24"/>
              </w:rPr>
              <w:t>1，</w:t>
            </w:r>
            <w:r>
              <w:rPr>
                <w:rFonts w:hint="default" w:ascii="Times New Roman" w:hAnsi="Times New Roman" w:cs="Times New Roman"/>
                <w:i/>
                <w:iCs/>
                <w:sz w:val="24"/>
                <w:szCs w:val="24"/>
              </w:rPr>
              <w:t>Q</w:t>
            </w:r>
            <w:r>
              <w:rPr>
                <w:rFonts w:hint="default" w:ascii="Times New Roman" w:hAnsi="Times New Roman" w:cs="Times New Roman"/>
                <w:iCs/>
                <w:sz w:val="24"/>
                <w:szCs w:val="24"/>
              </w:rPr>
              <w:t xml:space="preserve">2, ..., </w:t>
            </w:r>
            <w:r>
              <w:rPr>
                <w:rFonts w:hint="default" w:ascii="Times New Roman" w:hAnsi="Times New Roman" w:cs="Times New Roman"/>
                <w:i/>
                <w:iCs/>
                <w:sz w:val="24"/>
                <w:szCs w:val="24"/>
              </w:rPr>
              <w:t>Qn</w:t>
            </w:r>
            <w:r>
              <w:rPr>
                <w:rFonts w:hint="default" w:ascii="Times New Roman" w:hAnsi="Times New Roman" w:cs="Times New Roman"/>
                <w:iCs/>
                <w:sz w:val="24"/>
                <w:szCs w:val="24"/>
              </w:rPr>
              <w:t>——每种危险物质的临界量，t。</w:t>
            </w:r>
          </w:p>
          <w:p>
            <w:pPr>
              <w:adjustRightInd w:val="0"/>
              <w:snapToGrid w:val="0"/>
              <w:spacing w:line="360" w:lineRule="auto"/>
              <w:ind w:firstLine="480" w:firstLineChars="200"/>
              <w:rPr>
                <w:rFonts w:hint="default" w:ascii="Times New Roman" w:hAnsi="Times New Roman" w:cs="Times New Roman"/>
                <w:iCs/>
                <w:sz w:val="24"/>
                <w:szCs w:val="24"/>
              </w:rPr>
            </w:pPr>
            <w:r>
              <w:rPr>
                <w:rFonts w:hint="default" w:ascii="Times New Roman" w:hAnsi="Times New Roman" w:cs="Times New Roman"/>
                <w:iCs/>
                <w:sz w:val="24"/>
                <w:szCs w:val="24"/>
              </w:rPr>
              <w:t>当</w:t>
            </w:r>
            <w:r>
              <w:rPr>
                <w:rFonts w:hint="default" w:ascii="Times New Roman" w:hAnsi="Times New Roman" w:cs="Times New Roman"/>
                <w:i/>
                <w:iCs/>
                <w:sz w:val="24"/>
                <w:szCs w:val="24"/>
              </w:rPr>
              <w:t>Q</w:t>
            </w:r>
            <w:r>
              <w:rPr>
                <w:rFonts w:hint="default" w:ascii="Times New Roman" w:hAnsi="Times New Roman" w:cs="Times New Roman"/>
                <w:iCs/>
                <w:sz w:val="24"/>
                <w:szCs w:val="24"/>
              </w:rPr>
              <w:t>＜1 时，该项目环境风险潜势为</w:t>
            </w:r>
            <w:r>
              <w:rPr>
                <w:rFonts w:hint="default" w:ascii="Times New Roman" w:hAnsi="Times New Roman" w:cs="Times New Roman"/>
                <w:iCs/>
                <w:sz w:val="24"/>
                <w:szCs w:val="24"/>
              </w:rPr>
              <w:fldChar w:fldCharType="begin"/>
            </w:r>
            <w:r>
              <w:rPr>
                <w:rFonts w:hint="default" w:ascii="Times New Roman" w:hAnsi="Times New Roman" w:cs="Times New Roman"/>
                <w:iCs/>
                <w:sz w:val="24"/>
                <w:szCs w:val="24"/>
              </w:rPr>
              <w:instrText xml:space="preserve">= 1 \* ROMAN</w:instrText>
            </w:r>
            <w:r>
              <w:rPr>
                <w:rFonts w:hint="default" w:ascii="Times New Roman" w:hAnsi="Times New Roman" w:cs="Times New Roman"/>
                <w:iCs/>
                <w:sz w:val="24"/>
                <w:szCs w:val="24"/>
              </w:rPr>
              <w:fldChar w:fldCharType="separate"/>
            </w:r>
            <w:r>
              <w:rPr>
                <w:rFonts w:hint="default" w:ascii="Times New Roman" w:hAnsi="Times New Roman" w:cs="Times New Roman"/>
                <w:iCs/>
                <w:sz w:val="24"/>
                <w:szCs w:val="24"/>
              </w:rPr>
              <w:t>I</w:t>
            </w:r>
            <w:r>
              <w:rPr>
                <w:rFonts w:hint="default" w:ascii="Times New Roman" w:hAnsi="Times New Roman" w:cs="Times New Roman"/>
                <w:iCs/>
                <w:sz w:val="24"/>
                <w:szCs w:val="24"/>
              </w:rPr>
              <w:fldChar w:fldCharType="end"/>
            </w:r>
            <w:r>
              <w:rPr>
                <w:rFonts w:hint="default" w:ascii="Times New Roman" w:hAnsi="Times New Roman" w:cs="Times New Roman"/>
                <w:iCs/>
                <w:sz w:val="24"/>
                <w:szCs w:val="24"/>
              </w:rPr>
              <w:t>。</w:t>
            </w:r>
          </w:p>
          <w:p>
            <w:pPr>
              <w:adjustRightInd w:val="0"/>
              <w:snapToGrid w:val="0"/>
              <w:spacing w:line="360" w:lineRule="auto"/>
              <w:ind w:firstLine="480" w:firstLineChars="200"/>
              <w:rPr>
                <w:iCs/>
                <w:sz w:val="24"/>
                <w:szCs w:val="24"/>
              </w:rPr>
            </w:pPr>
            <w:r>
              <w:rPr>
                <w:rFonts w:hint="default" w:ascii="Times New Roman" w:hAnsi="Times New Roman" w:cs="Times New Roman"/>
                <w:iCs/>
                <w:sz w:val="24"/>
                <w:szCs w:val="24"/>
              </w:rPr>
              <w:t>当</w:t>
            </w:r>
            <w:r>
              <w:rPr>
                <w:rFonts w:hint="default" w:ascii="Times New Roman" w:hAnsi="Times New Roman" w:cs="Times New Roman"/>
                <w:i/>
                <w:iCs/>
                <w:sz w:val="24"/>
                <w:szCs w:val="24"/>
              </w:rPr>
              <w:t>Q</w:t>
            </w:r>
            <w:r>
              <w:rPr>
                <w:rFonts w:hint="default" w:ascii="Times New Roman" w:hAnsi="Times New Roman" w:cs="Times New Roman"/>
                <w:iCs/>
                <w:sz w:val="24"/>
                <w:szCs w:val="24"/>
              </w:rPr>
              <w:t>≥1 时，将</w:t>
            </w:r>
            <w:r>
              <w:rPr>
                <w:rFonts w:hint="default" w:ascii="Times New Roman" w:hAnsi="Times New Roman" w:cs="Times New Roman"/>
                <w:i/>
                <w:iCs/>
                <w:sz w:val="24"/>
                <w:szCs w:val="24"/>
              </w:rPr>
              <w:t>Q</w:t>
            </w:r>
            <w:r>
              <w:rPr>
                <w:rFonts w:hint="default" w:ascii="Times New Roman" w:hAnsi="Times New Roman" w:cs="Times New Roman"/>
                <w:iCs/>
                <w:sz w:val="24"/>
                <w:szCs w:val="24"/>
              </w:rPr>
              <w:t>值划分为：（1）1≤</w:t>
            </w:r>
            <w:r>
              <w:rPr>
                <w:rFonts w:hint="default" w:ascii="Times New Roman" w:hAnsi="Times New Roman" w:cs="Times New Roman"/>
                <w:i/>
                <w:iCs/>
                <w:sz w:val="24"/>
                <w:szCs w:val="24"/>
              </w:rPr>
              <w:t>Q</w:t>
            </w:r>
            <w:r>
              <w:rPr>
                <w:rFonts w:hint="default" w:ascii="Times New Roman" w:hAnsi="Times New Roman" w:cs="Times New Roman"/>
                <w:iCs/>
                <w:sz w:val="24"/>
                <w:szCs w:val="24"/>
              </w:rPr>
              <w:t>＜10；（2）10≤</w:t>
            </w:r>
            <w:r>
              <w:rPr>
                <w:rFonts w:hint="default" w:ascii="Times New Roman" w:hAnsi="Times New Roman" w:cs="Times New Roman"/>
                <w:i/>
                <w:iCs/>
                <w:sz w:val="24"/>
                <w:szCs w:val="24"/>
              </w:rPr>
              <w:t>Q</w:t>
            </w:r>
            <w:r>
              <w:rPr>
                <w:rFonts w:hint="default" w:ascii="Times New Roman" w:hAnsi="Times New Roman" w:cs="Times New Roman"/>
                <w:iCs/>
                <w:sz w:val="24"/>
                <w:szCs w:val="24"/>
              </w:rPr>
              <w:t>＜100；（3）</w:t>
            </w:r>
            <w:r>
              <w:rPr>
                <w:rFonts w:hint="default" w:ascii="Times New Roman" w:hAnsi="Times New Roman" w:cs="Times New Roman"/>
                <w:i/>
                <w:iCs/>
                <w:sz w:val="24"/>
                <w:szCs w:val="24"/>
              </w:rPr>
              <w:t>Q</w:t>
            </w:r>
            <w:r>
              <w:rPr>
                <w:rFonts w:hint="default" w:ascii="Times New Roman" w:hAnsi="Times New Roman" w:cs="Times New Roman"/>
                <w:iCs/>
                <w:sz w:val="24"/>
                <w:szCs w:val="24"/>
              </w:rPr>
              <w:t>≥100。</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根据计算，本项目危险物质数量与临界量比值见</w:t>
            </w:r>
            <w:r>
              <w:rPr>
                <w:rFonts w:hint="eastAsia" w:ascii="Times New Roman" w:hAnsi="Times New Roman" w:cs="Times New Roman"/>
                <w:color w:val="auto"/>
                <w:sz w:val="24"/>
                <w:lang w:val="en-US" w:eastAsia="zh-CN"/>
              </w:rPr>
              <w:t>下表</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表</w:t>
            </w:r>
            <w:r>
              <w:rPr>
                <w:rFonts w:hint="default" w:ascii="Times New Roman" w:hAnsi="Times New Roman" w:eastAsia="黑体" w:cs="Times New Roman"/>
                <w:b w:val="0"/>
                <w:bCs w:val="0"/>
                <w:sz w:val="21"/>
                <w:szCs w:val="21"/>
                <w:lang w:val="en-US" w:eastAsia="zh-CN"/>
              </w:rPr>
              <w:t>4-15</w:t>
            </w:r>
            <w:r>
              <w:rPr>
                <w:rFonts w:hint="default" w:ascii="Times New Roman" w:hAnsi="Times New Roman" w:eastAsia="黑体" w:cs="Times New Roman"/>
                <w:b w:val="0"/>
                <w:bCs w:val="0"/>
                <w:sz w:val="21"/>
                <w:szCs w:val="21"/>
              </w:rPr>
              <w:t xml:space="preserve">   企业涉及突发环境事件风险物质清单表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613"/>
              <w:gridCol w:w="1560"/>
              <w:gridCol w:w="1275"/>
              <w:gridCol w:w="1050"/>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5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物质名称</w:t>
                  </w:r>
                </w:p>
              </w:tc>
              <w:tc>
                <w:tcPr>
                  <w:tcW w:w="93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最大储存量（</w:t>
                  </w:r>
                  <w:r>
                    <w:rPr>
                      <w:rFonts w:hint="eastAsia" w:ascii="Times New Roman" w:hAnsi="Times New Roman" w:cs="Times New Roman"/>
                      <w:b/>
                      <w:bCs/>
                      <w:color w:val="auto"/>
                      <w:lang w:val="en-US" w:eastAsia="zh-CN"/>
                    </w:rPr>
                    <w:t>t</w:t>
                  </w:r>
                  <w:r>
                    <w:rPr>
                      <w:rFonts w:hint="default" w:ascii="Times New Roman" w:hAnsi="Times New Roman" w:cs="Times New Roman"/>
                      <w:b/>
                      <w:bCs/>
                      <w:color w:val="auto"/>
                    </w:rPr>
                    <w:t>）</w:t>
                  </w:r>
                </w:p>
              </w:tc>
              <w:tc>
                <w:tcPr>
                  <w:tcW w:w="7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临界量（</w:t>
                  </w:r>
                  <w:r>
                    <w:rPr>
                      <w:rFonts w:hint="eastAsia" w:ascii="Times New Roman" w:hAnsi="Times New Roman" w:cs="Times New Roman"/>
                      <w:b/>
                      <w:bCs/>
                      <w:color w:val="auto"/>
                      <w:lang w:val="en-US" w:eastAsia="zh-CN"/>
                    </w:rPr>
                    <w:t>t</w:t>
                  </w:r>
                  <w:r>
                    <w:rPr>
                      <w:rFonts w:hint="default" w:ascii="Times New Roman" w:hAnsi="Times New Roman" w:cs="Times New Roman"/>
                      <w:b/>
                      <w:bCs/>
                      <w:color w:val="auto"/>
                    </w:rPr>
                    <w:t>）</w:t>
                  </w:r>
                </w:p>
              </w:tc>
              <w:tc>
                <w:tcPr>
                  <w:tcW w:w="6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比值</w:t>
                  </w:r>
                </w:p>
              </w:tc>
              <w:tc>
                <w:tcPr>
                  <w:tcW w:w="7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p>
              </w:tc>
              <w:tc>
                <w:tcPr>
                  <w:tcW w:w="1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乙醇</w:t>
                  </w:r>
                </w:p>
              </w:tc>
              <w:tc>
                <w:tcPr>
                  <w:tcW w:w="93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0.012</w:t>
                  </w:r>
                </w:p>
              </w:tc>
              <w:tc>
                <w:tcPr>
                  <w:tcW w:w="7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0.00002</w:t>
                  </w:r>
                </w:p>
              </w:tc>
              <w:tc>
                <w:tcPr>
                  <w:tcW w:w="721" w:type="pct"/>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0.25272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苯酚</w:t>
                  </w:r>
                </w:p>
              </w:tc>
              <w:tc>
                <w:tcPr>
                  <w:tcW w:w="93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0.0005</w:t>
                  </w:r>
                </w:p>
              </w:tc>
              <w:tc>
                <w:tcPr>
                  <w:tcW w:w="7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6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0.0001</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w:t>
                  </w:r>
                </w:p>
              </w:tc>
              <w:tc>
                <w:tcPr>
                  <w:tcW w:w="1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硫酸铵</w:t>
                  </w:r>
                </w:p>
              </w:tc>
              <w:tc>
                <w:tcPr>
                  <w:tcW w:w="93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kern w:val="2"/>
                      <w:sz w:val="21"/>
                      <w:szCs w:val="24"/>
                      <w:lang w:val="en-US" w:eastAsia="zh-CN" w:bidi="ar-SA"/>
                    </w:rPr>
                  </w:pPr>
                  <w:r>
                    <w:rPr>
                      <w:rFonts w:hint="eastAsia" w:ascii="Times New Roman" w:hAnsi="Times New Roman" w:cs="Times New Roman"/>
                      <w:color w:val="auto"/>
                      <w:lang w:val="en-US" w:eastAsia="zh-CN"/>
                    </w:rPr>
                    <w:t>0.0005</w:t>
                  </w:r>
                </w:p>
              </w:tc>
              <w:tc>
                <w:tcPr>
                  <w:tcW w:w="7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0.00005</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1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乙酸</w:t>
                  </w:r>
                </w:p>
              </w:tc>
              <w:tc>
                <w:tcPr>
                  <w:tcW w:w="93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0.0011</w:t>
                  </w:r>
                </w:p>
              </w:tc>
              <w:tc>
                <w:tcPr>
                  <w:tcW w:w="7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0.00011</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5</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磷酸</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0.0047</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0.00047</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6</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0.125</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0.5</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0.25</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7</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苯胺</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0.001</w:t>
                  </w:r>
                </w:p>
              </w:tc>
              <w:tc>
                <w:tcPr>
                  <w:tcW w:w="762" w:type="pc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0.0002</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8</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0.0023</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0.00023</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9</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0.0016</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0.00016</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10</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color="auto" w:fill="FFFFFF"/>
                    </w:rPr>
                    <w:t>硝酸</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0.0014</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7.5</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0.00019</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11</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盐酸</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0.0059</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7.5</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0.00079</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12</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丁醇</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0.002</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0.0002</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13</w:t>
                  </w:r>
                </w:p>
              </w:tc>
              <w:tc>
                <w:tcPr>
                  <w:tcW w:w="15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柴油</w:t>
                  </w:r>
                </w:p>
              </w:tc>
              <w:tc>
                <w:tcPr>
                  <w:tcW w:w="932"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0.5</w:t>
                  </w:r>
                </w:p>
              </w:tc>
              <w:tc>
                <w:tcPr>
                  <w:tcW w:w="762"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2500</w:t>
                  </w:r>
                </w:p>
              </w:tc>
              <w:tc>
                <w:tcPr>
                  <w:tcW w:w="627"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0.0002</w:t>
                  </w:r>
                </w:p>
              </w:tc>
              <w:tc>
                <w:tcPr>
                  <w:tcW w:w="721"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rPr>
                  </w:pPr>
                </w:p>
              </w:tc>
            </w:tr>
          </w:tbl>
          <w:p>
            <w:pPr>
              <w:autoSpaceDE w:val="0"/>
              <w:autoSpaceDN w:val="0"/>
              <w:adjustRightInd w:val="0"/>
              <w:snapToGrid w:val="0"/>
              <w:spacing w:before="156" w:beforeLines="50" w:line="360" w:lineRule="auto"/>
              <w:ind w:firstLine="480" w:firstLineChars="200"/>
              <w:rPr>
                <w:iCs/>
                <w:sz w:val="24"/>
                <w:szCs w:val="24"/>
              </w:rPr>
            </w:pPr>
            <w:r>
              <w:rPr>
                <w:sz w:val="24"/>
                <w:szCs w:val="24"/>
              </w:rPr>
              <w:t>根据上表可知：项目</w:t>
            </w:r>
            <w:r>
              <w:rPr>
                <w:i/>
                <w:iCs/>
                <w:sz w:val="24"/>
                <w:szCs w:val="24"/>
              </w:rPr>
              <w:t>Q</w:t>
            </w:r>
            <w:r>
              <w:rPr>
                <w:iCs/>
                <w:sz w:val="24"/>
                <w:szCs w:val="24"/>
              </w:rPr>
              <w:t>＜1，项目环境风险潜势为</w:t>
            </w:r>
            <w:r>
              <w:rPr>
                <w:iCs/>
                <w:sz w:val="24"/>
                <w:szCs w:val="24"/>
              </w:rPr>
              <w:fldChar w:fldCharType="begin"/>
            </w:r>
            <w:r>
              <w:rPr>
                <w:iCs/>
                <w:sz w:val="24"/>
                <w:szCs w:val="24"/>
              </w:rPr>
              <w:instrText xml:space="preserve">= 1 \* ROMAN</w:instrText>
            </w:r>
            <w:r>
              <w:rPr>
                <w:iCs/>
                <w:sz w:val="24"/>
                <w:szCs w:val="24"/>
              </w:rPr>
              <w:fldChar w:fldCharType="separate"/>
            </w:r>
            <w:r>
              <w:rPr>
                <w:iCs/>
                <w:sz w:val="24"/>
                <w:szCs w:val="24"/>
              </w:rPr>
              <w:t>I</w:t>
            </w:r>
            <w:r>
              <w:rPr>
                <w:iCs/>
                <w:sz w:val="24"/>
                <w:szCs w:val="24"/>
              </w:rPr>
              <w:fldChar w:fldCharType="end"/>
            </w:r>
            <w:r>
              <w:rPr>
                <w:iCs/>
                <w:sz w:val="24"/>
                <w:szCs w:val="24"/>
              </w:rPr>
              <w:t>。</w:t>
            </w:r>
          </w:p>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2" w:firstLineChars="200"/>
              <w:jc w:val="both"/>
              <w:textAlignment w:val="auto"/>
              <w:rPr>
                <w:rFonts w:ascii="Times New Roman" w:hAnsi="Times New Roman" w:cs="Times New Roman"/>
                <w:b/>
              </w:rPr>
            </w:pPr>
            <w:r>
              <w:rPr>
                <w:rFonts w:hint="eastAsia" w:ascii="Times New Roman" w:hAnsi="Times New Roman" w:cs="Times New Roman"/>
                <w:b/>
              </w:rPr>
              <w:t>3、</w:t>
            </w:r>
            <w:r>
              <w:rPr>
                <w:rFonts w:ascii="Times New Roman" w:hAnsi="Times New Roman" w:cs="Times New Roman"/>
                <w:b/>
              </w:rPr>
              <w:t>评级等级</w:t>
            </w:r>
          </w:p>
          <w:p>
            <w:pPr>
              <w:adjustRightInd w:val="0"/>
              <w:snapToGrid w:val="0"/>
              <w:spacing w:line="360" w:lineRule="auto"/>
              <w:ind w:firstLine="480" w:firstLineChars="200"/>
              <w:rPr>
                <w:sz w:val="24"/>
                <w:szCs w:val="24"/>
              </w:rPr>
            </w:pPr>
            <w:r>
              <w:rPr>
                <w:sz w:val="24"/>
                <w:szCs w:val="24"/>
              </w:rPr>
              <w:t>根据《建设项目环境风险评价技术导则》（HJ169-2018），建设项目环境风险评价工作等级划分见下表。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表</w:t>
            </w:r>
            <w:r>
              <w:rPr>
                <w:rFonts w:hint="eastAsia" w:ascii="Times New Roman" w:hAnsi="Times New Roman" w:eastAsia="黑体" w:cs="Times New Roman"/>
                <w:b w:val="0"/>
                <w:bCs w:val="0"/>
                <w:sz w:val="21"/>
                <w:szCs w:val="21"/>
                <w:lang w:val="en-US" w:eastAsia="zh-CN"/>
              </w:rPr>
              <w:t>4-16</w:t>
            </w:r>
            <w:r>
              <w:rPr>
                <w:rFonts w:hint="eastAsia" w:ascii="Times New Roman" w:hAnsi="Times New Roman" w:eastAsia="黑体" w:cs="Times New Roman"/>
                <w:b w:val="0"/>
                <w:bCs w:val="0"/>
                <w:sz w:val="21"/>
                <w:szCs w:val="21"/>
              </w:rPr>
              <w:t xml:space="preserve"> </w:t>
            </w:r>
            <w:r>
              <w:rPr>
                <w:rFonts w:hint="default" w:ascii="Times New Roman" w:hAnsi="Times New Roman" w:eastAsia="黑体" w:cs="Times New Roman"/>
                <w:b w:val="0"/>
                <w:bCs w:val="0"/>
                <w:sz w:val="21"/>
                <w:szCs w:val="21"/>
              </w:rPr>
              <w:t xml:space="preserve">  评价工作等级划分</w:t>
            </w:r>
          </w:p>
          <w:tbl>
            <w:tblPr>
              <w:tblStyle w:val="25"/>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68"/>
              <w:gridCol w:w="1668"/>
              <w:gridCol w:w="1670"/>
              <w:gridCol w:w="1672"/>
              <w:gridCol w:w="16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9" w:type="pct"/>
                  <w:tcBorders>
                    <w:tl2br w:val="nil"/>
                    <w:tr2bl w:val="nil"/>
                  </w:tcBorders>
                  <w:noWrap w:val="0"/>
                  <w:vAlign w:val="center"/>
                </w:tcPr>
                <w:p>
                  <w:pPr>
                    <w:adjustRightInd w:val="0"/>
                    <w:snapToGrid w:val="0"/>
                    <w:spacing w:line="300" w:lineRule="auto"/>
                    <w:jc w:val="center"/>
                    <w:rPr>
                      <w:sz w:val="21"/>
                      <w:szCs w:val="21"/>
                    </w:rPr>
                  </w:pPr>
                  <w:r>
                    <w:rPr>
                      <w:sz w:val="21"/>
                      <w:szCs w:val="21"/>
                    </w:rPr>
                    <w:t>环境风险潜势</w:t>
                  </w:r>
                </w:p>
              </w:tc>
              <w:tc>
                <w:tcPr>
                  <w:tcW w:w="999" w:type="pct"/>
                  <w:tcBorders>
                    <w:tl2br w:val="nil"/>
                    <w:tr2bl w:val="nil"/>
                  </w:tcBorders>
                  <w:noWrap w:val="0"/>
                  <w:vAlign w:val="center"/>
                </w:tcPr>
                <w:p>
                  <w:pPr>
                    <w:adjustRightInd w:val="0"/>
                    <w:snapToGrid w:val="0"/>
                    <w:spacing w:line="300" w:lineRule="auto"/>
                    <w:ind w:firstLine="210"/>
                    <w:jc w:val="center"/>
                    <w:rPr>
                      <w:sz w:val="21"/>
                      <w:szCs w:val="21"/>
                    </w:rPr>
                  </w:pPr>
                  <w:r>
                    <w:rPr>
                      <w:sz w:val="21"/>
                      <w:szCs w:val="21"/>
                    </w:rPr>
                    <w:fldChar w:fldCharType="begin"/>
                  </w:r>
                  <w:r>
                    <w:rPr>
                      <w:sz w:val="21"/>
                      <w:szCs w:val="21"/>
                    </w:rPr>
                    <w:instrText xml:space="preserve">= 4 \* ROMAN</w:instrText>
                  </w:r>
                  <w:r>
                    <w:rPr>
                      <w:sz w:val="21"/>
                      <w:szCs w:val="21"/>
                    </w:rPr>
                    <w:fldChar w:fldCharType="separate"/>
                  </w:r>
                  <w:r>
                    <w:rPr>
                      <w:sz w:val="21"/>
                      <w:szCs w:val="21"/>
                    </w:rPr>
                    <w:t>IV</w:t>
                  </w:r>
                  <w:r>
                    <w:rPr>
                      <w:sz w:val="21"/>
                      <w:szCs w:val="21"/>
                    </w:rPr>
                    <w:fldChar w:fldCharType="end"/>
                  </w:r>
                  <w:r>
                    <w:rPr>
                      <w:sz w:val="21"/>
                      <w:szCs w:val="21"/>
                    </w:rPr>
                    <w:t>、</w:t>
                  </w:r>
                  <w:r>
                    <w:rPr>
                      <w:sz w:val="21"/>
                      <w:szCs w:val="21"/>
                    </w:rPr>
                    <w:fldChar w:fldCharType="begin"/>
                  </w:r>
                  <w:r>
                    <w:rPr>
                      <w:sz w:val="21"/>
                      <w:szCs w:val="21"/>
                    </w:rPr>
                    <w:instrText xml:space="preserve">= 4 \* ROMAN</w:instrText>
                  </w:r>
                  <w:r>
                    <w:rPr>
                      <w:sz w:val="21"/>
                      <w:szCs w:val="21"/>
                    </w:rPr>
                    <w:fldChar w:fldCharType="separate"/>
                  </w:r>
                  <w:r>
                    <w:rPr>
                      <w:sz w:val="21"/>
                      <w:szCs w:val="21"/>
                    </w:rPr>
                    <w:t>IV</w:t>
                  </w:r>
                  <w:r>
                    <w:rPr>
                      <w:sz w:val="21"/>
                      <w:szCs w:val="21"/>
                    </w:rPr>
                    <w:fldChar w:fldCharType="end"/>
                  </w:r>
                  <w:r>
                    <w:rPr>
                      <w:sz w:val="21"/>
                      <w:szCs w:val="21"/>
                      <w:vertAlign w:val="superscript"/>
                    </w:rPr>
                    <w:t>+</w:t>
                  </w:r>
                </w:p>
              </w:tc>
              <w:tc>
                <w:tcPr>
                  <w:tcW w:w="1000" w:type="pct"/>
                  <w:tcBorders>
                    <w:tl2br w:val="nil"/>
                    <w:tr2bl w:val="nil"/>
                  </w:tcBorders>
                  <w:noWrap w:val="0"/>
                  <w:vAlign w:val="center"/>
                </w:tcPr>
                <w:p>
                  <w:pPr>
                    <w:adjustRightInd w:val="0"/>
                    <w:snapToGrid w:val="0"/>
                    <w:spacing w:line="300" w:lineRule="auto"/>
                    <w:ind w:firstLine="210"/>
                    <w:jc w:val="center"/>
                    <w:rPr>
                      <w:sz w:val="21"/>
                      <w:szCs w:val="21"/>
                    </w:rPr>
                  </w:pPr>
                  <w:r>
                    <w:rPr>
                      <w:sz w:val="21"/>
                      <w:szCs w:val="21"/>
                    </w:rPr>
                    <w:fldChar w:fldCharType="begin"/>
                  </w:r>
                  <w:r>
                    <w:rPr>
                      <w:sz w:val="21"/>
                      <w:szCs w:val="21"/>
                    </w:rPr>
                    <w:instrText xml:space="preserve">= 3 \* ROMAN</w:instrText>
                  </w:r>
                  <w:r>
                    <w:rPr>
                      <w:sz w:val="21"/>
                      <w:szCs w:val="21"/>
                    </w:rPr>
                    <w:fldChar w:fldCharType="separate"/>
                  </w:r>
                  <w:r>
                    <w:rPr>
                      <w:sz w:val="21"/>
                      <w:szCs w:val="21"/>
                    </w:rPr>
                    <w:t>III</w:t>
                  </w:r>
                  <w:r>
                    <w:rPr>
                      <w:sz w:val="21"/>
                      <w:szCs w:val="21"/>
                    </w:rPr>
                    <w:fldChar w:fldCharType="end"/>
                  </w:r>
                </w:p>
              </w:tc>
              <w:tc>
                <w:tcPr>
                  <w:tcW w:w="1001" w:type="pct"/>
                  <w:tcBorders>
                    <w:tl2br w:val="nil"/>
                    <w:tr2bl w:val="nil"/>
                  </w:tcBorders>
                  <w:noWrap w:val="0"/>
                  <w:vAlign w:val="center"/>
                </w:tcPr>
                <w:p>
                  <w:pPr>
                    <w:adjustRightInd w:val="0"/>
                    <w:snapToGrid w:val="0"/>
                    <w:spacing w:line="300" w:lineRule="auto"/>
                    <w:ind w:firstLine="210"/>
                    <w:jc w:val="center"/>
                    <w:rPr>
                      <w:sz w:val="21"/>
                      <w:szCs w:val="21"/>
                    </w:rPr>
                  </w:pPr>
                  <w:r>
                    <w:rPr>
                      <w:sz w:val="21"/>
                      <w:szCs w:val="21"/>
                    </w:rPr>
                    <w:fldChar w:fldCharType="begin"/>
                  </w:r>
                  <w:r>
                    <w:rPr>
                      <w:sz w:val="21"/>
                      <w:szCs w:val="21"/>
                    </w:rPr>
                    <w:instrText xml:space="preserve">= 2 \* ROMAN</w:instrText>
                  </w:r>
                  <w:r>
                    <w:rPr>
                      <w:sz w:val="21"/>
                      <w:szCs w:val="21"/>
                    </w:rPr>
                    <w:fldChar w:fldCharType="separate"/>
                  </w:r>
                  <w:r>
                    <w:rPr>
                      <w:sz w:val="21"/>
                      <w:szCs w:val="21"/>
                    </w:rPr>
                    <w:t>II</w:t>
                  </w:r>
                  <w:r>
                    <w:rPr>
                      <w:sz w:val="21"/>
                      <w:szCs w:val="21"/>
                    </w:rPr>
                    <w:fldChar w:fldCharType="end"/>
                  </w:r>
                </w:p>
              </w:tc>
              <w:tc>
                <w:tcPr>
                  <w:tcW w:w="1001" w:type="pct"/>
                  <w:tcBorders>
                    <w:tl2br w:val="nil"/>
                    <w:tr2bl w:val="nil"/>
                  </w:tcBorders>
                  <w:noWrap w:val="0"/>
                  <w:vAlign w:val="center"/>
                </w:tcPr>
                <w:p>
                  <w:pPr>
                    <w:adjustRightInd w:val="0"/>
                    <w:snapToGrid w:val="0"/>
                    <w:spacing w:line="300" w:lineRule="auto"/>
                    <w:ind w:firstLine="210"/>
                    <w:jc w:val="center"/>
                    <w:rPr>
                      <w:sz w:val="21"/>
                      <w:szCs w:val="21"/>
                    </w:rPr>
                  </w:pPr>
                  <w:r>
                    <w:rPr>
                      <w:sz w:val="21"/>
                      <w:szCs w:val="21"/>
                    </w:rPr>
                    <w:fldChar w:fldCharType="begin"/>
                  </w:r>
                  <w:r>
                    <w:rPr>
                      <w:sz w:val="21"/>
                      <w:szCs w:val="21"/>
                    </w:rPr>
                    <w:instrText xml:space="preserve">= 1 \* ROMAN</w:instrText>
                  </w:r>
                  <w:r>
                    <w:rPr>
                      <w:sz w:val="21"/>
                      <w:szCs w:val="21"/>
                    </w:rPr>
                    <w:fldChar w:fldCharType="separate"/>
                  </w:r>
                  <w:r>
                    <w:rPr>
                      <w:sz w:val="21"/>
                      <w:szCs w:val="21"/>
                    </w:rPr>
                    <w:t>I</w:t>
                  </w:r>
                  <w:r>
                    <w:rPr>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9" w:type="pct"/>
                  <w:tcBorders>
                    <w:tl2br w:val="nil"/>
                    <w:tr2bl w:val="nil"/>
                  </w:tcBorders>
                  <w:noWrap w:val="0"/>
                  <w:vAlign w:val="center"/>
                </w:tcPr>
                <w:p>
                  <w:pPr>
                    <w:adjustRightInd w:val="0"/>
                    <w:snapToGrid w:val="0"/>
                    <w:spacing w:line="300" w:lineRule="auto"/>
                    <w:jc w:val="center"/>
                    <w:rPr>
                      <w:sz w:val="21"/>
                      <w:szCs w:val="21"/>
                    </w:rPr>
                  </w:pPr>
                  <w:r>
                    <w:rPr>
                      <w:sz w:val="21"/>
                      <w:szCs w:val="21"/>
                    </w:rPr>
                    <w:t>评价工作等级</w:t>
                  </w:r>
                </w:p>
              </w:tc>
              <w:tc>
                <w:tcPr>
                  <w:tcW w:w="999" w:type="pct"/>
                  <w:tcBorders>
                    <w:tl2br w:val="nil"/>
                    <w:tr2bl w:val="nil"/>
                  </w:tcBorders>
                  <w:noWrap w:val="0"/>
                  <w:vAlign w:val="center"/>
                </w:tcPr>
                <w:p>
                  <w:pPr>
                    <w:adjustRightInd w:val="0"/>
                    <w:snapToGrid w:val="0"/>
                    <w:spacing w:line="300" w:lineRule="auto"/>
                    <w:ind w:firstLine="211"/>
                    <w:jc w:val="center"/>
                    <w:rPr>
                      <w:sz w:val="21"/>
                      <w:szCs w:val="21"/>
                    </w:rPr>
                  </w:pPr>
                  <w:r>
                    <w:rPr>
                      <w:sz w:val="21"/>
                      <w:szCs w:val="21"/>
                    </w:rPr>
                    <w:t>一</w:t>
                  </w:r>
                </w:p>
              </w:tc>
              <w:tc>
                <w:tcPr>
                  <w:tcW w:w="1000" w:type="pct"/>
                  <w:tcBorders>
                    <w:tl2br w:val="nil"/>
                    <w:tr2bl w:val="nil"/>
                  </w:tcBorders>
                  <w:noWrap w:val="0"/>
                  <w:vAlign w:val="center"/>
                </w:tcPr>
                <w:p>
                  <w:pPr>
                    <w:adjustRightInd w:val="0"/>
                    <w:snapToGrid w:val="0"/>
                    <w:spacing w:line="300" w:lineRule="auto"/>
                    <w:ind w:firstLine="211"/>
                    <w:jc w:val="center"/>
                    <w:rPr>
                      <w:sz w:val="21"/>
                      <w:szCs w:val="21"/>
                    </w:rPr>
                  </w:pPr>
                  <w:r>
                    <w:rPr>
                      <w:sz w:val="21"/>
                      <w:szCs w:val="21"/>
                    </w:rPr>
                    <w:t>二</w:t>
                  </w:r>
                </w:p>
              </w:tc>
              <w:tc>
                <w:tcPr>
                  <w:tcW w:w="1001" w:type="pct"/>
                  <w:tcBorders>
                    <w:tl2br w:val="nil"/>
                    <w:tr2bl w:val="nil"/>
                  </w:tcBorders>
                  <w:noWrap w:val="0"/>
                  <w:vAlign w:val="center"/>
                </w:tcPr>
                <w:p>
                  <w:pPr>
                    <w:adjustRightInd w:val="0"/>
                    <w:snapToGrid w:val="0"/>
                    <w:spacing w:line="300" w:lineRule="auto"/>
                    <w:ind w:firstLine="211"/>
                    <w:jc w:val="center"/>
                    <w:rPr>
                      <w:sz w:val="21"/>
                      <w:szCs w:val="21"/>
                    </w:rPr>
                  </w:pPr>
                  <w:r>
                    <w:rPr>
                      <w:sz w:val="21"/>
                      <w:szCs w:val="21"/>
                    </w:rPr>
                    <w:t>三</w:t>
                  </w:r>
                </w:p>
              </w:tc>
              <w:tc>
                <w:tcPr>
                  <w:tcW w:w="1001" w:type="pct"/>
                  <w:tcBorders>
                    <w:tl2br w:val="nil"/>
                    <w:tr2bl w:val="nil"/>
                  </w:tcBorders>
                  <w:noWrap w:val="0"/>
                  <w:vAlign w:val="center"/>
                </w:tcPr>
                <w:p>
                  <w:pPr>
                    <w:adjustRightInd w:val="0"/>
                    <w:snapToGrid w:val="0"/>
                    <w:spacing w:line="300" w:lineRule="auto"/>
                    <w:ind w:firstLine="211"/>
                    <w:jc w:val="center"/>
                    <w:rPr>
                      <w:sz w:val="21"/>
                      <w:szCs w:val="21"/>
                    </w:rPr>
                  </w:pPr>
                  <w:r>
                    <w:rPr>
                      <w:sz w:val="21"/>
                      <w:szCs w:val="21"/>
                    </w:rPr>
                    <w:t>简单分析</w:t>
                  </w:r>
                  <w:r>
                    <w:rPr>
                      <w:sz w:val="21"/>
                      <w:szCs w:val="21"/>
                      <w:vertAlign w:val="superscript"/>
                    </w:rP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5"/>
                  <w:tcBorders>
                    <w:tl2br w:val="nil"/>
                    <w:tr2bl w:val="nil"/>
                  </w:tcBorders>
                  <w:noWrap w:val="0"/>
                  <w:vAlign w:val="center"/>
                </w:tcPr>
                <w:p>
                  <w:pPr>
                    <w:autoSpaceDE w:val="0"/>
                    <w:autoSpaceDN w:val="0"/>
                    <w:adjustRightInd w:val="0"/>
                    <w:snapToGrid w:val="0"/>
                    <w:spacing w:line="300" w:lineRule="auto"/>
                    <w:rPr>
                      <w:sz w:val="21"/>
                      <w:szCs w:val="21"/>
                    </w:rPr>
                  </w:pPr>
                  <w:r>
                    <w:rPr>
                      <w:sz w:val="21"/>
                      <w:szCs w:val="21"/>
                    </w:rPr>
                    <w:t>a是相对于详细评价工作内容而言，在描述危险物质、环境影响途径、环境危害后果、风险防范措施等方面给出定性的说明。</w:t>
                  </w:r>
                </w:p>
              </w:tc>
            </w:tr>
          </w:tbl>
          <w:p>
            <w:pPr>
              <w:adjustRightInd w:val="0"/>
              <w:snapToGrid w:val="0"/>
              <w:spacing w:before="156" w:beforeLines="50" w:line="360" w:lineRule="auto"/>
              <w:ind w:firstLine="480" w:firstLineChars="200"/>
              <w:rPr>
                <w:sz w:val="24"/>
                <w:szCs w:val="24"/>
              </w:rPr>
            </w:pPr>
            <w:r>
              <w:rPr>
                <w:sz w:val="24"/>
                <w:szCs w:val="24"/>
              </w:rPr>
              <w:t>因此，本项目环境风险评价工作等级为简单分析。</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auto"/>
              <w:ind w:firstLine="482" w:firstLineChars="200"/>
              <w:jc w:val="both"/>
              <w:textAlignment w:val="auto"/>
              <w:rPr>
                <w:rFonts w:hint="default" w:ascii="Times New Roman" w:hAnsi="Times New Roman" w:eastAsia="宋体" w:cs="Times New Roman"/>
                <w:b/>
              </w:rPr>
            </w:pPr>
            <w:r>
              <w:rPr>
                <w:rFonts w:hint="eastAsia" w:ascii="Times New Roman" w:hAnsi="Times New Roman" w:eastAsia="宋体" w:cs="Times New Roman"/>
                <w:b/>
                <w:lang w:val="en-US" w:eastAsia="zh-CN"/>
              </w:rPr>
              <w:t>4</w:t>
            </w:r>
            <w:r>
              <w:rPr>
                <w:rFonts w:hint="default" w:ascii="Times New Roman" w:hAnsi="Times New Roman" w:eastAsia="宋体" w:cs="Times New Roman"/>
                <w:b/>
                <w:lang w:val="en-US" w:eastAsia="zh-CN"/>
              </w:rPr>
              <w:t>、</w:t>
            </w:r>
            <w:r>
              <w:rPr>
                <w:rFonts w:hint="default" w:ascii="Times New Roman" w:hAnsi="Times New Roman" w:eastAsia="宋体" w:cs="Times New Roman"/>
                <w:b/>
              </w:rPr>
              <w:t>环境风险识别</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Times New Roman" w:hAnsi="Times New Roman" w:cs="Times New Roman"/>
              </w:rPr>
            </w:pPr>
            <w:r>
              <w:rPr>
                <w:rFonts w:hint="eastAsia" w:ascii="Times New Roman" w:hAnsi="Times New Roman" w:cs="Times New Roman"/>
              </w:rPr>
              <w:t>根据上文分析，本项目建成后全厂主要风险物质的储存情况如下，其中</w:t>
            </w:r>
            <w:r>
              <w:rPr>
                <w:rFonts w:hint="eastAsia" w:ascii="Times New Roman" w:hAnsi="Times New Roman" w:cs="Times New Roman"/>
                <w:lang w:val="en-US" w:eastAsia="zh-CN"/>
              </w:rPr>
              <w:t>实验化学试剂</w:t>
            </w:r>
            <w:r>
              <w:rPr>
                <w:rFonts w:hint="eastAsia" w:ascii="Times New Roman" w:hAnsi="Times New Roman" w:cs="Times New Roman"/>
              </w:rPr>
              <w:t>储</w:t>
            </w:r>
            <w:r>
              <w:rPr>
                <w:rFonts w:hint="eastAsia" w:ascii="Times New Roman" w:hAnsi="Times New Roman" w:eastAsia="宋体" w:cs="Times New Roman"/>
              </w:rPr>
              <w:t>存在</w:t>
            </w:r>
            <w:r>
              <w:rPr>
                <w:rFonts w:hint="eastAsia" w:ascii="Times New Roman" w:hAnsi="Times New Roman" w:eastAsia="宋体" w:cs="Times New Roman"/>
                <w:lang w:val="en-US" w:eastAsia="zh-CN"/>
              </w:rPr>
              <w:t>实验室试剂柜</w:t>
            </w:r>
            <w:r>
              <w:rPr>
                <w:rFonts w:hint="eastAsia" w:ascii="Times New Roman" w:hAnsi="Times New Roman" w:eastAsia="宋体" w:cs="Times New Roman"/>
              </w:rPr>
              <w:t>；</w:t>
            </w:r>
            <w:r>
              <w:rPr>
                <w:rFonts w:hint="eastAsia" w:ascii="Times New Roman" w:hAnsi="Times New Roman" w:eastAsia="宋体" w:cs="Times New Roman"/>
                <w:sz w:val="24"/>
                <w:szCs w:val="24"/>
                <w:lang w:val="en-US" w:eastAsia="zh-CN"/>
              </w:rPr>
              <w:t>柴油暂存在</w:t>
            </w:r>
            <w:r>
              <w:rPr>
                <w:rFonts w:hint="eastAsia" w:ascii="Times New Roman" w:hAnsi="Times New Roman" w:cs="Times New Roman"/>
                <w:color w:val="auto"/>
                <w:sz w:val="24"/>
                <w:szCs w:val="24"/>
                <w:lang w:val="en-US" w:eastAsia="zh-CN"/>
              </w:rPr>
              <w:t>发电机房</w:t>
            </w:r>
            <w:r>
              <w:rPr>
                <w:rFonts w:hint="eastAsia" w:ascii="Times New Roman" w:hAnsi="Times New Roman" w:eastAsia="宋体" w:cs="Times New Roman"/>
                <w:color w:val="auto"/>
                <w:sz w:val="24"/>
                <w:szCs w:val="24"/>
                <w:lang w:val="en-US" w:eastAsia="zh-CN"/>
              </w:rPr>
              <w:t>柴油储存间；</w:t>
            </w:r>
            <w:r>
              <w:rPr>
                <w:rFonts w:hint="eastAsia" w:ascii="Times New Roman" w:hAnsi="Times New Roman" w:eastAsia="宋体" w:cs="Times New Roman"/>
              </w:rPr>
              <w:t>实</w:t>
            </w:r>
            <w:r>
              <w:rPr>
                <w:rFonts w:hint="eastAsia" w:ascii="Times New Roman" w:hAnsi="Times New Roman" w:cs="Times New Roman"/>
              </w:rPr>
              <w:t>验</w:t>
            </w:r>
            <w:r>
              <w:rPr>
                <w:rFonts w:hint="eastAsia" w:ascii="Times New Roman" w:hAnsi="Times New Roman" w:cs="Times New Roman"/>
                <w:lang w:val="en-US" w:eastAsia="zh-CN"/>
              </w:rPr>
              <w:t>废弃物、废活性炭</w:t>
            </w:r>
            <w:r>
              <w:rPr>
                <w:rFonts w:hint="eastAsia" w:ascii="Times New Roman" w:hAnsi="Times New Roman" w:cs="Times New Roman"/>
              </w:rPr>
              <w:t>暂存在危险废物暂存间内</w:t>
            </w:r>
            <w:r>
              <w:rPr>
                <w:rFonts w:hint="eastAsia" w:ascii="Times New Roman" w:hAnsi="Times New Roman" w:cs="Times New Roman"/>
                <w:lang w:eastAsia="zh-CN"/>
              </w:rPr>
              <w:t>。</w:t>
            </w:r>
            <w:r>
              <w:rPr>
                <w:rFonts w:hint="eastAsia" w:ascii="Times New Roman" w:hAnsi="Times New Roman" w:cs="Times New Roman"/>
              </w:rPr>
              <w:t>项目风险物质泄漏后，会污染大气环境</w:t>
            </w:r>
            <w:r>
              <w:rPr>
                <w:rFonts w:hint="eastAsia" w:ascii="Times New Roman" w:hAnsi="Times New Roman" w:cs="Times New Roman"/>
                <w:lang w:eastAsia="zh-CN"/>
              </w:rPr>
              <w:t>、</w:t>
            </w:r>
            <w:r>
              <w:rPr>
                <w:rFonts w:hint="eastAsia" w:ascii="Times New Roman" w:hAnsi="Times New Roman" w:cs="Times New Roman"/>
                <w:lang w:val="en-US" w:eastAsia="zh-CN"/>
              </w:rPr>
              <w:t>地表水、</w:t>
            </w:r>
            <w:r>
              <w:rPr>
                <w:rFonts w:hint="eastAsia" w:ascii="Times New Roman" w:hAnsi="Times New Roman" w:cs="Times New Roman"/>
              </w:rPr>
              <w:t>地下水，若遇明火或高热可引起火灾事故，火灾燃烧过程会产生次生CO污染。</w:t>
            </w:r>
          </w:p>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0" w:firstLineChars="200"/>
              <w:jc w:val="center"/>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表4-</w:t>
            </w:r>
            <w:r>
              <w:rPr>
                <w:rFonts w:hint="eastAsia" w:ascii="Times New Roman" w:hAnsi="Times New Roman" w:eastAsia="黑体" w:cs="Times New Roman"/>
                <w:b w:val="0"/>
                <w:bCs w:val="0"/>
                <w:kern w:val="2"/>
                <w:sz w:val="21"/>
                <w:szCs w:val="21"/>
                <w:lang w:val="en-US" w:eastAsia="zh-CN" w:bidi="ar-SA"/>
              </w:rPr>
              <w:t>17</w:t>
            </w:r>
            <w:r>
              <w:rPr>
                <w:rFonts w:hint="default" w:ascii="Times New Roman" w:hAnsi="Times New Roman" w:eastAsia="黑体" w:cs="Times New Roman"/>
                <w:b w:val="0"/>
                <w:bCs w:val="0"/>
                <w:kern w:val="2"/>
                <w:sz w:val="21"/>
                <w:szCs w:val="21"/>
                <w:lang w:val="en-US" w:eastAsia="zh-CN" w:bidi="ar-SA"/>
              </w:rPr>
              <w:t xml:space="preserve"> 建设项目环境风险识别表</w:t>
            </w:r>
          </w:p>
          <w:tbl>
            <w:tblPr>
              <w:tblStyle w:val="26"/>
              <w:tblW w:w="840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7"/>
              <w:gridCol w:w="1103"/>
              <w:gridCol w:w="2940"/>
              <w:gridCol w:w="1110"/>
              <w:gridCol w:w="1410"/>
              <w:gridCol w:w="14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47"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b/>
                      <w:bCs/>
                      <w:sz w:val="21"/>
                      <w:szCs w:val="21"/>
                    </w:rPr>
                  </w:pPr>
                  <w:r>
                    <w:rPr>
                      <w:rFonts w:ascii="Times New Roman" w:hAnsi="Times New Roman" w:cs="Times New Roman"/>
                      <w:b/>
                      <w:bCs/>
                      <w:sz w:val="21"/>
                      <w:szCs w:val="21"/>
                    </w:rPr>
                    <w:t>序号</w:t>
                  </w:r>
                </w:p>
              </w:tc>
              <w:tc>
                <w:tcPr>
                  <w:tcW w:w="1103"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b/>
                      <w:bCs/>
                      <w:sz w:val="21"/>
                      <w:szCs w:val="21"/>
                    </w:rPr>
                  </w:pPr>
                  <w:r>
                    <w:rPr>
                      <w:rFonts w:ascii="Times New Roman" w:hAnsi="Times New Roman" w:cs="Times New Roman"/>
                      <w:b/>
                      <w:bCs/>
                      <w:sz w:val="21"/>
                      <w:szCs w:val="21"/>
                    </w:rPr>
                    <w:t>危险单元</w:t>
                  </w:r>
                </w:p>
              </w:tc>
              <w:tc>
                <w:tcPr>
                  <w:tcW w:w="294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b/>
                      <w:bCs/>
                      <w:sz w:val="21"/>
                      <w:szCs w:val="21"/>
                    </w:rPr>
                  </w:pPr>
                  <w:r>
                    <w:rPr>
                      <w:rFonts w:ascii="Times New Roman" w:hAnsi="Times New Roman" w:cs="Times New Roman"/>
                      <w:b/>
                      <w:bCs/>
                      <w:sz w:val="21"/>
                      <w:szCs w:val="21"/>
                    </w:rPr>
                    <w:t>主要危险物质</w:t>
                  </w:r>
                </w:p>
              </w:tc>
              <w:tc>
                <w:tcPr>
                  <w:tcW w:w="11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b/>
                      <w:bCs/>
                      <w:sz w:val="21"/>
                      <w:szCs w:val="21"/>
                    </w:rPr>
                  </w:pPr>
                  <w:r>
                    <w:rPr>
                      <w:rFonts w:ascii="Times New Roman" w:hAnsi="Times New Roman" w:cs="Times New Roman"/>
                      <w:b/>
                      <w:bCs/>
                      <w:sz w:val="21"/>
                      <w:szCs w:val="21"/>
                    </w:rPr>
                    <w:t>环境风险类型</w:t>
                  </w:r>
                </w:p>
              </w:tc>
              <w:tc>
                <w:tcPr>
                  <w:tcW w:w="14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b/>
                      <w:bCs/>
                      <w:sz w:val="21"/>
                      <w:szCs w:val="21"/>
                    </w:rPr>
                  </w:pPr>
                  <w:r>
                    <w:rPr>
                      <w:rFonts w:ascii="Times New Roman" w:hAnsi="Times New Roman" w:cs="Times New Roman"/>
                      <w:b/>
                      <w:bCs/>
                      <w:sz w:val="21"/>
                      <w:szCs w:val="21"/>
                    </w:rPr>
                    <w:t>环境影响途径</w:t>
                  </w:r>
                </w:p>
              </w:tc>
              <w:tc>
                <w:tcPr>
                  <w:tcW w:w="1499"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可能影响的环境敏感目标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47"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1</w:t>
                  </w:r>
                </w:p>
              </w:tc>
              <w:tc>
                <w:tcPr>
                  <w:tcW w:w="1103"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default" w:ascii="Times New Roman" w:hAnsi="Times New Roman" w:cs="Times New Roman"/>
                      <w:sz w:val="21"/>
                      <w:szCs w:val="21"/>
                      <w:lang w:val="en-US"/>
                    </w:rPr>
                  </w:pPr>
                  <w:r>
                    <w:rPr>
                      <w:rFonts w:hint="eastAsia" w:ascii="Times New Roman" w:hAnsi="Times New Roman" w:eastAsia="宋体" w:cs="Times New Roman"/>
                      <w:sz w:val="21"/>
                      <w:szCs w:val="21"/>
                      <w:lang w:val="en-US" w:eastAsia="zh-CN"/>
                    </w:rPr>
                    <w:t>实验室试剂柜</w:t>
                  </w:r>
                </w:p>
              </w:tc>
              <w:tc>
                <w:tcPr>
                  <w:tcW w:w="294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sz w:val="21"/>
                      <w:szCs w:val="21"/>
                    </w:rPr>
                  </w:pPr>
                  <w:r>
                    <w:rPr>
                      <w:rFonts w:hint="eastAsia" w:ascii="Times New Roman" w:hAnsi="Times New Roman" w:cs="Times New Roman"/>
                      <w:color w:val="000000"/>
                      <w:kern w:val="0"/>
                      <w:sz w:val="21"/>
                      <w:szCs w:val="21"/>
                      <w:lang w:val="en-US" w:eastAsia="zh-CN"/>
                    </w:rPr>
                    <w:t>乙醇、</w:t>
                  </w:r>
                  <w:r>
                    <w:rPr>
                      <w:rFonts w:hint="default" w:ascii="Times New Roman" w:hAnsi="Times New Roman" w:eastAsia="宋体" w:cs="Times New Roman"/>
                      <w:i w:val="0"/>
                      <w:iCs w:val="0"/>
                      <w:color w:val="000000"/>
                      <w:kern w:val="0"/>
                      <w:sz w:val="21"/>
                      <w:szCs w:val="21"/>
                      <w:u w:val="none"/>
                      <w:lang w:val="en-US" w:eastAsia="zh-CN" w:bidi="ar"/>
                    </w:rPr>
                    <w:t>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硫酸铵</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color w:val="000000"/>
                      <w:kern w:val="0"/>
                      <w:sz w:val="21"/>
                      <w:szCs w:val="21"/>
                      <w:lang w:val="en-US" w:eastAsia="zh-CN"/>
                    </w:rPr>
                    <w:t>乙酸、</w:t>
                  </w:r>
                  <w:r>
                    <w:rPr>
                      <w:rFonts w:hint="default" w:ascii="Times New Roman" w:hAnsi="Times New Roman" w:eastAsia="宋体" w:cs="Times New Roman"/>
                      <w:i w:val="0"/>
                      <w:iCs w:val="0"/>
                      <w:color w:val="000000"/>
                      <w:kern w:val="0"/>
                      <w:sz w:val="21"/>
                      <w:szCs w:val="21"/>
                      <w:u w:val="none"/>
                      <w:lang w:val="en-US" w:eastAsia="zh-CN" w:bidi="ar"/>
                    </w:rPr>
                    <w:t>磷酸</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（甲醛的水溶液）、苯胺、</w:t>
                  </w:r>
                  <w:r>
                    <w:rPr>
                      <w:rFonts w:hint="default" w:ascii="Times New Roman" w:hAnsi="Times New Roman" w:eastAsia="宋体" w:cs="Times New Roman"/>
                      <w:i w:val="0"/>
                      <w:iCs w:val="0"/>
                      <w:color w:val="000000"/>
                      <w:kern w:val="0"/>
                      <w:sz w:val="21"/>
                      <w:szCs w:val="21"/>
                      <w:u w:val="none"/>
                      <w:lang w:val="en-US" w:eastAsia="zh-CN" w:bidi="ar"/>
                    </w:rPr>
                    <w:t>乙酸乙酯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石油醚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aps w:val="0"/>
                      <w:color w:val="000000"/>
                      <w:spacing w:val="0"/>
                      <w:sz w:val="21"/>
                      <w:szCs w:val="21"/>
                      <w:shd w:val="clear" w:color="auto" w:fill="FFFFFF"/>
                    </w:rPr>
                    <w:t>硝酸</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eastAsia" w:ascii="Times New Roman" w:hAnsi="Times New Roman" w:cs="Times New Roman"/>
                      <w:color w:val="000000"/>
                      <w:kern w:val="0"/>
                      <w:sz w:val="21"/>
                      <w:szCs w:val="21"/>
                      <w:lang w:val="en-US" w:eastAsia="zh-CN"/>
                    </w:rPr>
                    <w:t>盐酸、丁醇</w:t>
                  </w:r>
                </w:p>
              </w:tc>
              <w:tc>
                <w:tcPr>
                  <w:tcW w:w="1110" w:type="dxa"/>
                  <w:vMerge w:val="restart"/>
                  <w:tcBorders>
                    <w:tl2br w:val="nil"/>
                    <w:tr2bl w:val="nil"/>
                  </w:tcBorders>
                  <w:noWrap w:val="0"/>
                  <w:vAlign w:val="center"/>
                </w:tcPr>
                <w:p>
                  <w:pPr>
                    <w:pStyle w:val="22"/>
                    <w:keepNext w:val="0"/>
                    <w:keepLines w:val="0"/>
                    <w:pageBreakBefore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泄漏、火灾爆炸引发伴生/次生污染物排放</w:t>
                  </w:r>
                </w:p>
              </w:tc>
              <w:tc>
                <w:tcPr>
                  <w:tcW w:w="14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大气</w:t>
                  </w:r>
                  <w:r>
                    <w:rPr>
                      <w:rFonts w:hint="eastAsia" w:ascii="Times New Roman" w:hAnsi="Times New Roman" w:cs="Times New Roman"/>
                      <w:sz w:val="21"/>
                      <w:szCs w:val="21"/>
                    </w:rPr>
                    <w:t>、</w:t>
                  </w:r>
                  <w:r>
                    <w:rPr>
                      <w:rFonts w:ascii="Times New Roman" w:hAnsi="Times New Roman" w:cs="Times New Roman"/>
                      <w:sz w:val="21"/>
                      <w:szCs w:val="21"/>
                    </w:rPr>
                    <w:t>地表水</w:t>
                  </w:r>
                  <w:r>
                    <w:rPr>
                      <w:rFonts w:hint="eastAsia" w:ascii="Times New Roman" w:hAnsi="Times New Roman" w:cs="Times New Roman"/>
                      <w:sz w:val="21"/>
                      <w:szCs w:val="21"/>
                    </w:rPr>
                    <w:t>、</w:t>
                  </w:r>
                  <w:r>
                    <w:rPr>
                      <w:rFonts w:ascii="Times New Roman" w:hAnsi="Times New Roman" w:cs="Times New Roman"/>
                      <w:sz w:val="21"/>
                      <w:szCs w:val="21"/>
                    </w:rPr>
                    <w:t>地下水</w:t>
                  </w:r>
                </w:p>
              </w:tc>
              <w:tc>
                <w:tcPr>
                  <w:tcW w:w="1499" w:type="dxa"/>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周边学校、居民、地表水、地下水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47"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103"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发电机房</w:t>
                  </w:r>
                  <w:r>
                    <w:rPr>
                      <w:rFonts w:hint="eastAsia" w:ascii="Times New Roman" w:hAnsi="Times New Roman" w:eastAsia="宋体" w:cs="Times New Roman"/>
                      <w:color w:val="auto"/>
                      <w:sz w:val="21"/>
                      <w:szCs w:val="21"/>
                      <w:lang w:val="en-US" w:eastAsia="zh-CN"/>
                    </w:rPr>
                    <w:t>柴油储存间</w:t>
                  </w:r>
                </w:p>
              </w:tc>
              <w:tc>
                <w:tcPr>
                  <w:tcW w:w="294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柴油</w:t>
                  </w:r>
                </w:p>
              </w:tc>
              <w:tc>
                <w:tcPr>
                  <w:tcW w:w="1110" w:type="dxa"/>
                  <w:vMerge w:val="continue"/>
                  <w:tcBorders>
                    <w:tl2br w:val="nil"/>
                    <w:tr2bl w:val="nil"/>
                  </w:tcBorders>
                  <w:noWrap w:val="0"/>
                  <w:vAlign w:val="center"/>
                </w:tcPr>
                <w:p>
                  <w:pPr>
                    <w:pStyle w:val="22"/>
                    <w:keepNext w:val="0"/>
                    <w:keepLines w:val="0"/>
                    <w:pageBreakBefore w:val="0"/>
                    <w:kinsoku/>
                    <w:wordWrap/>
                    <w:overflowPunct/>
                    <w:topLinePunct w:val="0"/>
                    <w:autoSpaceDE/>
                    <w:autoSpaceDN/>
                    <w:bidi w:val="0"/>
                    <w:adjustRightInd w:val="0"/>
                    <w:snapToGrid w:val="0"/>
                    <w:spacing w:after="0" w:afterAutospacing="0" w:line="320" w:lineRule="exact"/>
                    <w:jc w:val="center"/>
                    <w:textAlignment w:val="auto"/>
                    <w:rPr>
                      <w:rFonts w:hint="eastAsia" w:ascii="Times New Roman" w:hAnsi="Times New Roman" w:cs="Times New Roman"/>
                      <w:sz w:val="21"/>
                      <w:szCs w:val="21"/>
                    </w:rPr>
                  </w:pPr>
                </w:p>
              </w:tc>
              <w:tc>
                <w:tcPr>
                  <w:tcW w:w="14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大气</w:t>
                  </w:r>
                  <w:r>
                    <w:rPr>
                      <w:rFonts w:hint="eastAsia" w:ascii="Times New Roman" w:hAnsi="Times New Roman" w:cs="Times New Roman"/>
                      <w:sz w:val="21"/>
                      <w:szCs w:val="21"/>
                    </w:rPr>
                    <w:t>、</w:t>
                  </w:r>
                  <w:r>
                    <w:rPr>
                      <w:rFonts w:ascii="Times New Roman" w:hAnsi="Times New Roman" w:cs="Times New Roman"/>
                      <w:sz w:val="21"/>
                      <w:szCs w:val="21"/>
                    </w:rPr>
                    <w:t>地表水</w:t>
                  </w:r>
                  <w:r>
                    <w:rPr>
                      <w:rFonts w:hint="eastAsia" w:ascii="Times New Roman" w:hAnsi="Times New Roman" w:cs="Times New Roman"/>
                      <w:sz w:val="21"/>
                      <w:szCs w:val="21"/>
                    </w:rPr>
                    <w:t>、</w:t>
                  </w:r>
                  <w:r>
                    <w:rPr>
                      <w:rFonts w:ascii="Times New Roman" w:hAnsi="Times New Roman" w:cs="Times New Roman"/>
                      <w:sz w:val="21"/>
                      <w:szCs w:val="21"/>
                    </w:rPr>
                    <w:t>地下水</w:t>
                  </w:r>
                </w:p>
              </w:tc>
              <w:tc>
                <w:tcPr>
                  <w:tcW w:w="1499" w:type="dxa"/>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afterAutospacing="0" w:line="320" w:lineRule="exact"/>
                    <w:jc w:val="center"/>
                    <w:textAlignment w:val="auto"/>
                    <w:rPr>
                      <w:rFonts w:hint="eastAsia" w:ascii="Times New Roman" w:hAnsi="Times New Roman" w:cs="Times New Roman"/>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47"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1103"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危废暂存间</w:t>
                  </w:r>
                </w:p>
              </w:tc>
              <w:tc>
                <w:tcPr>
                  <w:tcW w:w="294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r>
                    <w:rPr>
                      <w:rFonts w:hint="eastAsia" w:ascii="Times New Roman" w:hAnsi="Times New Roman" w:eastAsia="宋体" w:cs="Times New Roman"/>
                      <w:sz w:val="21"/>
                      <w:szCs w:val="21"/>
                    </w:rPr>
                    <w:t>实</w:t>
                  </w:r>
                  <w:r>
                    <w:rPr>
                      <w:rFonts w:hint="eastAsia" w:ascii="Times New Roman" w:hAnsi="Times New Roman" w:cs="Times New Roman"/>
                      <w:sz w:val="21"/>
                      <w:szCs w:val="21"/>
                    </w:rPr>
                    <w:t>验</w:t>
                  </w:r>
                  <w:r>
                    <w:rPr>
                      <w:rFonts w:hint="eastAsia" w:ascii="Times New Roman" w:hAnsi="Times New Roman" w:cs="Times New Roman"/>
                      <w:sz w:val="21"/>
                      <w:szCs w:val="21"/>
                      <w:lang w:val="en-US" w:eastAsia="zh-CN"/>
                    </w:rPr>
                    <w:t>废弃物、废活性炭</w:t>
                  </w:r>
                </w:p>
              </w:tc>
              <w:tc>
                <w:tcPr>
                  <w:tcW w:w="11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泄漏</w:t>
                  </w:r>
                </w:p>
              </w:tc>
              <w:tc>
                <w:tcPr>
                  <w:tcW w:w="14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大气</w:t>
                  </w:r>
                  <w:r>
                    <w:rPr>
                      <w:rFonts w:hint="eastAsia" w:ascii="Times New Roman" w:hAnsi="Times New Roman" w:cs="Times New Roman"/>
                      <w:sz w:val="21"/>
                      <w:szCs w:val="21"/>
                    </w:rPr>
                    <w:t>、</w:t>
                  </w:r>
                  <w:r>
                    <w:rPr>
                      <w:rFonts w:ascii="Times New Roman" w:hAnsi="Times New Roman" w:cs="Times New Roman"/>
                      <w:sz w:val="21"/>
                      <w:szCs w:val="21"/>
                    </w:rPr>
                    <w:t>地表水</w:t>
                  </w:r>
                  <w:r>
                    <w:rPr>
                      <w:rFonts w:hint="eastAsia" w:ascii="Times New Roman" w:hAnsi="Times New Roman" w:cs="Times New Roman"/>
                      <w:sz w:val="21"/>
                      <w:szCs w:val="21"/>
                    </w:rPr>
                    <w:t>、</w:t>
                  </w:r>
                  <w:r>
                    <w:rPr>
                      <w:rFonts w:ascii="Times New Roman" w:hAnsi="Times New Roman" w:cs="Times New Roman"/>
                      <w:sz w:val="21"/>
                      <w:szCs w:val="21"/>
                    </w:rPr>
                    <w:t>地下水</w:t>
                  </w:r>
                </w:p>
              </w:tc>
              <w:tc>
                <w:tcPr>
                  <w:tcW w:w="1499" w:type="dxa"/>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47"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103"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化粪池、隔油池、中和池</w:t>
                  </w:r>
                </w:p>
              </w:tc>
              <w:tc>
                <w:tcPr>
                  <w:tcW w:w="294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生活污水、食堂废水、实验废水</w:t>
                  </w:r>
                </w:p>
              </w:tc>
              <w:tc>
                <w:tcPr>
                  <w:tcW w:w="11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污水事故排放</w:t>
                  </w:r>
                </w:p>
              </w:tc>
              <w:tc>
                <w:tcPr>
                  <w:tcW w:w="1410"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地表水</w:t>
                  </w:r>
                </w:p>
              </w:tc>
              <w:tc>
                <w:tcPr>
                  <w:tcW w:w="1499"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受纳污水处理厂</w:t>
                  </w:r>
                </w:p>
              </w:tc>
            </w:tr>
          </w:tbl>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482" w:firstLineChars="200"/>
              <w:textAlignment w:val="auto"/>
              <w:outlineLvl w:val="1"/>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5</w:t>
            </w:r>
            <w:r>
              <w:rPr>
                <w:rFonts w:hint="default" w:ascii="Times New Roman" w:hAnsi="Times New Roman" w:cs="Times New Roman"/>
                <w:b/>
                <w:color w:val="auto"/>
                <w:sz w:val="24"/>
              </w:rPr>
              <w:t>、环境风险事故分析</w:t>
            </w:r>
          </w:p>
          <w:p>
            <w:pPr>
              <w:keepNext w:val="0"/>
              <w:keepLines w:val="0"/>
              <w:pageBreakBefore w:val="0"/>
              <w:kinsoku/>
              <w:wordWrap/>
              <w:overflowPunct/>
              <w:topLinePunct w:val="0"/>
              <w:autoSpaceDE/>
              <w:autoSpaceDN/>
              <w:bidi w:val="0"/>
              <w:spacing w:beforeAutospacing="0" w:afterAutospacing="0"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化学品</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本项目原材料运输方式采用汽车运输，在运输过程中因意外交通事故，可能贮瓶被撞破，而造成</w:t>
            </w:r>
            <w:r>
              <w:rPr>
                <w:rFonts w:hint="eastAsia" w:ascii="Times New Roman" w:hAnsi="Times New Roman" w:cs="Times New Roman"/>
                <w:color w:val="000000"/>
                <w:kern w:val="0"/>
                <w:sz w:val="24"/>
                <w:szCs w:val="24"/>
                <w:lang w:val="en-US" w:eastAsia="zh-CN"/>
              </w:rPr>
              <w:t>乙醇、</w:t>
            </w:r>
            <w:r>
              <w:rPr>
                <w:rFonts w:hint="default" w:ascii="Times New Roman" w:hAnsi="Times New Roman" w:eastAsia="宋体" w:cs="Times New Roman"/>
                <w:i w:val="0"/>
                <w:iCs w:val="0"/>
                <w:color w:val="000000"/>
                <w:kern w:val="0"/>
                <w:sz w:val="24"/>
                <w:szCs w:val="24"/>
                <w:u w:val="none"/>
                <w:lang w:val="en-US" w:eastAsia="zh-CN" w:bidi="ar"/>
              </w:rPr>
              <w:t>苯酚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硫酸铵</w:t>
            </w:r>
            <w:r>
              <w:rPr>
                <w:rFonts w:hint="eastAsia"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color w:val="000000"/>
                <w:kern w:val="0"/>
                <w:sz w:val="24"/>
                <w:szCs w:val="24"/>
                <w:lang w:val="en-US" w:eastAsia="zh-CN"/>
              </w:rPr>
              <w:t>乙酸、</w:t>
            </w:r>
            <w:r>
              <w:rPr>
                <w:rFonts w:hint="default" w:ascii="Times New Roman" w:hAnsi="Times New Roman" w:eastAsia="宋体" w:cs="Times New Roman"/>
                <w:i w:val="0"/>
                <w:iCs w:val="0"/>
                <w:color w:val="000000"/>
                <w:kern w:val="0"/>
                <w:sz w:val="24"/>
                <w:szCs w:val="24"/>
                <w:u w:val="none"/>
                <w:lang w:val="en-US" w:eastAsia="zh-CN" w:bidi="ar"/>
              </w:rPr>
              <w:t>磷酸</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福尔马林</w:t>
            </w:r>
            <w:r>
              <w:rPr>
                <w:rFonts w:hint="eastAsia" w:ascii="Times New Roman" w:hAnsi="Times New Roman" w:eastAsia="宋体" w:cs="Times New Roman"/>
                <w:i w:val="0"/>
                <w:iCs w:val="0"/>
                <w:color w:val="000000"/>
                <w:kern w:val="0"/>
                <w:sz w:val="24"/>
                <w:szCs w:val="24"/>
                <w:u w:val="none"/>
                <w:lang w:val="en-US" w:eastAsia="zh-CN" w:bidi="ar"/>
              </w:rPr>
              <w:t>（甲醛的水溶液）、苯胺、</w:t>
            </w:r>
            <w:r>
              <w:rPr>
                <w:rFonts w:hint="default" w:ascii="Times New Roman" w:hAnsi="Times New Roman" w:eastAsia="宋体" w:cs="Times New Roman"/>
                <w:i w:val="0"/>
                <w:iCs w:val="0"/>
                <w:color w:val="000000"/>
                <w:kern w:val="0"/>
                <w:sz w:val="24"/>
                <w:szCs w:val="24"/>
                <w:u w:val="none"/>
                <w:lang w:val="en-US" w:eastAsia="zh-CN" w:bidi="ar"/>
              </w:rPr>
              <w:t>乙酸乙酯</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石油醚</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aps w:val="0"/>
                <w:color w:val="000000"/>
                <w:spacing w:val="0"/>
                <w:sz w:val="24"/>
                <w:szCs w:val="24"/>
                <w:shd w:val="clear" w:color="auto" w:fill="FFFFFF"/>
              </w:rPr>
              <w:t>硝酸</w:t>
            </w:r>
            <w:r>
              <w:rPr>
                <w:rFonts w:hint="eastAsia" w:ascii="Times New Roman" w:hAnsi="Times New Roman" w:eastAsia="宋体" w:cs="Times New Roman"/>
                <w:i w:val="0"/>
                <w:iCs w:val="0"/>
                <w:caps w:val="0"/>
                <w:color w:val="000000"/>
                <w:spacing w:val="0"/>
                <w:sz w:val="24"/>
                <w:szCs w:val="24"/>
                <w:shd w:val="clear" w:color="auto" w:fill="FFFFFF"/>
                <w:lang w:eastAsia="zh-CN"/>
              </w:rPr>
              <w:t>、</w:t>
            </w:r>
            <w:r>
              <w:rPr>
                <w:rFonts w:hint="eastAsia" w:ascii="Times New Roman" w:hAnsi="Times New Roman" w:cs="Times New Roman"/>
                <w:color w:val="000000"/>
                <w:kern w:val="0"/>
                <w:sz w:val="24"/>
                <w:szCs w:val="24"/>
                <w:lang w:val="en-US" w:eastAsia="zh-CN"/>
              </w:rPr>
              <w:t>盐酸、丁醇、柴油</w:t>
            </w:r>
            <w:r>
              <w:rPr>
                <w:rFonts w:hint="default" w:ascii="Times New Roman" w:hAnsi="Times New Roman" w:cs="Times New Roman"/>
                <w:color w:val="auto"/>
                <w:sz w:val="24"/>
              </w:rPr>
              <w:t>等</w:t>
            </w:r>
            <w:r>
              <w:rPr>
                <w:rFonts w:hint="default" w:ascii="Times New Roman" w:hAnsi="Times New Roman" w:cs="Times New Roman"/>
                <w:color w:val="auto"/>
                <w:sz w:val="24"/>
                <w:lang w:val="en-US" w:eastAsia="zh-CN"/>
              </w:rPr>
              <w:t>化学品流出或逸出，导致运输人员和周围人员中毒，造成局部环境污染；或运输过程中因长时间震动可造成化学品逸散、泄漏，导致沿途环境污染或人员中毒。</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项目使用化学品由人工输送至使用点，在贮存、使用过程，可能由于贮存装置破裂、或操作不当，造成泄漏，导致人员中毒和环境污染，或在使用过程中由于操作人员失误造成</w:t>
            </w:r>
            <w:r>
              <w:rPr>
                <w:rFonts w:hint="eastAsia" w:ascii="Times New Roman" w:hAnsi="Times New Roman" w:cs="Times New Roman"/>
                <w:color w:val="auto"/>
                <w:sz w:val="24"/>
                <w:lang w:val="en-US" w:eastAsia="zh-CN"/>
              </w:rPr>
              <w:t>化学品泄漏</w:t>
            </w:r>
            <w:r>
              <w:rPr>
                <w:rFonts w:hint="default" w:ascii="Times New Roman" w:hAnsi="Times New Roman" w:cs="Times New Roman"/>
                <w:color w:val="auto"/>
                <w:sz w:val="24"/>
                <w:lang w:val="en-US" w:eastAsia="zh-CN"/>
              </w:rPr>
              <w:t>。</w:t>
            </w:r>
          </w:p>
          <w:p>
            <w:pPr>
              <w:keepNext w:val="0"/>
              <w:keepLines w:val="0"/>
              <w:pageBreakBefore w:val="0"/>
              <w:numPr>
                <w:ilvl w:val="0"/>
                <w:numId w:val="0"/>
              </w:numPr>
              <w:kinsoku/>
              <w:wordWrap/>
              <w:overflowPunct/>
              <w:topLinePunct w:val="0"/>
              <w:autoSpaceDE/>
              <w:autoSpaceDN/>
              <w:bidi w:val="0"/>
              <w:spacing w:beforeAutospacing="0" w:afterAutospacing="0" w:line="360" w:lineRule="auto"/>
              <w:ind w:left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大气环境污染影响分析</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由于危险废物不及时清运产生含有有害</w:t>
            </w:r>
            <w:r>
              <w:rPr>
                <w:rFonts w:hint="eastAsia" w:ascii="Times New Roman" w:hAnsi="Times New Roman" w:cs="Times New Roman"/>
                <w:color w:val="auto"/>
                <w:sz w:val="24"/>
                <w:lang w:val="en-US" w:eastAsia="zh-CN"/>
              </w:rPr>
              <w:t>气体</w:t>
            </w:r>
            <w:r>
              <w:rPr>
                <w:rFonts w:hint="default" w:ascii="Times New Roman" w:hAnsi="Times New Roman" w:cs="Times New Roman"/>
                <w:color w:val="auto"/>
                <w:sz w:val="24"/>
              </w:rPr>
              <w:t>的空气，从而对</w:t>
            </w:r>
            <w:r>
              <w:rPr>
                <w:rFonts w:hint="eastAsia" w:ascii="Times New Roman" w:hAnsi="Times New Roman" w:cs="Times New Roman"/>
                <w:color w:val="auto"/>
                <w:sz w:val="24"/>
                <w:lang w:val="en-US" w:eastAsia="zh-CN"/>
              </w:rPr>
              <w:t>师生</w:t>
            </w:r>
            <w:r>
              <w:rPr>
                <w:rFonts w:hint="default" w:ascii="Times New Roman" w:hAnsi="Times New Roman" w:cs="Times New Roman"/>
                <w:color w:val="auto"/>
                <w:sz w:val="24"/>
              </w:rPr>
              <w:t>和周围的环境和健康造成影响。</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由于</w:t>
            </w:r>
            <w:r>
              <w:rPr>
                <w:rFonts w:hint="eastAsia" w:ascii="Times New Roman" w:hAnsi="Times New Roman" w:cs="Times New Roman"/>
                <w:color w:val="auto"/>
                <w:sz w:val="24"/>
                <w:lang w:val="en-US" w:eastAsia="zh-CN"/>
              </w:rPr>
              <w:t>实验室、</w:t>
            </w:r>
            <w:r>
              <w:rPr>
                <w:rFonts w:hint="default" w:ascii="Times New Roman" w:hAnsi="Times New Roman" w:cs="Times New Roman"/>
                <w:color w:val="auto"/>
                <w:sz w:val="24"/>
              </w:rPr>
              <w:t>发电机房等管理和操作不当，因物料泄漏遇明火后</w:t>
            </w:r>
            <w:r>
              <w:rPr>
                <w:rFonts w:hint="eastAsia" w:ascii="Times New Roman" w:hAnsi="Times New Roman" w:cs="Times New Roman"/>
                <w:color w:val="auto"/>
                <w:sz w:val="24"/>
                <w:lang w:eastAsia="zh-CN"/>
              </w:rPr>
              <w:t>带来的</w:t>
            </w:r>
            <w:r>
              <w:rPr>
                <w:rFonts w:hint="default" w:ascii="Times New Roman" w:hAnsi="Times New Roman" w:cs="Times New Roman"/>
                <w:color w:val="auto"/>
                <w:sz w:val="24"/>
              </w:rPr>
              <w:t>火灾、爆炸等产生的大量有害气体对周围环境、</w:t>
            </w:r>
            <w:r>
              <w:rPr>
                <w:rFonts w:hint="eastAsia" w:ascii="Times New Roman" w:hAnsi="Times New Roman" w:cs="Times New Roman"/>
                <w:color w:val="auto"/>
                <w:sz w:val="24"/>
                <w:lang w:val="en-US" w:eastAsia="zh-CN"/>
              </w:rPr>
              <w:t>师生</w:t>
            </w:r>
            <w:r>
              <w:rPr>
                <w:rFonts w:hint="default" w:ascii="Times New Roman" w:hAnsi="Times New Roman" w:cs="Times New Roman"/>
                <w:color w:val="auto"/>
                <w:sz w:val="24"/>
              </w:rPr>
              <w:t>的身体健康带来较大威胁。</w:t>
            </w:r>
          </w:p>
          <w:p>
            <w:pPr>
              <w:keepNext w:val="0"/>
              <w:keepLines w:val="0"/>
              <w:pageBreakBefore w:val="0"/>
              <w:kinsoku/>
              <w:wordWrap/>
              <w:overflowPunct/>
              <w:topLinePunct w:val="0"/>
              <w:autoSpaceDE/>
              <w:autoSpaceDN/>
              <w:bidi w:val="0"/>
              <w:spacing w:beforeAutospacing="0" w:afterAutospacing="0"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）地表水污染风险分析</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化粪池、隔油池、中和池等</w:t>
            </w:r>
            <w:r>
              <w:rPr>
                <w:rFonts w:hint="default" w:ascii="Times New Roman" w:hAnsi="Times New Roman" w:cs="Times New Roman"/>
                <w:color w:val="auto"/>
                <w:sz w:val="24"/>
              </w:rPr>
              <w:t>污水处理系统因事故或者处理效率</w:t>
            </w:r>
            <w:r>
              <w:rPr>
                <w:rFonts w:hint="eastAsia" w:ascii="Times New Roman" w:hAnsi="Times New Roman" w:cs="Times New Roman"/>
                <w:color w:val="auto"/>
                <w:sz w:val="24"/>
                <w:lang w:val="en-US" w:eastAsia="zh-CN"/>
              </w:rPr>
              <w:t>低下</w:t>
            </w:r>
            <w:r>
              <w:rPr>
                <w:rFonts w:hint="default" w:ascii="Times New Roman" w:hAnsi="Times New Roman" w:cs="Times New Roman"/>
                <w:color w:val="auto"/>
                <w:sz w:val="24"/>
              </w:rPr>
              <w:t>造成废水不能及时处理、超标排放，对</w:t>
            </w:r>
            <w:r>
              <w:rPr>
                <w:rFonts w:hint="eastAsia" w:ascii="Times New Roman" w:hAnsi="Times New Roman" w:cs="Times New Roman"/>
                <w:color w:val="auto"/>
                <w:sz w:val="24"/>
                <w:lang w:val="en-US" w:eastAsia="zh-CN"/>
              </w:rPr>
              <w:t>受纳</w:t>
            </w:r>
            <w:r>
              <w:rPr>
                <w:rFonts w:hint="default" w:ascii="Times New Roman" w:hAnsi="Times New Roman" w:cs="Times New Roman"/>
                <w:color w:val="auto"/>
                <w:sz w:val="24"/>
              </w:rPr>
              <w:t>污水处理厂处理工艺和出水造成影响，从而影响受纳水体的水质。</w:t>
            </w:r>
          </w:p>
          <w:p>
            <w:pPr>
              <w:keepNext w:val="0"/>
              <w:keepLines w:val="0"/>
              <w:pageBreakBefore w:val="0"/>
              <w:kinsoku/>
              <w:wordWrap/>
              <w:overflowPunct/>
              <w:topLinePunct w:val="0"/>
              <w:autoSpaceDE/>
              <w:autoSpaceDN/>
              <w:bidi w:val="0"/>
              <w:spacing w:beforeAutospacing="0" w:afterAutospacing="0"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）地下水污染风险分析</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于污水处理系统（包括构筑物、管网等）因不及时检修维护、质量问题等造成爆管、堵塞、接头破损等，造成污水外溢而污染地下水。柴油发电机房因设备故障等造成油污泄漏，若不及时清理会导致地下水污染。</w:t>
            </w:r>
          </w:p>
          <w:p>
            <w:pPr>
              <w:keepNext w:val="0"/>
              <w:keepLines w:val="0"/>
              <w:pageBreakBefore w:val="0"/>
              <w:kinsoku/>
              <w:wordWrap/>
              <w:overflowPunct/>
              <w:topLinePunct w:val="0"/>
              <w:autoSpaceDE/>
              <w:autoSpaceDN/>
              <w:bidi w:val="0"/>
              <w:spacing w:beforeAutospacing="0" w:afterAutospacing="0"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）次生/伴生环境风险分析</w:t>
            </w:r>
          </w:p>
          <w:p>
            <w:pPr>
              <w:pStyle w:val="9"/>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default" w:ascii="Times New Roman" w:hAnsi="Times New Roman" w:eastAsia="宋体" w:cs="Times New Roman"/>
                <w:b/>
              </w:rPr>
            </w:pPr>
            <w:r>
              <w:rPr>
                <w:rFonts w:hint="default" w:ascii="Times New Roman" w:hAnsi="Times New Roman" w:cs="Times New Roman"/>
                <w:color w:val="auto"/>
                <w:sz w:val="24"/>
              </w:rPr>
              <w:t>因</w:t>
            </w:r>
            <w:r>
              <w:rPr>
                <w:rFonts w:hint="eastAsia" w:ascii="Times New Roman" w:hAnsi="Times New Roman" w:cs="Times New Roman"/>
                <w:color w:val="auto"/>
                <w:sz w:val="24"/>
                <w:lang w:val="en-US" w:eastAsia="zh-CN"/>
              </w:rPr>
              <w:t>实验室化学试剂</w:t>
            </w:r>
            <w:r>
              <w:rPr>
                <w:rFonts w:hint="default" w:ascii="Times New Roman" w:hAnsi="Times New Roman" w:cs="Times New Roman"/>
                <w:color w:val="auto"/>
                <w:sz w:val="24"/>
              </w:rPr>
              <w:t>存储不当、管理不足和操作不当造成化学品洒落、泄漏造成对人员皮肤灼伤、呼吸中毒等健康危害，在不利情况下接触明火或者高温造成火灾等风险事故发生。</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default" w:ascii="Times New Roman" w:hAnsi="Times New Roman" w:eastAsia="宋体" w:cs="Times New Roman"/>
                <w:b/>
              </w:rPr>
            </w:pPr>
            <w:r>
              <w:rPr>
                <w:rFonts w:hint="default" w:ascii="Times New Roman" w:hAnsi="Times New Roman" w:eastAsia="宋体" w:cs="Times New Roman"/>
                <w:b/>
              </w:rPr>
              <w:t>6、环境风险防范措施及应急要求</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ascii="Times New Roman" w:hAnsi="Times New Roman" w:cs="Times New Roman"/>
                <w:b/>
              </w:rPr>
            </w:pPr>
            <w:r>
              <w:rPr>
                <w:rFonts w:hint="eastAsia" w:ascii="Times New Roman" w:hAnsi="Times New Roman" w:cs="Times New Roman"/>
                <w:b/>
                <w:lang w:val="en-US" w:eastAsia="zh-CN"/>
              </w:rPr>
              <w:t>（1）</w:t>
            </w:r>
            <w:r>
              <w:rPr>
                <w:rFonts w:hint="eastAsia" w:ascii="Times New Roman" w:hAnsi="Times New Roman" w:cs="Times New Roman"/>
                <w:b/>
              </w:rPr>
              <w:t>环境风险防范措施</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1）实验室风险</w:t>
            </w:r>
            <w:r>
              <w:rPr>
                <w:rFonts w:hint="eastAsia" w:ascii="Times New Roman" w:hAnsi="Times New Roman" w:cs="Times New Roman"/>
                <w:b/>
                <w:bCs/>
              </w:rPr>
              <w:t>防范措施</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rPr>
            </w:pPr>
            <w:r>
              <w:rPr>
                <w:rFonts w:hint="eastAsia" w:ascii="Times New Roman" w:hAnsi="Times New Roman" w:cs="Times New Roman"/>
                <w:lang w:val="en-US" w:eastAsia="zh-CN"/>
              </w:rPr>
              <w:t>①</w:t>
            </w:r>
            <w:r>
              <w:rPr>
                <w:rFonts w:hint="eastAsia" w:ascii="Times New Roman" w:hAnsi="Times New Roman" w:cs="Times New Roman"/>
              </w:rPr>
              <w:t>应严格按照《危险化学品安全管理条例》及《常用危险化学品贮存通则》等的要求进行危险品</w:t>
            </w:r>
            <w:r>
              <w:rPr>
                <w:rFonts w:hint="default" w:ascii="Times New Roman" w:hAnsi="Times New Roman" w:cs="Times New Roman"/>
                <w:color w:val="auto"/>
                <w:sz w:val="24"/>
              </w:rPr>
              <w:t>购买、</w:t>
            </w:r>
            <w:r>
              <w:rPr>
                <w:rFonts w:hint="eastAsia" w:ascii="Times New Roman" w:hAnsi="Times New Roman" w:cs="Times New Roman"/>
                <w:color w:val="auto"/>
                <w:sz w:val="24"/>
                <w:lang w:val="en-US" w:eastAsia="zh-CN"/>
              </w:rPr>
              <w:t>运输、</w:t>
            </w:r>
            <w:r>
              <w:rPr>
                <w:rFonts w:hint="default" w:ascii="Times New Roman" w:hAnsi="Times New Roman" w:cs="Times New Roman"/>
                <w:color w:val="auto"/>
                <w:sz w:val="24"/>
              </w:rPr>
              <w:t>储存、使用</w:t>
            </w:r>
            <w:r>
              <w:rPr>
                <w:rFonts w:hint="eastAsia" w:ascii="Times New Roman" w:hAnsi="Times New Roman" w:cs="Times New Roman"/>
              </w:rPr>
              <w:t>，存放化学品的场所做好防渗漏措施，避免化学品泄漏至室外。</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rPr>
            </w:pPr>
            <w:r>
              <w:rPr>
                <w:rFonts w:hint="eastAsia" w:ascii="Times New Roman" w:hAnsi="Times New Roman" w:cs="Times New Roman"/>
                <w:lang w:val="en-US" w:eastAsia="zh-CN"/>
              </w:rPr>
              <w:t>②</w:t>
            </w:r>
            <w:r>
              <w:rPr>
                <w:rFonts w:hint="eastAsia" w:ascii="Times New Roman" w:hAnsi="Times New Roman" w:cs="Times New Roman"/>
              </w:rPr>
              <w:t>实验室内应设置专用容器分类收集废液，不同种类不同性质的废液应收集在不同的容器内，禁止直接收集在同一容器内，避免发生意外事故；</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③</w:t>
            </w:r>
            <w:r>
              <w:rPr>
                <w:rFonts w:hint="eastAsia" w:ascii="Times New Roman" w:hAnsi="Times New Roman" w:cs="Times New Roman"/>
              </w:rPr>
              <w:t>实验室严禁动用明火、电热器和能引起电火花的电气设备。门上应挂“严禁烟火”警告牌，按需科学配备干粉灭火器，并开辟专区放置，妥善保管，定期检查是否完好可用，消防器材不得移作他用，周围禁止堆放杂物，以便及时快捷处理可能的火灾。</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④</w:t>
            </w:r>
            <w:r>
              <w:rPr>
                <w:rFonts w:hint="eastAsia" w:ascii="Times New Roman" w:hAnsi="Times New Roman" w:cs="Times New Roman"/>
              </w:rPr>
              <w:t>项目需严格控制化学品的储存量，根据自身实验需求，合理控制最大储存量。</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color w:val="auto"/>
                <w:sz w:val="24"/>
                <w:szCs w:val="24"/>
                <w:lang w:val="en-US" w:eastAsia="zh-CN"/>
              </w:rPr>
              <w:t>2）发电机房</w:t>
            </w:r>
            <w:r>
              <w:rPr>
                <w:rFonts w:hint="eastAsia" w:ascii="Times New Roman" w:hAnsi="Times New Roman" w:cs="Times New Roman"/>
                <w:b/>
                <w:bCs/>
                <w:sz w:val="24"/>
                <w:szCs w:val="24"/>
                <w:lang w:val="en-US" w:eastAsia="zh-CN"/>
              </w:rPr>
              <w:t>风险</w:t>
            </w:r>
            <w:r>
              <w:rPr>
                <w:rFonts w:hint="eastAsia" w:ascii="Times New Roman" w:hAnsi="Times New Roman" w:cs="Times New Roman"/>
                <w:b/>
                <w:bCs/>
                <w:sz w:val="24"/>
                <w:szCs w:val="24"/>
              </w:rPr>
              <w:t>防范措施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①备用发电机仅停电时使用，柴油的最大储存量为0.</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t，在柴油发电机房间设置防火安全设施，并严格《危险化学品安全管理条例》（2002年，国务院第344 号）的规定进行运输、储存和使用，发电机房内按有关规范要求配置干粉灭火器。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②发电机房设置应急桶，并设置围堰，地面按照重点防渗区要求进行防渗混凝土+2mmHDPE 土工膜或其他同等级防渗材料处理。</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危废暂存间</w:t>
            </w:r>
            <w:r>
              <w:rPr>
                <w:rFonts w:hint="eastAsia" w:ascii="Times New Roman" w:hAnsi="Times New Roman" w:cs="Times New Roman"/>
                <w:b/>
                <w:bCs/>
                <w:sz w:val="24"/>
                <w:szCs w:val="24"/>
                <w:lang w:val="en-US" w:eastAsia="zh-CN"/>
              </w:rPr>
              <w:t>风险</w:t>
            </w:r>
            <w:r>
              <w:rPr>
                <w:rFonts w:hint="eastAsia" w:ascii="Times New Roman" w:hAnsi="Times New Roman" w:cs="Times New Roman"/>
                <w:b/>
                <w:bCs/>
                <w:sz w:val="24"/>
                <w:szCs w:val="24"/>
              </w:rPr>
              <w:t>防范措施</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rPr>
              <w:t>本项目危废暂存间应根据规范要求采取防渗措施，室内地面设置防渗材料，各废液容器底部设置金属托盘，可确保可能产生的渗漏污水不会污染土壤和地下水。</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default" w:ascii="Times New Roman" w:hAnsi="Times New Roman" w:cs="Times New Roman"/>
                <w:b/>
                <w:lang w:val="en-US" w:eastAsia="zh-CN"/>
              </w:rPr>
            </w:pPr>
            <w:r>
              <w:rPr>
                <w:rFonts w:hint="eastAsia" w:ascii="Times New Roman" w:hAnsi="Times New Roman" w:cs="Times New Roman"/>
                <w:b/>
                <w:bCs w:val="0"/>
                <w:lang w:val="en-US" w:eastAsia="zh-CN"/>
              </w:rPr>
              <w:t>4）</w:t>
            </w:r>
            <w:r>
              <w:rPr>
                <w:rFonts w:hint="default" w:ascii="Times New Roman" w:hAnsi="Times New Roman" w:cs="Times New Roman"/>
                <w:b/>
                <w:bCs w:val="0"/>
                <w:color w:val="auto"/>
                <w:sz w:val="24"/>
              </w:rPr>
              <w:t>废水</w:t>
            </w:r>
            <w:r>
              <w:rPr>
                <w:rFonts w:hint="eastAsia" w:ascii="Times New Roman" w:hAnsi="Times New Roman" w:cs="Times New Roman"/>
                <w:b/>
                <w:bCs w:val="0"/>
                <w:color w:val="auto"/>
                <w:sz w:val="24"/>
                <w:lang w:eastAsia="zh-CN"/>
              </w:rPr>
              <w:t>、</w:t>
            </w:r>
            <w:r>
              <w:rPr>
                <w:rFonts w:hint="eastAsia" w:ascii="Times New Roman" w:hAnsi="Times New Roman" w:cs="Times New Roman"/>
                <w:b/>
                <w:bCs w:val="0"/>
                <w:color w:val="auto"/>
                <w:sz w:val="24"/>
                <w:lang w:val="en-US" w:eastAsia="zh-CN"/>
              </w:rPr>
              <w:t>废气</w:t>
            </w:r>
            <w:r>
              <w:rPr>
                <w:rFonts w:hint="default" w:ascii="Times New Roman" w:hAnsi="Times New Roman" w:cs="Times New Roman"/>
                <w:b/>
                <w:bCs w:val="0"/>
                <w:color w:val="auto"/>
                <w:sz w:val="24"/>
              </w:rPr>
              <w:t>处理系统</w:t>
            </w:r>
            <w:r>
              <w:rPr>
                <w:rFonts w:hint="eastAsia" w:ascii="Times New Roman" w:hAnsi="Times New Roman" w:cs="Times New Roman"/>
                <w:b/>
                <w:bCs w:val="0"/>
                <w:sz w:val="24"/>
                <w:szCs w:val="24"/>
                <w:lang w:val="en-US" w:eastAsia="zh-CN"/>
              </w:rPr>
              <w:t>风</w:t>
            </w:r>
            <w:r>
              <w:rPr>
                <w:rFonts w:hint="eastAsia" w:ascii="Times New Roman" w:hAnsi="Times New Roman" w:cs="Times New Roman"/>
                <w:b/>
                <w:bCs/>
                <w:sz w:val="24"/>
                <w:szCs w:val="24"/>
                <w:lang w:val="en-US" w:eastAsia="zh-CN"/>
              </w:rPr>
              <w:t>险</w:t>
            </w:r>
            <w:r>
              <w:rPr>
                <w:rFonts w:hint="eastAsia" w:ascii="Times New Roman" w:hAnsi="Times New Roman" w:cs="Times New Roman"/>
                <w:b/>
                <w:bCs/>
                <w:sz w:val="24"/>
                <w:szCs w:val="24"/>
              </w:rPr>
              <w:t>防范措施</w:t>
            </w:r>
          </w:p>
          <w:p>
            <w:pPr>
              <w:spacing w:line="360" w:lineRule="auto"/>
              <w:ind w:firstLine="480"/>
              <w:rPr>
                <w:rFonts w:hint="eastAsia" w:ascii="Times New Roman" w:hAnsi="Times New Roman" w:cs="Times New Roman"/>
                <w:b w:val="0"/>
                <w:bCs/>
                <w:lang w:val="en-US" w:eastAsia="zh-CN"/>
              </w:rPr>
            </w:pPr>
            <w:r>
              <w:rPr>
                <w:rFonts w:hint="default" w:ascii="Times New Roman" w:hAnsi="Times New Roman" w:cs="Times New Roman"/>
                <w:color w:val="auto"/>
                <w:sz w:val="24"/>
              </w:rPr>
              <w:t>加强污水处理设备的维护保养，对系统的薄弱环节、易出故障的地方，加强检查、维护保养，及时更新。对处理设备故障要及时抢修，防止因处理设备故障抢修不及时而造成污水超标排放；加强废气处理设施及设备的定期检修和维护工作，及时、足量更换活性炭，防止因废气治理设施非正常运行造成的废气污染事故。</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default" w:ascii="Times New Roman" w:hAnsi="Times New Roman" w:eastAsia="宋体" w:cs="Times New Roman"/>
                <w:b/>
                <w:lang w:val="en-US" w:eastAsia="zh-CN"/>
              </w:rPr>
            </w:pPr>
            <w:r>
              <w:rPr>
                <w:rFonts w:hint="eastAsia" w:ascii="Times New Roman" w:hAnsi="Times New Roman" w:cs="Times New Roman"/>
                <w:b/>
                <w:lang w:val="en-US" w:eastAsia="zh-CN"/>
              </w:rPr>
              <w:t>5）其他措施</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b w:val="0"/>
                <w:bCs/>
              </w:rPr>
            </w:pPr>
            <w:r>
              <w:rPr>
                <w:rFonts w:hint="eastAsia" w:ascii="Times New Roman" w:hAnsi="Times New Roman" w:cs="Times New Roman"/>
                <w:b w:val="0"/>
                <w:bCs/>
              </w:rPr>
              <w:t>加强管理，保证用电、用水、用气等安全，做好消防保证措施</w:t>
            </w:r>
            <w:r>
              <w:rPr>
                <w:rFonts w:hint="eastAsia" w:ascii="Times New Roman" w:hAnsi="Times New Roman" w:cs="Times New Roman"/>
                <w:b w:val="0"/>
                <w:bCs/>
                <w:lang w:eastAsia="zh-CN"/>
              </w:rPr>
              <w:t>；</w:t>
            </w:r>
            <w:r>
              <w:rPr>
                <w:rFonts w:hint="eastAsia" w:ascii="Times New Roman" w:hAnsi="Times New Roman" w:cs="Times New Roman"/>
                <w:b w:val="0"/>
                <w:bCs/>
              </w:rPr>
              <w:t>在设计中，充分考虑风场对本项目高层建筑的影响。建筑物的高层和底层玻璃幕墙均应安装屏蔽防雷设施</w:t>
            </w:r>
            <w:r>
              <w:rPr>
                <w:rFonts w:hint="eastAsia" w:ascii="Times New Roman" w:hAnsi="Times New Roman" w:cs="Times New Roman"/>
                <w:b w:val="0"/>
                <w:bCs/>
                <w:lang w:eastAsia="zh-CN"/>
              </w:rPr>
              <w:t>；</w:t>
            </w:r>
            <w:r>
              <w:rPr>
                <w:rFonts w:hint="eastAsia" w:ascii="Times New Roman" w:hAnsi="Times New Roman" w:cs="Times New Roman"/>
                <w:b w:val="0"/>
                <w:bCs/>
              </w:rPr>
              <w:t>按照国家规范，合理安排消防交通组织，确保消防扑救面和消防通道的畅通。</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firstLine="482" w:firstLineChars="200"/>
              <w:textAlignment w:val="auto"/>
              <w:rPr>
                <w:rFonts w:hint="default" w:eastAsia="宋体"/>
                <w:b/>
                <w:bCs/>
                <w:sz w:val="24"/>
                <w:szCs w:val="24"/>
                <w:lang w:val="en-US" w:eastAsia="zh-CN"/>
              </w:rPr>
            </w:pPr>
            <w:r>
              <w:rPr>
                <w:rFonts w:hint="eastAsia"/>
                <w:b/>
                <w:bCs/>
                <w:sz w:val="24"/>
                <w:szCs w:val="24"/>
                <w:lang w:eastAsia="zh-CN"/>
              </w:rPr>
              <w:t>（</w:t>
            </w:r>
            <w:r>
              <w:rPr>
                <w:rFonts w:hint="eastAsia"/>
                <w:b/>
                <w:bCs/>
                <w:sz w:val="24"/>
                <w:szCs w:val="24"/>
                <w:lang w:val="en-US" w:eastAsia="zh-CN"/>
              </w:rPr>
              <w:t>2）风险应急措施</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①泄漏事故</w:t>
            </w:r>
            <w:r>
              <w:rPr>
                <w:rFonts w:hint="eastAsia" w:ascii="Times New Roman" w:hAnsi="Times New Roman" w:cs="Times New Roman"/>
              </w:rPr>
              <w:t>应急处置措施</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rPr>
            </w:pPr>
            <w:r>
              <w:rPr>
                <w:rFonts w:hint="eastAsia" w:ascii="Times New Roman" w:hAnsi="Times New Roman" w:cs="Times New Roman"/>
              </w:rPr>
              <w:t>实验室应配备个人防护用品及应急处置设施，项目危险化学品储存量很小，一旦发生有毒有害化学品泄漏，可立即用吸油棉进行吸附清理，并作为危险废物委外处置，从而避免对实验室环境及人员健康造成危害。</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柴油一旦发生泄漏，</w:t>
            </w:r>
            <w:r>
              <w:rPr>
                <w:rFonts w:hint="default" w:ascii="Times New Roman" w:hAnsi="Times New Roman" w:cs="Times New Roman"/>
                <w:color w:val="auto"/>
                <w:sz w:val="24"/>
              </w:rPr>
              <w:t>尽可能切断泄漏源</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并</w:t>
            </w:r>
            <w:r>
              <w:rPr>
                <w:rFonts w:hint="default" w:ascii="Times New Roman" w:hAnsi="Times New Roman" w:cs="Times New Roman"/>
                <w:color w:val="auto"/>
                <w:sz w:val="24"/>
              </w:rPr>
              <w:t>切断火源。防止流入下水道、排洪沟等限制性空间。小量泄漏：用活性炭或其它惰性材料吸收。大量泄漏：构筑围堤或挖坑收容。用泵转移至槽车或专用收集器内，回收或</w:t>
            </w:r>
            <w:r>
              <w:rPr>
                <w:rFonts w:hint="eastAsia" w:ascii="Times New Roman" w:hAnsi="Times New Roman" w:cs="Times New Roman"/>
              </w:rPr>
              <w:t>作为危险废物委外处置</w:t>
            </w:r>
            <w:r>
              <w:rPr>
                <w:rFonts w:hint="default" w:ascii="Times New Roman" w:hAnsi="Times New Roman" w:cs="Times New Roman"/>
                <w:color w:val="auto"/>
                <w:sz w:val="24"/>
              </w:rPr>
              <w:t>。</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②</w:t>
            </w:r>
            <w:r>
              <w:rPr>
                <w:rFonts w:hint="eastAsia" w:ascii="Times New Roman" w:hAnsi="Times New Roman" w:cs="Times New Roman"/>
              </w:rPr>
              <w:t>火灾事故应急处置措施</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rPr>
            </w:pPr>
            <w:r>
              <w:rPr>
                <w:rFonts w:hint="eastAsia" w:ascii="Times New Roman" w:hAnsi="Times New Roman" w:cs="Times New Roman"/>
              </w:rPr>
              <w:t>项目实验室</w:t>
            </w:r>
            <w:r>
              <w:rPr>
                <w:rFonts w:hint="eastAsia" w:ascii="Times New Roman" w:hAnsi="Times New Roman" w:cs="Times New Roman"/>
                <w:lang w:eastAsia="zh-CN"/>
              </w:rPr>
              <w:t>、</w:t>
            </w:r>
            <w:r>
              <w:rPr>
                <w:rFonts w:hint="eastAsia" w:ascii="Times New Roman" w:hAnsi="Times New Roman" w:cs="Times New Roman"/>
                <w:lang w:val="en-US" w:eastAsia="zh-CN"/>
              </w:rPr>
              <w:t>发电机房</w:t>
            </w:r>
            <w:r>
              <w:rPr>
                <w:rFonts w:hint="eastAsia" w:ascii="Times New Roman" w:hAnsi="Times New Roman" w:cs="Times New Roman"/>
              </w:rPr>
              <w:t>应配置干粉灭火器</w:t>
            </w:r>
            <w:r>
              <w:rPr>
                <w:rFonts w:hint="eastAsia" w:ascii="Times New Roman" w:hAnsi="Times New Roman" w:cs="Times New Roman"/>
                <w:color w:val="auto"/>
                <w:sz w:val="24"/>
                <w:lang w:eastAsia="zh-CN"/>
              </w:rPr>
              <w:t>，</w:t>
            </w:r>
            <w:r>
              <w:rPr>
                <w:rFonts w:hint="eastAsia" w:ascii="Times New Roman" w:hAnsi="Times New Roman" w:cs="Times New Roman"/>
              </w:rPr>
              <w:t>在发生火灾时可立即投入使用，并自动启动防排烟系统。</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ascii="Times New Roman" w:hAnsi="Times New Roman" w:cs="Times New Roman"/>
              </w:rPr>
            </w:pPr>
            <w:r>
              <w:rPr>
                <w:rFonts w:hint="eastAsia" w:ascii="Times New Roman" w:hAnsi="Times New Roman" w:cs="Times New Roman"/>
                <w:lang w:val="en-US" w:eastAsia="zh-CN"/>
              </w:rPr>
              <w:t>③</w:t>
            </w:r>
            <w:r>
              <w:rPr>
                <w:rFonts w:hint="eastAsia" w:ascii="Times New Roman" w:hAnsi="Times New Roman" w:cs="Times New Roman"/>
              </w:rPr>
              <w:t>建立事故管理和经过优化的应急处理计划</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b w:val="0"/>
                <w:bCs w:val="0"/>
                <w:sz w:val="24"/>
                <w:szCs w:val="24"/>
              </w:rPr>
            </w:pPr>
            <w:r>
              <w:rPr>
                <w:rFonts w:hint="eastAsia" w:ascii="Times New Roman" w:hAnsi="Times New Roman" w:cs="Times New Roman"/>
              </w:rPr>
              <w:t>包括各种应急处理设备器材、事故现场指挥、救护、通讯等系统建立，设立急救指挥小组，由</w:t>
            </w:r>
            <w:r>
              <w:rPr>
                <w:rFonts w:hint="eastAsia" w:ascii="Times New Roman" w:hAnsi="Times New Roman" w:cs="Times New Roman"/>
                <w:lang w:val="en-US" w:eastAsia="zh-CN"/>
              </w:rPr>
              <w:t>学校</w:t>
            </w:r>
            <w:r>
              <w:rPr>
                <w:rFonts w:hint="eastAsia" w:ascii="Times New Roman" w:hAnsi="Times New Roman" w:cs="Times New Roman"/>
              </w:rPr>
              <w:t>有关部门负责，一旦发生事故，进行统一指挥和协调。</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firstLine="482" w:firstLineChars="200"/>
              <w:textAlignment w:val="auto"/>
              <w:rPr>
                <w:b/>
                <w:bCs/>
                <w:sz w:val="24"/>
                <w:szCs w:val="24"/>
              </w:rPr>
            </w:pPr>
            <w:r>
              <w:rPr>
                <w:rFonts w:hint="eastAsia"/>
                <w:b/>
                <w:bCs/>
                <w:sz w:val="24"/>
                <w:szCs w:val="24"/>
                <w:lang w:val="en-US" w:eastAsia="zh-CN"/>
              </w:rPr>
              <w:t>7、</w:t>
            </w:r>
            <w:r>
              <w:rPr>
                <w:rFonts w:hint="default" w:ascii="Times New Roman" w:hAnsi="Times New Roman" w:cs="Times New Roman"/>
                <w:b/>
                <w:bCs/>
                <w:color w:val="auto"/>
                <w:sz w:val="24"/>
                <w:szCs w:val="24"/>
                <w:highlight w:val="none"/>
              </w:rPr>
              <w:t>风险事故应急预案</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firstLine="480" w:firstLineChars="200"/>
              <w:textAlignment w:val="auto"/>
              <w:rPr>
                <w:sz w:val="24"/>
                <w:szCs w:val="24"/>
              </w:rPr>
            </w:pPr>
            <w:r>
              <w:rPr>
                <w:rFonts w:hint="eastAsia"/>
                <w:sz w:val="24"/>
                <w:szCs w:val="24"/>
              </w:rPr>
              <w:t>建设单位应根据《国家突发公共事件总体应急预案</w:t>
            </w:r>
            <w:r>
              <w:rPr>
                <w:rFonts w:hint="eastAsia"/>
                <w:sz w:val="24"/>
                <w:szCs w:val="24"/>
                <w:lang w:eastAsia="zh-CN"/>
              </w:rPr>
              <w:t>》《</w:t>
            </w:r>
            <w:r>
              <w:rPr>
                <w:rFonts w:hint="eastAsia"/>
                <w:sz w:val="24"/>
                <w:szCs w:val="24"/>
              </w:rPr>
              <w:t>国家事故应急预案框架指南</w:t>
            </w:r>
            <w:r>
              <w:rPr>
                <w:rFonts w:hint="eastAsia"/>
                <w:sz w:val="24"/>
                <w:szCs w:val="24"/>
                <w:lang w:eastAsia="zh-CN"/>
              </w:rPr>
              <w:t>》《</w:t>
            </w:r>
            <w:r>
              <w:rPr>
                <w:rFonts w:hint="eastAsia"/>
                <w:sz w:val="24"/>
                <w:szCs w:val="24"/>
              </w:rPr>
              <w:t>突发公共卫生事件应急条例》等相关规定的要求，制订和完善本项目风险事故应急预案。制订应急预案的原则如下：</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①确定救援组织、队伍和联络方式；</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②制定事故类型、等级和相应的应急响应程序；</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③配备必要的救灾防毒器具及防护用品；</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④对系统制定应急状态切断终止或自动报警连锁保护程序；</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⑤岗位培训和演习，设置事故应急学习手册及报告、记录和评估；</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⑥制定区域防灾救援方案，</w:t>
            </w:r>
            <w:r>
              <w:rPr>
                <w:rFonts w:hint="eastAsia" w:ascii="Times New Roman" w:hAnsi="Times New Roman" w:cs="Times New Roman"/>
                <w:color w:val="auto"/>
                <w:sz w:val="24"/>
                <w:lang w:val="en-US" w:eastAsia="zh-CN"/>
              </w:rPr>
              <w:t>校</w:t>
            </w:r>
            <w:r>
              <w:rPr>
                <w:rFonts w:hint="default" w:ascii="Times New Roman" w:hAnsi="Times New Roman" w:cs="Times New Roman"/>
                <w:color w:val="auto"/>
                <w:sz w:val="24"/>
              </w:rPr>
              <w:t>外受影响人群的疏散、撤离方案，与当地政府、消防、环保和医疗救助等部门加强联系，以便风险事故发生时得到及时救援。</w:t>
            </w:r>
          </w:p>
          <w:p>
            <w:pPr>
              <w:pageBreakBefore w:val="0"/>
              <w:kinsoku/>
              <w:wordWrap/>
              <w:bidi w:val="0"/>
              <w:spacing w:line="360" w:lineRule="auto"/>
              <w:ind w:left="0" w:leftChars="0" w:right="0" w:firstLine="480" w:firstLineChars="200"/>
              <w:rPr>
                <w:rFonts w:hint="default" w:ascii="Times New Roman" w:hAnsi="Times New Roman" w:cs="Times New Roman"/>
                <w:sz w:val="24"/>
              </w:rPr>
            </w:pPr>
            <w:r>
              <w:rPr>
                <w:rFonts w:hint="default" w:ascii="Times New Roman" w:hAnsi="Times New Roman" w:cs="Times New Roman"/>
                <w:sz w:val="24"/>
              </w:rPr>
              <w:t>企业在制定环境风险应急预案时，还应包括</w:t>
            </w:r>
            <w:r>
              <w:rPr>
                <w:rFonts w:hint="eastAsia" w:ascii="Times New Roman" w:hAnsi="Times New Roman" w:cs="Times New Roman"/>
                <w:sz w:val="24"/>
                <w:lang w:val="en-US" w:eastAsia="zh-CN"/>
              </w:rPr>
              <w:t>下表</w:t>
            </w:r>
            <w:r>
              <w:rPr>
                <w:rFonts w:hint="default" w:ascii="Times New Roman" w:hAnsi="Times New Roman" w:cs="Times New Roman"/>
                <w:sz w:val="24"/>
              </w:rPr>
              <w:t>所示内容。</w:t>
            </w:r>
          </w:p>
          <w:p>
            <w:pPr>
              <w:pageBreakBefore w:val="0"/>
              <w:tabs>
                <w:tab w:val="left" w:pos="3556"/>
                <w:tab w:val="center" w:pos="4583"/>
              </w:tabs>
              <w:kinsoku/>
              <w:wordWrap/>
              <w:bidi w:val="0"/>
              <w:spacing w:line="360" w:lineRule="auto"/>
              <w:ind w:left="0" w:leftChars="0" w:right="0"/>
              <w:jc w:val="center"/>
              <w:rPr>
                <w:rFonts w:hint="default" w:ascii="Times New Roman" w:hAnsi="Times New Roman" w:eastAsia="黑体" w:cs="Times New Roman"/>
                <w:color w:val="auto"/>
                <w:szCs w:val="21"/>
                <w:highlight w:val="none"/>
                <w:lang w:val="zh-CN"/>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18</w:t>
            </w:r>
            <w:r>
              <w:rPr>
                <w:rFonts w:hint="default" w:ascii="Times New Roman" w:hAnsi="Times New Roman" w:eastAsia="黑体" w:cs="Times New Roman"/>
                <w:color w:val="auto"/>
                <w:szCs w:val="21"/>
                <w:highlight w:val="none"/>
              </w:rPr>
              <w:t xml:space="preserve">  </w:t>
            </w:r>
            <w:r>
              <w:rPr>
                <w:rFonts w:hint="default" w:ascii="Times New Roman" w:hAnsi="Times New Roman" w:eastAsia="黑体" w:cs="Times New Roman"/>
                <w:color w:val="auto"/>
                <w:szCs w:val="21"/>
                <w:highlight w:val="none"/>
                <w:lang w:val="zh-CN"/>
              </w:rPr>
              <w:t>应急预案内容</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198"/>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315" w:type="pct"/>
                  <w:noWrap w:val="0"/>
                  <w:vAlign w:val="center"/>
                </w:tcPr>
                <w:p>
                  <w:pPr>
                    <w:pageBreakBefore w:val="0"/>
                    <w:kinsoku/>
                    <w:wordWrap/>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w:t>
                  </w:r>
                </w:p>
              </w:tc>
              <w:tc>
                <w:tcPr>
                  <w:tcW w:w="3288" w:type="pct"/>
                  <w:noWrap w:val="0"/>
                  <w:vAlign w:val="center"/>
                </w:tcPr>
                <w:p>
                  <w:pPr>
                    <w:pageBreakBefore w:val="0"/>
                    <w:kinsoku/>
                    <w:wordWrap/>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应急计划区</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危险目标：危废暂存间、</w:t>
                  </w:r>
                  <w:r>
                    <w:rPr>
                      <w:rFonts w:hint="eastAsia" w:ascii="Times New Roman" w:hAnsi="Times New Roman" w:cs="Times New Roman"/>
                      <w:color w:val="auto"/>
                      <w:szCs w:val="21"/>
                      <w:highlight w:val="none"/>
                      <w:lang w:val="en-US" w:eastAsia="zh-CN"/>
                    </w:rPr>
                    <w:t>发电机房、</w:t>
                  </w:r>
                  <w:r>
                    <w:rPr>
                      <w:rFonts w:hint="default" w:ascii="Times New Roman" w:hAnsi="Times New Roman" w:cs="Times New Roman"/>
                      <w:color w:val="auto"/>
                      <w:szCs w:val="21"/>
                      <w:highlight w:val="none"/>
                    </w:rPr>
                    <w:t>污水处理各构筑物、环境保护目标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应急组织机构、人员</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学校</w:t>
                  </w:r>
                  <w:r>
                    <w:rPr>
                      <w:rFonts w:hint="default" w:ascii="Times New Roman" w:hAnsi="Times New Roman" w:cs="Times New Roman"/>
                      <w:color w:val="auto"/>
                      <w:szCs w:val="21"/>
                      <w:highlight w:val="none"/>
                    </w:rPr>
                    <w:t>、地区应急组织机构、人员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预案分级响应条件</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应急救援保障</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应急设施、设备及器材等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报警、通讯联络方式</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应急环境监测、抢险、救援及控制措施</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应急检测、防护措施、清除泄露措施和器材</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人员紧急撤离、疏散、应急剂量控制、撤离组织计划</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事故现场、临近区、受事故影响的区域人员及公众对毒物应急剂量控制规定，撤离组织计划及救护，医疗救护与公众健康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事故应急救援关闭程序与恢复措施</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应急培训计划</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noWrap w:val="0"/>
                  <w:vAlign w:val="center"/>
                </w:tcPr>
                <w:p>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1315"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公众教育和信息</w:t>
                  </w:r>
                </w:p>
              </w:tc>
              <w:tc>
                <w:tcPr>
                  <w:tcW w:w="3288" w:type="pct"/>
                  <w:noWrap w:val="0"/>
                  <w:vAlign w:val="center"/>
                </w:tcPr>
                <w:p>
                  <w:pPr>
                    <w:pageBreakBefore w:val="0"/>
                    <w:kinsoku/>
                    <w:wordWrap/>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对邻近地区展开公众教育、培训和发布有关信息</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right="0" w:rightChars="0"/>
              <w:textAlignment w:val="bottom"/>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环境风险评价结论</w:t>
            </w:r>
          </w:p>
          <w:p>
            <w:pPr>
              <w:pageBreakBefore w:val="0"/>
              <w:kinsoku/>
              <w:wordWrap/>
              <w:bidi w:val="0"/>
              <w:adjustRightInd w:val="0"/>
              <w:snapToGrid w:val="0"/>
              <w:spacing w:line="360" w:lineRule="auto"/>
              <w:ind w:left="0" w:leftChars="0" w:right="0" w:firstLine="480" w:firstLineChars="200"/>
              <w:textAlignment w:val="bottom"/>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本项目环境风险简单分析内容见</w:t>
            </w:r>
            <w:r>
              <w:rPr>
                <w:rFonts w:hint="eastAsia" w:cs="Times New Roman"/>
                <w:color w:val="auto"/>
                <w:sz w:val="24"/>
                <w:highlight w:val="none"/>
                <w:lang w:val="en-US" w:eastAsia="zh-CN"/>
              </w:rPr>
              <w:t>下表</w:t>
            </w:r>
            <w:r>
              <w:rPr>
                <w:rFonts w:hint="default" w:ascii="Times New Roman" w:hAnsi="Times New Roman" w:cs="Times New Roman"/>
                <w:color w:val="auto"/>
                <w:sz w:val="24"/>
                <w:highlight w:val="none"/>
              </w:rPr>
              <w:t>。</w:t>
            </w:r>
          </w:p>
          <w:p>
            <w:pPr>
              <w:pageBreakBefore w:val="0"/>
              <w:kinsoku/>
              <w:wordWrap/>
              <w:bidi w:val="0"/>
              <w:adjustRightInd w:val="0"/>
              <w:snapToGrid w:val="0"/>
              <w:spacing w:line="360" w:lineRule="auto"/>
              <w:ind w:left="0" w:leftChars="0" w:right="0"/>
              <w:jc w:val="center"/>
              <w:textAlignment w:val="bottom"/>
              <w:rPr>
                <w:rFonts w:hint="default" w:ascii="Times New Roman" w:hAnsi="Times New Roman" w:eastAsia="黑体" w:cs="Times New Roman"/>
                <w:color w:val="auto"/>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19</w:t>
            </w:r>
            <w:r>
              <w:rPr>
                <w:rFonts w:hint="default" w:ascii="Times New Roman" w:hAnsi="Times New Roman" w:eastAsia="黑体" w:cs="Times New Roman"/>
                <w:color w:val="auto"/>
                <w:szCs w:val="21"/>
                <w:highlight w:val="none"/>
              </w:rPr>
              <w:t xml:space="preserve">  建设项</w:t>
            </w:r>
            <w:r>
              <w:rPr>
                <w:rFonts w:hint="default" w:ascii="Times New Roman" w:hAnsi="Times New Roman" w:eastAsia="黑体" w:cs="Times New Roman"/>
                <w:color w:val="auto"/>
                <w:highlight w:val="none"/>
              </w:rPr>
              <w:t>目环境风险简单分析内容表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1475"/>
              <w:gridCol w:w="1700"/>
              <w:gridCol w:w="12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sz w:val="21"/>
                      <w:szCs w:val="21"/>
                      <w:u w:val="none"/>
                      <w:lang w:val="en-GB" w:eastAsia="zh-CN"/>
                    </w:rPr>
                    <w:t>达州中医药职业学院产教融合实训与研究基地项目（一期）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（四川）省</w:t>
                  </w:r>
                </w:p>
              </w:tc>
              <w:tc>
                <w:tcPr>
                  <w:tcW w:w="94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（达州）市</w:t>
                  </w:r>
                </w:p>
              </w:tc>
              <w:tc>
                <w:tcPr>
                  <w:tcW w:w="2076" w:type="pct"/>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eastAsia"/>
                      <w:sz w:val="21"/>
                      <w:szCs w:val="21"/>
                      <w:u w:val="none"/>
                      <w:lang w:eastAsia="zh-CN"/>
                    </w:rPr>
                    <w:t>通川区西南职教园区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right w:val="single" w:color="auto" w:sz="4" w:space="0"/>
                  </w:tcBorders>
                  <w:noWrap w:val="0"/>
                  <w:vAlign w:val="center"/>
                </w:tcPr>
                <w:p>
                  <w:pPr>
                    <w:pageBreakBefore w:val="0"/>
                    <w:kinsoku/>
                    <w:wordWrap/>
                    <w:bidi w:val="0"/>
                    <w:ind w:left="0" w:leftChars="0" w:right="0"/>
                    <w:jc w:val="center"/>
                    <w:rPr>
                      <w:rFonts w:hint="eastAsia" w:ascii="Times New Roman" w:hAnsi="Times New Roman" w:eastAsia="宋体" w:cs="Times New Roman"/>
                      <w:color w:val="auto"/>
                      <w:sz w:val="21"/>
                      <w:szCs w:val="21"/>
                      <w:highlight w:val="none"/>
                      <w:lang w:val="en-US" w:eastAsia="zh-CN"/>
                    </w:rPr>
                  </w:pPr>
                  <w:r>
                    <w:rPr>
                      <w:rFonts w:cs="Calibri"/>
                      <w:szCs w:val="21"/>
                    </w:rPr>
                    <w:t>地理坐标</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94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 w:val="0"/>
                      <w:bCs w:val="0"/>
                      <w:color w:val="auto"/>
                      <w:sz w:val="21"/>
                      <w:szCs w:val="21"/>
                      <w:u w:val="none"/>
                      <w:lang w:val="en-US" w:eastAsia="zh-CN"/>
                    </w:rPr>
                    <w:t>107°32</w:t>
                  </w:r>
                  <w:r>
                    <w:rPr>
                      <w:rFonts w:hint="default" w:ascii="Times New Roman" w:hAnsi="Times New Roman" w:cs="Times New Roman"/>
                      <w:b w:val="0"/>
                      <w:bCs w:val="0"/>
                      <w:color w:val="auto"/>
                      <w:sz w:val="21"/>
                      <w:szCs w:val="21"/>
                      <w:u w:val="none"/>
                    </w:rPr>
                    <w:t xml:space="preserve"> </w:t>
                  </w:r>
                  <w:r>
                    <w:rPr>
                      <w:rFonts w:hint="default" w:ascii="Times New Roman" w:hAnsi="Times New Roman" w:cs="Times New Roman"/>
                      <w:b w:val="0"/>
                      <w:bCs w:val="0"/>
                      <w:color w:val="auto"/>
                      <w:sz w:val="21"/>
                      <w:szCs w:val="21"/>
                      <w:u w:val="none"/>
                      <w:lang w:val="en-US" w:eastAsia="zh-CN"/>
                    </w:rPr>
                    <w:t>′25.868″</w:t>
                  </w:r>
                </w:p>
              </w:tc>
              <w:tc>
                <w:tcPr>
                  <w:tcW w:w="713"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1362"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 w:val="0"/>
                      <w:bCs w:val="0"/>
                      <w:color w:val="auto"/>
                      <w:sz w:val="21"/>
                      <w:szCs w:val="21"/>
                      <w:u w:val="none"/>
                      <w:lang w:val="en-US" w:eastAsia="zh-CN"/>
                    </w:rPr>
                    <w:t>31°16′55.657″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jc w:val="both"/>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实验室</w:t>
                  </w:r>
                  <w:r>
                    <w:rPr>
                      <w:rFonts w:hint="eastAsia" w:cs="Calibri"/>
                      <w:color w:val="auto"/>
                      <w:szCs w:val="21"/>
                    </w:rPr>
                    <w:t>：</w:t>
                  </w:r>
                  <w:r>
                    <w:rPr>
                      <w:rFonts w:hint="eastAsia" w:ascii="Times New Roman" w:hAnsi="Times New Roman" w:cs="Times New Roman"/>
                      <w:color w:val="000000"/>
                      <w:kern w:val="0"/>
                      <w:sz w:val="21"/>
                      <w:szCs w:val="21"/>
                      <w:lang w:val="en-US" w:eastAsia="zh-CN"/>
                    </w:rPr>
                    <w:t>乙醇、</w:t>
                  </w:r>
                  <w:r>
                    <w:rPr>
                      <w:rFonts w:hint="default" w:ascii="Times New Roman" w:hAnsi="Times New Roman" w:eastAsia="宋体" w:cs="Times New Roman"/>
                      <w:i w:val="0"/>
                      <w:iCs w:val="0"/>
                      <w:color w:val="000000"/>
                      <w:kern w:val="0"/>
                      <w:sz w:val="21"/>
                      <w:szCs w:val="21"/>
                      <w:u w:val="none"/>
                      <w:lang w:val="en-US" w:eastAsia="zh-CN" w:bidi="ar"/>
                    </w:rPr>
                    <w:t>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硫酸铵</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color w:val="000000"/>
                      <w:kern w:val="0"/>
                      <w:sz w:val="21"/>
                      <w:szCs w:val="21"/>
                      <w:lang w:val="en-US" w:eastAsia="zh-CN"/>
                    </w:rPr>
                    <w:t>乙酸、</w:t>
                  </w:r>
                  <w:r>
                    <w:rPr>
                      <w:rFonts w:hint="default" w:ascii="Times New Roman" w:hAnsi="Times New Roman" w:eastAsia="宋体" w:cs="Times New Roman"/>
                      <w:i w:val="0"/>
                      <w:iCs w:val="0"/>
                      <w:color w:val="000000"/>
                      <w:kern w:val="0"/>
                      <w:sz w:val="21"/>
                      <w:szCs w:val="21"/>
                      <w:u w:val="none"/>
                      <w:lang w:val="en-US" w:eastAsia="zh-CN" w:bidi="ar"/>
                    </w:rPr>
                    <w:t>磷酸</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（甲醛的水溶液）、苯胺、</w:t>
                  </w:r>
                  <w:r>
                    <w:rPr>
                      <w:rFonts w:hint="default" w:ascii="Times New Roman" w:hAnsi="Times New Roman" w:eastAsia="宋体" w:cs="Times New Roman"/>
                      <w:i w:val="0"/>
                      <w:iCs w:val="0"/>
                      <w:color w:val="000000"/>
                      <w:kern w:val="0"/>
                      <w:sz w:val="21"/>
                      <w:szCs w:val="21"/>
                      <w:u w:val="none"/>
                      <w:lang w:val="en-US" w:eastAsia="zh-CN" w:bidi="ar"/>
                    </w:rPr>
                    <w:t>乙酸乙酯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石油醚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aps w:val="0"/>
                      <w:color w:val="000000"/>
                      <w:spacing w:val="0"/>
                      <w:sz w:val="21"/>
                      <w:szCs w:val="21"/>
                      <w:shd w:val="clear" w:color="auto" w:fill="FFFFFF"/>
                    </w:rPr>
                    <w:t>硝酸</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eastAsia" w:ascii="Times New Roman" w:hAnsi="Times New Roman" w:cs="Times New Roman"/>
                      <w:color w:val="000000"/>
                      <w:kern w:val="0"/>
                      <w:sz w:val="21"/>
                      <w:szCs w:val="21"/>
                      <w:lang w:val="en-US" w:eastAsia="zh-CN"/>
                    </w:rPr>
                    <w:t>盐酸、丁醇</w:t>
                  </w:r>
                  <w:r>
                    <w:rPr>
                      <w:rFonts w:hint="eastAsia" w:cs="Times New Roman"/>
                      <w:color w:val="auto"/>
                      <w:sz w:val="21"/>
                      <w:szCs w:val="21"/>
                      <w:highlight w:val="none"/>
                      <w:lang w:val="en-US" w:eastAsia="zh-CN"/>
                    </w:rPr>
                    <w:t>；发电机房：柴油。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环境影响途径及危害后果（大气、地表水、地下水等）</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cs="Calibri"/>
                      <w:sz w:val="21"/>
                      <w:szCs w:val="21"/>
                    </w:rPr>
                  </w:pPr>
                  <w:r>
                    <w:rPr>
                      <w:rFonts w:hint="eastAsia" w:cs="Calibri"/>
                      <w:sz w:val="21"/>
                      <w:szCs w:val="21"/>
                    </w:rPr>
                    <w:t>地表水环境：</w:t>
                  </w:r>
                  <w:r>
                    <w:rPr>
                      <w:rFonts w:hint="eastAsia" w:ascii="Times New Roman" w:hAnsi="Times New Roman" w:cs="Times New Roman"/>
                      <w:color w:val="000000"/>
                      <w:kern w:val="0"/>
                      <w:sz w:val="21"/>
                      <w:szCs w:val="21"/>
                      <w:lang w:val="en-US" w:eastAsia="zh-CN"/>
                    </w:rPr>
                    <w:t>乙醇、</w:t>
                  </w:r>
                  <w:r>
                    <w:rPr>
                      <w:rFonts w:hint="default" w:ascii="Times New Roman" w:hAnsi="Times New Roman" w:eastAsia="宋体" w:cs="Times New Roman"/>
                      <w:i w:val="0"/>
                      <w:iCs w:val="0"/>
                      <w:color w:val="000000"/>
                      <w:kern w:val="0"/>
                      <w:sz w:val="21"/>
                      <w:szCs w:val="21"/>
                      <w:u w:val="none"/>
                      <w:lang w:val="en-US" w:eastAsia="zh-CN" w:bidi="ar"/>
                    </w:rPr>
                    <w:t>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硫酸铵</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color w:val="000000"/>
                      <w:kern w:val="0"/>
                      <w:sz w:val="21"/>
                      <w:szCs w:val="21"/>
                      <w:lang w:val="en-US" w:eastAsia="zh-CN"/>
                    </w:rPr>
                    <w:t>乙酸、</w:t>
                  </w:r>
                  <w:r>
                    <w:rPr>
                      <w:rFonts w:hint="default" w:ascii="Times New Roman" w:hAnsi="Times New Roman" w:eastAsia="宋体" w:cs="Times New Roman"/>
                      <w:i w:val="0"/>
                      <w:iCs w:val="0"/>
                      <w:color w:val="000000"/>
                      <w:kern w:val="0"/>
                      <w:sz w:val="21"/>
                      <w:szCs w:val="21"/>
                      <w:u w:val="none"/>
                      <w:lang w:val="en-US" w:eastAsia="zh-CN" w:bidi="ar"/>
                    </w:rPr>
                    <w:t>磷酸</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（甲醛的水溶液）、苯胺、</w:t>
                  </w:r>
                  <w:r>
                    <w:rPr>
                      <w:rFonts w:hint="default" w:ascii="Times New Roman" w:hAnsi="Times New Roman" w:eastAsia="宋体" w:cs="Times New Roman"/>
                      <w:i w:val="0"/>
                      <w:iCs w:val="0"/>
                      <w:color w:val="000000"/>
                      <w:kern w:val="0"/>
                      <w:sz w:val="21"/>
                      <w:szCs w:val="21"/>
                      <w:u w:val="none"/>
                      <w:lang w:val="en-US" w:eastAsia="zh-CN" w:bidi="ar"/>
                    </w:rPr>
                    <w:t>乙酸乙酯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石油醚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aps w:val="0"/>
                      <w:color w:val="000000"/>
                      <w:spacing w:val="0"/>
                      <w:sz w:val="21"/>
                      <w:szCs w:val="21"/>
                      <w:shd w:val="clear" w:color="auto" w:fill="FFFFFF"/>
                    </w:rPr>
                    <w:t>硝酸</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eastAsia" w:ascii="Times New Roman" w:hAnsi="Times New Roman" w:cs="Times New Roman"/>
                      <w:color w:val="000000"/>
                      <w:kern w:val="0"/>
                      <w:sz w:val="21"/>
                      <w:szCs w:val="21"/>
                      <w:lang w:val="en-US" w:eastAsia="zh-CN"/>
                    </w:rPr>
                    <w:t>盐酸、丁醇</w:t>
                  </w:r>
                  <w:r>
                    <w:rPr>
                      <w:rFonts w:hint="eastAsia" w:cs="Times New Roman"/>
                      <w:color w:val="auto"/>
                      <w:sz w:val="21"/>
                      <w:szCs w:val="21"/>
                      <w:highlight w:val="none"/>
                      <w:lang w:val="en-US" w:eastAsia="zh-CN"/>
                    </w:rPr>
                    <w:t>、柴油</w:t>
                  </w:r>
                  <w:r>
                    <w:rPr>
                      <w:rFonts w:hint="eastAsia" w:cs="Calibri"/>
                      <w:sz w:val="21"/>
                      <w:szCs w:val="21"/>
                    </w:rPr>
                    <w:t>泄漏通过地表径流或雨水管道进入地表水环境，火灾消防过程废水通过地表径流或雨水管网排入地表水环境；</w:t>
                  </w:r>
                </w:p>
                <w:p>
                  <w:pPr>
                    <w:pageBreakBefore w:val="0"/>
                    <w:kinsoku/>
                    <w:wordWrap/>
                    <w:bidi w:val="0"/>
                    <w:ind w:left="0" w:leftChars="0" w:right="0"/>
                    <w:jc w:val="left"/>
                    <w:rPr>
                      <w:rFonts w:hint="default" w:ascii="Times New Roman" w:hAnsi="Times New Roman" w:cs="Times New Roman"/>
                      <w:color w:val="auto"/>
                      <w:sz w:val="21"/>
                      <w:szCs w:val="21"/>
                      <w:highlight w:val="none"/>
                    </w:rPr>
                  </w:pPr>
                  <w:r>
                    <w:rPr>
                      <w:rFonts w:hint="eastAsia" w:cs="Calibri"/>
                      <w:sz w:val="21"/>
                      <w:szCs w:val="21"/>
                    </w:rPr>
                    <w:t>地下水环境或土壤环境：</w:t>
                  </w:r>
                  <w:r>
                    <w:rPr>
                      <w:rFonts w:hint="eastAsia" w:ascii="Times New Roman" w:hAnsi="Times New Roman" w:cs="Times New Roman"/>
                      <w:color w:val="000000"/>
                      <w:kern w:val="0"/>
                      <w:sz w:val="21"/>
                      <w:szCs w:val="21"/>
                      <w:lang w:val="en-US" w:eastAsia="zh-CN"/>
                    </w:rPr>
                    <w:t>乙醇、</w:t>
                  </w:r>
                  <w:r>
                    <w:rPr>
                      <w:rFonts w:hint="default" w:ascii="Times New Roman" w:hAnsi="Times New Roman" w:eastAsia="宋体" w:cs="Times New Roman"/>
                      <w:i w:val="0"/>
                      <w:iCs w:val="0"/>
                      <w:color w:val="000000"/>
                      <w:kern w:val="0"/>
                      <w:sz w:val="21"/>
                      <w:szCs w:val="21"/>
                      <w:u w:val="none"/>
                      <w:lang w:val="en-US" w:eastAsia="zh-CN" w:bidi="ar"/>
                    </w:rPr>
                    <w:t>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硫酸铵</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color w:val="000000"/>
                      <w:kern w:val="0"/>
                      <w:sz w:val="21"/>
                      <w:szCs w:val="21"/>
                      <w:lang w:val="en-US" w:eastAsia="zh-CN"/>
                    </w:rPr>
                    <w:t>乙酸、</w:t>
                  </w:r>
                  <w:r>
                    <w:rPr>
                      <w:rFonts w:hint="default" w:ascii="Times New Roman" w:hAnsi="Times New Roman" w:eastAsia="宋体" w:cs="Times New Roman"/>
                      <w:i w:val="0"/>
                      <w:iCs w:val="0"/>
                      <w:color w:val="000000"/>
                      <w:kern w:val="0"/>
                      <w:sz w:val="21"/>
                      <w:szCs w:val="21"/>
                      <w:u w:val="none"/>
                      <w:lang w:val="en-US" w:eastAsia="zh-CN" w:bidi="ar"/>
                    </w:rPr>
                    <w:t>磷酸</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（甲醛的水溶液）、苯胺、</w:t>
                  </w:r>
                  <w:r>
                    <w:rPr>
                      <w:rFonts w:hint="default" w:ascii="Times New Roman" w:hAnsi="Times New Roman" w:eastAsia="宋体" w:cs="Times New Roman"/>
                      <w:i w:val="0"/>
                      <w:iCs w:val="0"/>
                      <w:color w:val="000000"/>
                      <w:kern w:val="0"/>
                      <w:sz w:val="21"/>
                      <w:szCs w:val="21"/>
                      <w:u w:val="none"/>
                      <w:lang w:val="en-US" w:eastAsia="zh-CN" w:bidi="ar"/>
                    </w:rPr>
                    <w:t>乙酸乙酯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石油醚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aps w:val="0"/>
                      <w:color w:val="000000"/>
                      <w:spacing w:val="0"/>
                      <w:sz w:val="21"/>
                      <w:szCs w:val="21"/>
                      <w:shd w:val="clear" w:color="auto" w:fill="FFFFFF"/>
                    </w:rPr>
                    <w:t>硝酸</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eastAsia" w:ascii="Times New Roman" w:hAnsi="Times New Roman" w:cs="Times New Roman"/>
                      <w:color w:val="000000"/>
                      <w:kern w:val="0"/>
                      <w:sz w:val="21"/>
                      <w:szCs w:val="21"/>
                      <w:lang w:val="en-US" w:eastAsia="zh-CN"/>
                    </w:rPr>
                    <w:t>盐酸、丁醇</w:t>
                  </w:r>
                  <w:r>
                    <w:rPr>
                      <w:rFonts w:hint="eastAsia" w:cs="Times New Roman"/>
                      <w:color w:val="auto"/>
                      <w:sz w:val="21"/>
                      <w:szCs w:val="21"/>
                      <w:highlight w:val="none"/>
                      <w:lang w:val="en-US" w:eastAsia="zh-CN"/>
                    </w:rPr>
                    <w:t>、柴油</w:t>
                  </w:r>
                  <w:r>
                    <w:rPr>
                      <w:rFonts w:hint="eastAsia" w:cs="Calibri"/>
                      <w:sz w:val="21"/>
                      <w:szCs w:val="21"/>
                    </w:rPr>
                    <w:t>泄漏通过垂直渗透进入地下水环境或土壤环境。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风险防范措施要求</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①</w:t>
                  </w:r>
                  <w:r>
                    <w:rPr>
                      <w:rFonts w:hint="default" w:ascii="Times New Roman" w:hAnsi="Times New Roman" w:eastAsia="宋体" w:cs="Times New Roman"/>
                      <w:sz w:val="21"/>
                      <w:szCs w:val="21"/>
                    </w:rPr>
                    <w:t>存放化学品的场所做好防渗漏措施，避免化学品泄漏至室外。</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②</w:t>
                  </w:r>
                  <w:r>
                    <w:rPr>
                      <w:rFonts w:hint="default" w:ascii="Times New Roman" w:hAnsi="Times New Roman" w:eastAsia="宋体" w:cs="Times New Roman"/>
                      <w:sz w:val="21"/>
                      <w:szCs w:val="21"/>
                    </w:rPr>
                    <w:t>实验室内应设置专用容器分类收集废液，不同种类不同性质的废液应收集在不同的容器内，禁止直接收集在同一容器内，避免发生意外事故</w:t>
                  </w:r>
                  <w:r>
                    <w:rPr>
                      <w:rFonts w:hint="default" w:ascii="Times New Roman" w:hAnsi="Times New Roman" w:eastAsia="宋体" w:cs="Times New Roman"/>
                      <w:sz w:val="21"/>
                      <w:szCs w:val="21"/>
                      <w:lang w:eastAsia="zh-CN"/>
                    </w:rPr>
                    <w:t>。</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③</w:t>
                  </w:r>
                  <w:r>
                    <w:rPr>
                      <w:rFonts w:hint="default" w:ascii="Times New Roman" w:hAnsi="Times New Roman" w:eastAsia="宋体" w:cs="Times New Roman"/>
                      <w:color w:val="auto"/>
                      <w:sz w:val="21"/>
                      <w:szCs w:val="21"/>
                    </w:rPr>
                    <w:t>发电机房设置应急桶，并设置围堰，</w:t>
                  </w:r>
                  <w:r>
                    <w:rPr>
                      <w:rFonts w:hint="default" w:ascii="Times New Roman" w:hAnsi="Times New Roman" w:eastAsia="宋体" w:cs="Times New Roman"/>
                      <w:color w:val="auto"/>
                      <w:sz w:val="21"/>
                      <w:szCs w:val="21"/>
                      <w:lang w:val="en-US" w:eastAsia="zh-CN"/>
                    </w:rPr>
                    <w:t>地面进行重点防渗</w:t>
                  </w:r>
                  <w:r>
                    <w:rPr>
                      <w:rFonts w:hint="default" w:ascii="Times New Roman" w:hAnsi="Times New Roman" w:eastAsia="宋体" w:cs="Times New Roman"/>
                      <w:color w:val="auto"/>
                      <w:sz w:val="21"/>
                      <w:szCs w:val="21"/>
                    </w:rPr>
                    <w:t>。</w:t>
                  </w:r>
                </w:p>
                <w:p>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④危废暂存间</w:t>
                  </w:r>
                  <w:r>
                    <w:rPr>
                      <w:rFonts w:hint="default" w:ascii="Times New Roman" w:hAnsi="Times New Roman" w:eastAsia="宋体" w:cs="Times New Roman"/>
                      <w:sz w:val="21"/>
                      <w:szCs w:val="21"/>
                    </w:rPr>
                    <w:t>各废液容器底部设置金属托盘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地面</w:t>
                  </w:r>
                  <w:r>
                    <w:rPr>
                      <w:rFonts w:hint="default" w:ascii="Times New Roman" w:hAnsi="Times New Roman" w:eastAsia="宋体" w:cs="Times New Roman"/>
                      <w:color w:val="auto"/>
                      <w:sz w:val="21"/>
                      <w:szCs w:val="21"/>
                      <w:lang w:val="en-US" w:eastAsia="zh-CN"/>
                    </w:rPr>
                    <w:t>进行重点防渗。</w:t>
                  </w:r>
                </w:p>
                <w:p>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⑤</w:t>
                  </w:r>
                  <w:r>
                    <w:rPr>
                      <w:rFonts w:hint="default" w:ascii="Times New Roman" w:hAnsi="Times New Roman" w:eastAsia="宋体" w:cs="Times New Roman"/>
                      <w:color w:val="auto"/>
                      <w:sz w:val="21"/>
                      <w:szCs w:val="21"/>
                    </w:rPr>
                    <w:t>加强污水处理设备的检查、维护保养，及时更新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加强废气处理设施及设备的定期检修和维护工作，及时、足量更换活性炭</w:t>
                  </w:r>
                  <w:r>
                    <w:rPr>
                      <w:rFonts w:hint="default" w:ascii="Times New Roman" w:hAnsi="Times New Roman" w:eastAsia="宋体" w:cs="Times New Roman"/>
                      <w:color w:val="auto"/>
                      <w:sz w:val="21"/>
                      <w:szCs w:val="21"/>
                      <w:lang w:eastAsia="zh-CN"/>
                    </w:rPr>
                    <w:t>。</w:t>
                  </w:r>
                </w:p>
                <w:p>
                  <w:pPr>
                    <w:rPr>
                      <w:rFonts w:hint="default" w:ascii="Times New Roman" w:hAnsi="Times New Roman" w:eastAsia="宋体" w:cs="Times New Roman"/>
                      <w:color w:val="auto"/>
                      <w:sz w:val="21"/>
                      <w:szCs w:val="21"/>
                      <w:lang w:val="en-GB" w:eastAsia="zh-CN"/>
                    </w:rPr>
                  </w:pPr>
                  <w:r>
                    <w:rPr>
                      <w:rFonts w:hint="default" w:ascii="Times New Roman" w:hAnsi="Times New Roman" w:eastAsia="宋体" w:cs="Times New Roman"/>
                      <w:b w:val="0"/>
                      <w:bCs/>
                      <w:sz w:val="21"/>
                      <w:szCs w:val="21"/>
                      <w:lang w:val="en-US" w:eastAsia="zh-CN"/>
                    </w:rPr>
                    <w:t>⑥</w:t>
                  </w:r>
                  <w:r>
                    <w:rPr>
                      <w:rFonts w:hint="default" w:ascii="Times New Roman" w:hAnsi="Times New Roman" w:eastAsia="宋体" w:cs="Times New Roman"/>
                      <w:b w:val="0"/>
                      <w:bCs/>
                      <w:sz w:val="21"/>
                      <w:szCs w:val="21"/>
                    </w:rPr>
                    <w:t>加强管理，保证用电、用水、用气等安全，做好消防保证措施</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按照国家规范，合理安排消防交通组织，确保消防扑救面和消防通道的畅通。</w:t>
                  </w:r>
                  <w:r>
                    <w:rPr>
                      <w:rFonts w:hint="default" w:ascii="Times New Roman" w:hAnsi="Times New Roman" w:eastAsia="宋体" w:cs="Times New Roman"/>
                      <w:sz w:val="21"/>
                      <w:szCs w:val="21"/>
                    </w:rPr>
                    <w:t>配备相应数量灭火器</w:t>
                  </w:r>
                  <w:r>
                    <w:rPr>
                      <w:rFonts w:hint="default" w:ascii="Times New Roman" w:hAnsi="Times New Roman" w:eastAsia="宋体" w:cs="Times New Roman"/>
                      <w:sz w:val="21"/>
                      <w:szCs w:val="21"/>
                      <w:lang w:eastAsia="zh-CN"/>
                    </w:rPr>
                    <w:t>。</w:t>
                  </w:r>
                </w:p>
                <w:p>
                  <w:pPr>
                    <w:pageBreakBefore w:val="0"/>
                    <w:kinsoku/>
                    <w:wordWrap/>
                    <w:bidi w:val="0"/>
                    <w:ind w:left="0" w:leftChars="0" w:right="0"/>
                    <w:jc w:val="left"/>
                    <w:rPr>
                      <w:rFonts w:hint="eastAsia" w:ascii="Times New Roman" w:hAnsi="Times New Roman" w:eastAsia="宋体" w:cs="Times New Roman"/>
                      <w:color w:val="auto"/>
                      <w:sz w:val="21"/>
                      <w:szCs w:val="21"/>
                      <w:highlight w:val="none"/>
                      <w:lang w:eastAsia="zh-CN"/>
                    </w:rPr>
                  </w:pPr>
                  <w:r>
                    <w:rPr>
                      <w:rFonts w:hint="eastAsia" w:cs="Calibri"/>
                      <w:sz w:val="21"/>
                      <w:szCs w:val="21"/>
                      <w:lang w:val="en-US" w:eastAsia="zh-CN"/>
                    </w:rPr>
                    <w:t>⑦</w:t>
                  </w:r>
                  <w:r>
                    <w:rPr>
                      <w:rFonts w:hint="default" w:ascii="Times New Roman" w:hAnsi="Times New Roman" w:cs="Times New Roman"/>
                      <w:color w:val="auto"/>
                      <w:sz w:val="21"/>
                      <w:szCs w:val="21"/>
                      <w:highlight w:val="none"/>
                    </w:rPr>
                    <w:t>严格规范化操作、建立必要的预备系统或设备、制定事故及时处理计划、编制应急预案</w:t>
                  </w:r>
                  <w:r>
                    <w:rPr>
                      <w:rFonts w:hint="eastAsia"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pageBreakBefore w:val="0"/>
                    <w:kinsoku/>
                    <w:wordWrap/>
                    <w:bidi w:val="0"/>
                    <w:ind w:left="0" w:leftChars="0" w:right="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填表说明（列出项目相关信息及评价说明）：</w:t>
                  </w:r>
                </w:p>
                <w:p>
                  <w:pPr>
                    <w:pageBreakBefore w:val="0"/>
                    <w:kinsoku/>
                    <w:wordWrap/>
                    <w:bidi w:val="0"/>
                    <w:ind w:left="0" w:leftChars="0" w:right="0"/>
                    <w:jc w:val="left"/>
                    <w:rPr>
                      <w:rFonts w:hint="default" w:ascii="Times New Roman" w:hAnsi="Times New Roman" w:cs="Times New Roman"/>
                      <w:color w:val="auto"/>
                      <w:sz w:val="21"/>
                      <w:szCs w:val="21"/>
                      <w:highlight w:val="none"/>
                    </w:rPr>
                  </w:pPr>
                  <w:r>
                    <w:rPr>
                      <w:rFonts w:hint="eastAsia" w:cs="Calibri"/>
                      <w:sz w:val="21"/>
                      <w:szCs w:val="21"/>
                    </w:rPr>
                    <w:t>本项目主要危险物质为</w:t>
                  </w:r>
                  <w:r>
                    <w:rPr>
                      <w:rFonts w:hint="eastAsia" w:ascii="Times New Roman" w:hAnsi="Times New Roman" w:cs="Times New Roman"/>
                      <w:color w:val="000000"/>
                      <w:kern w:val="0"/>
                      <w:sz w:val="21"/>
                      <w:szCs w:val="21"/>
                      <w:lang w:val="en-US" w:eastAsia="zh-CN"/>
                    </w:rPr>
                    <w:t>乙醇、</w:t>
                  </w:r>
                  <w:r>
                    <w:rPr>
                      <w:rFonts w:hint="default" w:ascii="Times New Roman" w:hAnsi="Times New Roman" w:eastAsia="宋体" w:cs="Times New Roman"/>
                      <w:i w:val="0"/>
                      <w:iCs w:val="0"/>
                      <w:color w:val="000000"/>
                      <w:kern w:val="0"/>
                      <w:sz w:val="21"/>
                      <w:szCs w:val="21"/>
                      <w:u w:val="none"/>
                      <w:lang w:val="en-US" w:eastAsia="zh-CN" w:bidi="ar"/>
                    </w:rPr>
                    <w:t>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硫酸铵</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color w:val="000000"/>
                      <w:kern w:val="0"/>
                      <w:sz w:val="21"/>
                      <w:szCs w:val="21"/>
                      <w:lang w:val="en-US" w:eastAsia="zh-CN"/>
                    </w:rPr>
                    <w:t>乙酸、</w:t>
                  </w:r>
                  <w:r>
                    <w:rPr>
                      <w:rFonts w:hint="default" w:ascii="Times New Roman" w:hAnsi="Times New Roman" w:eastAsia="宋体" w:cs="Times New Roman"/>
                      <w:i w:val="0"/>
                      <w:iCs w:val="0"/>
                      <w:color w:val="000000"/>
                      <w:kern w:val="0"/>
                      <w:sz w:val="21"/>
                      <w:szCs w:val="21"/>
                      <w:u w:val="none"/>
                      <w:lang w:val="en-US" w:eastAsia="zh-CN" w:bidi="ar"/>
                    </w:rPr>
                    <w:t>磷酸</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福尔马林</w:t>
                  </w:r>
                  <w:r>
                    <w:rPr>
                      <w:rFonts w:hint="eastAsia" w:ascii="Times New Roman" w:hAnsi="Times New Roman" w:eastAsia="宋体" w:cs="Times New Roman"/>
                      <w:i w:val="0"/>
                      <w:iCs w:val="0"/>
                      <w:color w:val="000000"/>
                      <w:kern w:val="0"/>
                      <w:sz w:val="21"/>
                      <w:szCs w:val="21"/>
                      <w:u w:val="none"/>
                      <w:lang w:val="en-US" w:eastAsia="zh-CN" w:bidi="ar"/>
                    </w:rPr>
                    <w:t>（甲醛的水溶液）、苯胺、</w:t>
                  </w:r>
                  <w:r>
                    <w:rPr>
                      <w:rFonts w:hint="default" w:ascii="Times New Roman" w:hAnsi="Times New Roman" w:eastAsia="宋体" w:cs="Times New Roman"/>
                      <w:i w:val="0"/>
                      <w:iCs w:val="0"/>
                      <w:color w:val="000000"/>
                      <w:kern w:val="0"/>
                      <w:sz w:val="21"/>
                      <w:szCs w:val="21"/>
                      <w:u w:val="none"/>
                      <w:lang w:val="en-US" w:eastAsia="zh-CN" w:bidi="ar"/>
                    </w:rPr>
                    <w:t>乙酸乙酯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石油醚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aps w:val="0"/>
                      <w:color w:val="000000"/>
                      <w:spacing w:val="0"/>
                      <w:sz w:val="21"/>
                      <w:szCs w:val="21"/>
                      <w:shd w:val="clear" w:color="auto" w:fill="FFFFFF"/>
                    </w:rPr>
                    <w:t>硝酸</w:t>
                  </w:r>
                  <w:r>
                    <w:rPr>
                      <w:rFonts w:hint="eastAsia" w:ascii="Times New Roman" w:hAnsi="Times New Roman" w:eastAsia="宋体" w:cs="Times New Roman"/>
                      <w:i w:val="0"/>
                      <w:iCs w:val="0"/>
                      <w:caps w:val="0"/>
                      <w:color w:val="000000"/>
                      <w:spacing w:val="0"/>
                      <w:sz w:val="21"/>
                      <w:szCs w:val="21"/>
                      <w:shd w:val="clear" w:color="auto" w:fill="FFFFFF"/>
                      <w:lang w:eastAsia="zh-CN"/>
                    </w:rPr>
                    <w:t>、</w:t>
                  </w:r>
                  <w:r>
                    <w:rPr>
                      <w:rFonts w:hint="eastAsia" w:ascii="Times New Roman" w:hAnsi="Times New Roman" w:cs="Times New Roman"/>
                      <w:color w:val="000000"/>
                      <w:kern w:val="0"/>
                      <w:sz w:val="21"/>
                      <w:szCs w:val="21"/>
                      <w:lang w:val="en-US" w:eastAsia="zh-CN"/>
                    </w:rPr>
                    <w:t>盐酸、丁醇、柴油</w:t>
                  </w:r>
                  <w:r>
                    <w:rPr>
                      <w:rFonts w:hint="eastAsia" w:cs="Calibri"/>
                      <w:sz w:val="21"/>
                      <w:szCs w:val="21"/>
                    </w:rPr>
                    <w:t>，分布在</w:t>
                  </w:r>
                  <w:r>
                    <w:rPr>
                      <w:rFonts w:hint="eastAsia" w:cs="Calibri"/>
                      <w:sz w:val="21"/>
                      <w:szCs w:val="21"/>
                      <w:lang w:val="en-US" w:eastAsia="zh-CN"/>
                    </w:rPr>
                    <w:t>实验室、发电机房</w:t>
                  </w:r>
                  <w:r>
                    <w:rPr>
                      <w:rFonts w:hint="eastAsia" w:cs="Calibri"/>
                      <w:sz w:val="21"/>
                      <w:szCs w:val="21"/>
                    </w:rPr>
                    <w:t>，项目环境风险潜势为I，评价等级为简单分析，在落实环评提出的风险防范措施后，环境风险可控。</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pageBreakBefore w:val="0"/>
              <w:kinsoku/>
              <w:wordWrap/>
              <w:bidi w:val="0"/>
              <w:adjustRightInd w:val="0"/>
              <w:snapToGrid w:val="0"/>
              <w:spacing w:line="360" w:lineRule="auto"/>
              <w:ind w:left="0" w:leftChars="0" w:right="0"/>
              <w:textAlignment w:val="bottom"/>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七</w:t>
            </w:r>
            <w:r>
              <w:rPr>
                <w:rFonts w:hint="default" w:ascii="Times New Roman" w:hAnsi="Times New Roman" w:cs="Times New Roman"/>
                <w:b/>
                <w:bCs/>
                <w:color w:val="auto"/>
                <w:sz w:val="24"/>
                <w:szCs w:val="24"/>
                <w:highlight w:val="none"/>
              </w:rPr>
              <w:t>、项目环保措施及投资估算</w:t>
            </w:r>
          </w:p>
          <w:p>
            <w:pPr>
              <w:pageBreakBefore w:val="0"/>
              <w:kinsoku/>
              <w:wordWrap/>
              <w:bidi w:val="0"/>
              <w:adjustRightInd w:val="0"/>
              <w:snapToGrid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本项目总投资</w:t>
            </w:r>
            <w:r>
              <w:rPr>
                <w:rFonts w:hint="eastAsia"/>
                <w:sz w:val="24"/>
                <w:szCs w:val="24"/>
                <w:lang w:val="en-US" w:eastAsia="zh-CN"/>
              </w:rPr>
              <w:t>251604.9</w:t>
            </w:r>
            <w:r>
              <w:rPr>
                <w:rFonts w:hint="default" w:ascii="Times New Roman" w:hAnsi="Times New Roman" w:cs="Times New Roman"/>
                <w:color w:val="auto"/>
                <w:sz w:val="24"/>
                <w:szCs w:val="24"/>
                <w:highlight w:val="none"/>
              </w:rPr>
              <w:t>万元，环保投资</w:t>
            </w:r>
            <w:r>
              <w:rPr>
                <w:rFonts w:hint="eastAsia" w:cs="Times New Roman"/>
                <w:color w:val="auto"/>
                <w:sz w:val="24"/>
                <w:szCs w:val="24"/>
                <w:highlight w:val="none"/>
                <w:lang w:val="en-US" w:eastAsia="zh-CN"/>
              </w:rPr>
              <w:t>208</w:t>
            </w:r>
            <w:r>
              <w:rPr>
                <w:rFonts w:hint="default" w:ascii="Times New Roman" w:hAnsi="Times New Roman" w:cs="Times New Roman"/>
                <w:color w:val="auto"/>
                <w:sz w:val="24"/>
                <w:szCs w:val="24"/>
                <w:highlight w:val="none"/>
              </w:rPr>
              <w:t>万元，占工程总投资的</w:t>
            </w:r>
            <w:r>
              <w:rPr>
                <w:rFonts w:hint="eastAsia" w:cs="Times New Roman"/>
                <w:color w:val="auto"/>
                <w:sz w:val="24"/>
                <w:szCs w:val="24"/>
                <w:highlight w:val="none"/>
                <w:lang w:val="en-US" w:eastAsia="zh-CN"/>
              </w:rPr>
              <w:t>0.083</w:t>
            </w:r>
            <w:r>
              <w:rPr>
                <w:rFonts w:hint="default" w:ascii="Times New Roman" w:hAnsi="Times New Roman" w:cs="Times New Roman"/>
                <w:color w:val="auto"/>
                <w:sz w:val="24"/>
                <w:szCs w:val="24"/>
                <w:highlight w:val="none"/>
              </w:rPr>
              <w:t>%。其环保措施及投资额基本合理。项目环保投资及其建设内容见下表。</w:t>
            </w:r>
          </w:p>
          <w:p>
            <w:pPr>
              <w:pageBreakBefore w:val="0"/>
              <w:kinsoku/>
              <w:wordWrap/>
              <w:bidi w:val="0"/>
              <w:spacing w:line="360" w:lineRule="auto"/>
              <w:ind w:left="0" w:leftChars="0" w:right="0"/>
              <w:jc w:val="center"/>
              <w:rPr>
                <w:rFonts w:hint="default" w:ascii="Times New Roman" w:hAnsi="Times New Roman" w:eastAsia="黑体" w:cs="Times New Roman"/>
                <w:color w:val="auto"/>
                <w:szCs w:val="21"/>
                <w:highlight w:val="none"/>
                <w:lang w:val="zh-CN"/>
              </w:rPr>
            </w:pPr>
            <w:r>
              <w:rPr>
                <w:rFonts w:hint="default" w:ascii="Times New Roman" w:hAnsi="Times New Roman" w:eastAsia="黑体" w:cs="Times New Roman"/>
                <w:color w:val="auto"/>
                <w:szCs w:val="21"/>
                <w:highlight w:val="none"/>
              </w:rPr>
              <w:t>表4-</w:t>
            </w:r>
            <w:r>
              <w:rPr>
                <w:rFonts w:hint="eastAsia" w:ascii="Times New Roman" w:hAnsi="Times New Roman" w:eastAsia="黑体" w:cs="Times New Roman"/>
                <w:color w:val="auto"/>
                <w:szCs w:val="21"/>
                <w:highlight w:val="none"/>
                <w:lang w:val="en-US" w:eastAsia="zh-CN"/>
              </w:rPr>
              <w:t>20</w:t>
            </w:r>
            <w:r>
              <w:rPr>
                <w:rFonts w:hint="default" w:ascii="Times New Roman" w:hAnsi="Times New Roman" w:eastAsia="黑体" w:cs="Times New Roman"/>
                <w:color w:val="auto"/>
                <w:szCs w:val="21"/>
                <w:highlight w:val="none"/>
              </w:rPr>
              <w:t xml:space="preserve">  </w:t>
            </w:r>
            <w:r>
              <w:rPr>
                <w:rFonts w:hint="default" w:ascii="Times New Roman" w:hAnsi="Times New Roman" w:eastAsia="黑体" w:cs="Times New Roman"/>
                <w:color w:val="auto"/>
                <w:szCs w:val="21"/>
                <w:highlight w:val="none"/>
                <w:lang w:val="zh-CN"/>
              </w:rPr>
              <w:t>工程环保设施（措施）及投资估算一览表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18"/>
              <w:gridCol w:w="1305"/>
              <w:gridCol w:w="4131"/>
              <w:gridCol w:w="855"/>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时段</w:t>
                  </w:r>
                </w:p>
              </w:tc>
              <w:tc>
                <w:tcPr>
                  <w:tcW w:w="818"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污染物内容</w:t>
                  </w:r>
                </w:p>
              </w:tc>
              <w:tc>
                <w:tcPr>
                  <w:tcW w:w="4131"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采取措施</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投资估算（万元）</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restart"/>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818"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4131"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rPr>
                    <w:t>利用周边公共生活设施，由已建预处理池处理达《污水综合排放标准》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GB8978-1996</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中三级标准后排入市政污水管网。</w:t>
                  </w:r>
                  <w:r>
                    <w:rPr>
                      <w:rFonts w:cs="Times New Roman"/>
                      <w:sz w:val="21"/>
                      <w:szCs w:val="21"/>
                    </w:rPr>
                    <w:t>施工场地设置排水沟（沟宽×深≥300×300mm，排水坡度应大于3%）和三级沉淀池（池体容积≥4m³），</w:t>
                  </w:r>
                  <w:r>
                    <w:rPr>
                      <w:rFonts w:hint="eastAsia" w:cs="Times New Roman"/>
                      <w:sz w:val="21"/>
                      <w:szCs w:val="21"/>
                      <w:lang w:val="en-US" w:eastAsia="zh-CN"/>
                    </w:rPr>
                    <w:t>施工</w:t>
                  </w:r>
                  <w:r>
                    <w:rPr>
                      <w:rFonts w:cs="Times New Roman"/>
                      <w:sz w:val="21"/>
                      <w:szCs w:val="21"/>
                    </w:rPr>
                    <w:t>废水经沉淀处理后全部回用</w:t>
                  </w:r>
                  <w:r>
                    <w:rPr>
                      <w:rFonts w:cs="Times New Roman"/>
                      <w:sz w:val="24"/>
                      <w:szCs w:val="24"/>
                    </w:rPr>
                    <w:t>。</w:t>
                  </w:r>
                  <w:r>
                    <w:rPr>
                      <w:rFonts w:hint="default" w:ascii="Times New Roman" w:hAnsi="Times New Roman" w:eastAsia="宋体" w:cs="Times New Roman"/>
                      <w:color w:val="000000"/>
                      <w:kern w:val="0"/>
                      <w:sz w:val="21"/>
                      <w:szCs w:val="21"/>
                      <w:lang w:val="en-US" w:eastAsia="zh-CN" w:bidi="ar"/>
                    </w:rPr>
                    <w:t>车辆冲洗废水经</w:t>
                  </w:r>
                  <w:r>
                    <w:rPr>
                      <w:rFonts w:hint="eastAsia" w:ascii="Times New Roman" w:hAnsi="Times New Roman" w:eastAsia="宋体" w:cs="Times New Roman"/>
                      <w:color w:val="000000"/>
                      <w:kern w:val="0"/>
                      <w:sz w:val="21"/>
                      <w:szCs w:val="21"/>
                      <w:lang w:val="en-US" w:eastAsia="zh-CN" w:bidi="ar"/>
                    </w:rPr>
                    <w:t>隔油</w:t>
                  </w:r>
                  <w:r>
                    <w:rPr>
                      <w:rFonts w:hint="default" w:ascii="Times New Roman" w:hAnsi="Times New Roman" w:eastAsia="宋体" w:cs="Times New Roman"/>
                      <w:color w:val="000000"/>
                      <w:kern w:val="0"/>
                      <w:sz w:val="21"/>
                      <w:szCs w:val="21"/>
                      <w:lang w:val="en-US" w:eastAsia="zh-CN" w:bidi="ar"/>
                    </w:rPr>
                    <w:t>沉淀处理后回用</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依托/</w:t>
                  </w: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扬尘防护</w:t>
                  </w:r>
                </w:p>
              </w:tc>
              <w:tc>
                <w:tcPr>
                  <w:tcW w:w="4131" w:type="dxa"/>
                  <w:noWrap w:val="0"/>
                  <w:vAlign w:val="center"/>
                </w:tcPr>
                <w:p>
                  <w:pPr>
                    <w:pStyle w:val="8"/>
                    <w:jc w:val="center"/>
                    <w:rPr>
                      <w:rFonts w:hint="default" w:ascii="Times New Roman" w:hAnsi="Times New Roman" w:cs="Times New Roman"/>
                      <w:color w:val="auto"/>
                      <w:sz w:val="21"/>
                      <w:szCs w:val="21"/>
                      <w:highlight w:val="none"/>
                    </w:rPr>
                  </w:pPr>
                  <w:r>
                    <w:rPr>
                      <w:rFonts w:hint="eastAsia" w:eastAsia="宋体"/>
                      <w:sz w:val="21"/>
                      <w:szCs w:val="21"/>
                    </w:rPr>
                    <w:t>施工现场设不低于2.5m高封闭围挡、设置雾状喷淋，</w:t>
                  </w:r>
                  <w:r>
                    <w:rPr>
                      <w:rFonts w:hint="eastAsia"/>
                      <w:sz w:val="21"/>
                      <w:szCs w:val="21"/>
                    </w:rPr>
                    <w:t>使用商品混凝土，现场</w:t>
                  </w:r>
                  <w:r>
                    <w:rPr>
                      <w:rFonts w:hint="eastAsia"/>
                      <w:sz w:val="21"/>
                      <w:szCs w:val="21"/>
                      <w:lang w:val="en-US" w:eastAsia="zh-CN"/>
                    </w:rPr>
                    <w:t>不</w:t>
                  </w:r>
                  <w:r>
                    <w:rPr>
                      <w:rFonts w:hint="eastAsia"/>
                      <w:sz w:val="21"/>
                      <w:szCs w:val="21"/>
                    </w:rPr>
                    <w:t>进行混凝土拌合</w:t>
                  </w:r>
                  <w:r>
                    <w:rPr>
                      <w:rFonts w:hint="eastAsia"/>
                      <w:sz w:val="21"/>
                      <w:szCs w:val="21"/>
                      <w:lang w:eastAsia="zh-CN"/>
                    </w:rPr>
                    <w:t>、</w:t>
                  </w:r>
                  <w:r>
                    <w:rPr>
                      <w:rFonts w:hint="eastAsia" w:eastAsia="宋体"/>
                      <w:sz w:val="21"/>
                      <w:szCs w:val="21"/>
                    </w:rPr>
                    <w:t>主要道路硬化、</w:t>
                  </w:r>
                  <w:r>
                    <w:rPr>
                      <w:rFonts w:hint="eastAsia" w:eastAsia="宋体"/>
                      <w:sz w:val="21"/>
                      <w:szCs w:val="21"/>
                      <w:lang w:val="en-US" w:eastAsia="zh-CN"/>
                    </w:rPr>
                    <w:t>设</w:t>
                  </w:r>
                  <w:r>
                    <w:rPr>
                      <w:rFonts w:hint="eastAsia" w:ascii="Times New Roman" w:hAnsi="Times New Roman" w:eastAsia="宋体" w:cs="Times New Roman"/>
                      <w:b w:val="0"/>
                      <w:bCs w:val="0"/>
                      <w:color w:val="000000"/>
                      <w:kern w:val="0"/>
                      <w:sz w:val="21"/>
                      <w:szCs w:val="21"/>
                      <w:lang w:val="en-US" w:eastAsia="zh-CN" w:bidi="ar"/>
                    </w:rPr>
                    <w:t>车辆冲洗平台、</w:t>
                  </w:r>
                  <w:r>
                    <w:rPr>
                      <w:rFonts w:hint="eastAsia" w:eastAsia="宋体"/>
                      <w:sz w:val="21"/>
                      <w:szCs w:val="21"/>
                      <w:lang w:val="en-US" w:eastAsia="zh-CN"/>
                    </w:rPr>
                    <w:t>设</w:t>
                  </w:r>
                  <w:r>
                    <w:rPr>
                      <w:rFonts w:hint="eastAsia" w:eastAsia="宋体"/>
                      <w:sz w:val="21"/>
                      <w:szCs w:val="21"/>
                    </w:rPr>
                    <w:t>高压冲洗设施</w:t>
                  </w:r>
                  <w:r>
                    <w:rPr>
                      <w:rFonts w:hint="eastAsia" w:eastAsia="宋体"/>
                      <w:sz w:val="21"/>
                      <w:szCs w:val="21"/>
                      <w:lang w:eastAsia="zh-CN"/>
                    </w:rPr>
                    <w:t>、</w:t>
                  </w:r>
                  <w:r>
                    <w:rPr>
                      <w:rFonts w:hint="eastAsia" w:eastAsia="宋体"/>
                      <w:sz w:val="21"/>
                      <w:szCs w:val="21"/>
                    </w:rPr>
                    <w:t>车辆密闭运输</w:t>
                  </w:r>
                  <w:r>
                    <w:rPr>
                      <w:rFonts w:hint="default" w:ascii="Times New Roman" w:hAnsi="Times New Roman" w:cs="Times New Roman"/>
                      <w:bCs/>
                      <w:color w:val="auto"/>
                      <w:sz w:val="21"/>
                      <w:szCs w:val="21"/>
                      <w:highlight w:val="none"/>
                      <w:lang w:bidi="ar"/>
                    </w:rPr>
                    <w:t>、及时清扫路面尘土、对裸露地面</w:t>
                  </w:r>
                  <w:r>
                    <w:rPr>
                      <w:rFonts w:hint="eastAsia" w:eastAsia="宋体" w:cs="Times New Roman"/>
                      <w:bCs/>
                      <w:color w:val="auto"/>
                      <w:sz w:val="21"/>
                      <w:szCs w:val="21"/>
                      <w:highlight w:val="none"/>
                      <w:lang w:val="en-US" w:eastAsia="zh-CN" w:bidi="ar"/>
                    </w:rPr>
                    <w:t>临时堆场</w:t>
                  </w:r>
                  <w:r>
                    <w:rPr>
                      <w:rFonts w:hint="default" w:ascii="Times New Roman" w:hAnsi="Times New Roman" w:cs="Times New Roman"/>
                      <w:bCs/>
                      <w:color w:val="auto"/>
                      <w:sz w:val="21"/>
                      <w:szCs w:val="21"/>
                      <w:highlight w:val="none"/>
                      <w:lang w:bidi="ar"/>
                    </w:rPr>
                    <w:t>覆盖防尘布或防尘网等</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4131"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合理安排施工计划，加强管理，封闭施工现场等，禁止夜间施工</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固体废物处置</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施工固废</w:t>
                  </w:r>
                </w:p>
              </w:tc>
              <w:tc>
                <w:tcPr>
                  <w:tcW w:w="4131" w:type="dxa"/>
                  <w:noWrap w:val="0"/>
                  <w:vAlign w:val="center"/>
                </w:tcPr>
                <w:p>
                  <w:pPr>
                    <w:pageBreakBefore w:val="0"/>
                    <w:kinsoku/>
                    <w:wordWrap/>
                    <w:bidi w:val="0"/>
                    <w:adjustRightInd w:val="0"/>
                    <w:snapToGrid w:val="0"/>
                    <w:ind w:left="0" w:leftChars="0" w:right="0"/>
                    <w:jc w:val="center"/>
                    <w:rPr>
                      <w:rFonts w:hint="eastAsia" w:ascii="Times New Roman" w:hAnsi="Times New Roman" w:eastAsia="宋体" w:cs="Times New Roman"/>
                      <w:color w:val="auto"/>
                      <w:sz w:val="21"/>
                      <w:szCs w:val="21"/>
                      <w:highlight w:val="none"/>
                      <w:lang w:eastAsia="zh-CN"/>
                    </w:rPr>
                  </w:pPr>
                  <w:r>
                    <w:rPr>
                      <w:rFonts w:hint="eastAsia" w:eastAsia="宋体"/>
                      <w:sz w:val="21"/>
                      <w:szCs w:val="21"/>
                    </w:rPr>
                    <w:t>开</w:t>
                  </w:r>
                  <w:r>
                    <w:rPr>
                      <w:rFonts w:hint="eastAsia" w:ascii="Times New Roman" w:hAnsi="Times New Roman" w:eastAsia="宋体" w:cs="Times New Roman"/>
                      <w:color w:val="auto"/>
                      <w:sz w:val="21"/>
                      <w:szCs w:val="21"/>
                      <w:highlight w:val="none"/>
                      <w:lang w:val="en-US" w:eastAsia="zh-CN"/>
                    </w:rPr>
                    <w:t>挖土石方及时回填、覆土；淤泥直接密闭吸入专门罐车进行密闭运输至当地农业合作社、家庭农场等资源化利用于果树、苗圃等种植，日产日清，不在施工区存放；</w:t>
                  </w:r>
                  <w:r>
                    <w:rPr>
                      <w:rFonts w:hint="default" w:ascii="Times New Roman" w:hAnsi="Times New Roman" w:eastAsia="宋体" w:cs="Times New Roman"/>
                      <w:color w:val="auto"/>
                      <w:sz w:val="21"/>
                      <w:szCs w:val="21"/>
                      <w:highlight w:val="none"/>
                      <w:lang w:val="en-US" w:eastAsia="zh-CN"/>
                    </w:rPr>
                    <w:t>建筑垃圾</w:t>
                  </w:r>
                  <w:r>
                    <w:rPr>
                      <w:rFonts w:hint="eastAsia" w:ascii="Times New Roman" w:hAnsi="Times New Roman" w:eastAsia="宋体" w:cs="Times New Roman"/>
                      <w:color w:val="auto"/>
                      <w:sz w:val="21"/>
                      <w:szCs w:val="21"/>
                      <w:highlight w:val="none"/>
                      <w:lang w:val="en-US" w:eastAsia="zh-CN"/>
                    </w:rPr>
                    <w:t>分类处理</w:t>
                  </w:r>
                  <w:r>
                    <w:rPr>
                      <w:rFonts w:hint="eastAsia" w:cs="Times New Roman"/>
                      <w:color w:val="auto"/>
                      <w:sz w:val="21"/>
                      <w:szCs w:val="21"/>
                      <w:highlight w:val="none"/>
                      <w:lang w:val="en-US" w:eastAsia="zh-CN"/>
                    </w:rPr>
                    <w:t>，不能回收的</w:t>
                  </w:r>
                  <w:r>
                    <w:rPr>
                      <w:rFonts w:hint="default" w:ascii="Times New Roman" w:hAnsi="Times New Roman" w:cs="Times New Roman"/>
                      <w:color w:val="auto"/>
                      <w:sz w:val="21"/>
                      <w:szCs w:val="21"/>
                      <w:highlight w:val="none"/>
                    </w:rPr>
                    <w:t>运至建筑垃圾处置场；</w:t>
                  </w:r>
                  <w:r>
                    <w:rPr>
                      <w:rFonts w:hint="default" w:cs="Times New Roman"/>
                      <w:color w:val="auto"/>
                      <w:sz w:val="21"/>
                      <w:szCs w:val="21"/>
                      <w:highlight w:val="none"/>
                      <w:lang w:val="en-US" w:eastAsia="zh-CN"/>
                    </w:rPr>
                    <w:t>生活垃圾由</w:t>
                  </w:r>
                  <w:r>
                    <w:rPr>
                      <w:rFonts w:hint="default" w:ascii="Times New Roman" w:hAnsi="Times New Roman" w:cs="Times New Roman"/>
                      <w:color w:val="auto"/>
                      <w:sz w:val="21"/>
                      <w:szCs w:val="21"/>
                      <w:highlight w:val="none"/>
                    </w:rPr>
                    <w:t>环卫部门统一处理</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2123" w:type="dxa"/>
                  <w:gridSpan w:val="2"/>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水土防治措施</w:t>
                  </w:r>
                </w:p>
              </w:tc>
              <w:tc>
                <w:tcPr>
                  <w:tcW w:w="4131"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在施工作业带建排水沟，防止雨水冲刷场地，并在排水沟出口设沉淀池，使雨水经沉淀池沉清后回用</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restart"/>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818" w:type="dxa"/>
                  <w:vMerge w:val="restart"/>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废水</w:t>
                  </w:r>
                  <w:r>
                    <w:rPr>
                      <w:rFonts w:hint="default" w:ascii="Times New Roman" w:hAnsi="Times New Roman" w:cs="Times New Roman"/>
                      <w:color w:val="auto"/>
                      <w:sz w:val="21"/>
                      <w:szCs w:val="21"/>
                      <w:highlight w:val="none"/>
                    </w:rPr>
                    <w:t>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iCs/>
                      <w:snapToGrid w:val="0"/>
                      <w:color w:val="auto"/>
                      <w:kern w:val="0"/>
                      <w:sz w:val="21"/>
                      <w:szCs w:val="21"/>
                      <w:highlight w:val="none"/>
                      <w:lang w:val="en-US" w:eastAsia="zh-CN"/>
                    </w:rPr>
                  </w:pPr>
                  <w:r>
                    <w:rPr>
                      <w:rFonts w:hint="eastAsia" w:cs="Times New Roman"/>
                      <w:iCs/>
                      <w:snapToGrid w:val="0"/>
                      <w:color w:val="auto"/>
                      <w:kern w:val="0"/>
                      <w:sz w:val="21"/>
                      <w:szCs w:val="21"/>
                      <w:highlight w:val="none"/>
                      <w:lang w:val="en-US" w:eastAsia="zh-CN"/>
                    </w:rPr>
                    <w:t>生活污水</w:t>
                  </w:r>
                </w:p>
              </w:tc>
              <w:tc>
                <w:tcPr>
                  <w:tcW w:w="4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b w:val="0"/>
                      <w:bCs w:val="0"/>
                      <w:color w:val="000000"/>
                      <w:kern w:val="0"/>
                      <w:sz w:val="21"/>
                      <w:szCs w:val="21"/>
                      <w:lang w:val="en-US" w:eastAsia="zh-CN" w:bidi="ar"/>
                    </w:rPr>
                    <w:t>在学生宿舍楼、博物馆、实训教学楼东南侧人员活动频繁的建筑物附近建设化粪池共4个，总有效容积不小于1400m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，生活污水经化粪池预处理达《污水综合排放标准》（GB8978-1996）中三级排放标准后排入西南侧道路下已建的市政污水管网，最终进入</w:t>
                  </w:r>
                  <w:r>
                    <w:rPr>
                      <w:rFonts w:hint="default" w:ascii="Times New Roman" w:hAnsi="Times New Roman" w:eastAsia="宋体" w:cs="Times New Roman"/>
                      <w:color w:val="000000"/>
                      <w:kern w:val="0"/>
                      <w:sz w:val="21"/>
                      <w:szCs w:val="21"/>
                      <w:lang w:val="en-US" w:eastAsia="zh-CN" w:bidi="ar"/>
                    </w:rPr>
                    <w:t>达州市第二</w:t>
                  </w:r>
                  <w:r>
                    <w:rPr>
                      <w:rFonts w:hint="eastAsia" w:ascii="Times New Roman" w:hAnsi="Times New Roman" w:eastAsia="宋体" w:cs="Times New Roman"/>
                      <w:color w:val="000000"/>
                      <w:kern w:val="0"/>
                      <w:sz w:val="21"/>
                      <w:szCs w:val="21"/>
                      <w:lang w:val="en-US" w:eastAsia="zh-CN" w:bidi="ar"/>
                    </w:rPr>
                    <w:t>城市生活</w:t>
                  </w:r>
                  <w:r>
                    <w:rPr>
                      <w:rFonts w:hint="default" w:ascii="Times New Roman" w:hAnsi="Times New Roman" w:eastAsia="宋体" w:cs="Times New Roman"/>
                      <w:color w:val="000000"/>
                      <w:kern w:val="0"/>
                      <w:sz w:val="21"/>
                      <w:szCs w:val="21"/>
                      <w:lang w:val="en-US" w:eastAsia="zh-CN" w:bidi="ar"/>
                    </w:rPr>
                    <w:t>污水处理厂</w:t>
                  </w:r>
                  <w:r>
                    <w:rPr>
                      <w:rFonts w:hint="eastAsia" w:ascii="Times New Roman" w:hAnsi="Times New Roman" w:eastAsia="宋体" w:cs="Times New Roman"/>
                      <w:color w:val="000000"/>
                      <w:kern w:val="0"/>
                      <w:sz w:val="21"/>
                      <w:szCs w:val="21"/>
                      <w:lang w:val="en-US" w:eastAsia="zh-CN" w:bidi="ar"/>
                    </w:rPr>
                    <w:t>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40.5</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食堂废水</w:t>
                  </w:r>
                </w:p>
              </w:tc>
              <w:tc>
                <w:tcPr>
                  <w:tcW w:w="4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b w:val="0"/>
                      <w:bCs w:val="0"/>
                      <w:color w:val="000000"/>
                      <w:kern w:val="0"/>
                      <w:sz w:val="21"/>
                      <w:szCs w:val="21"/>
                      <w:lang w:val="en-US" w:eastAsia="zh-CN" w:bidi="ar"/>
                    </w:rPr>
                    <w:t>在食堂北侧建设1个有效容积不小于10m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隔油池，食堂废水经隔油处理后排入化粪池与生活污水一同处理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
                    </w:rPr>
                    <w:t>实验废水</w:t>
                  </w:r>
                </w:p>
              </w:tc>
              <w:tc>
                <w:tcPr>
                  <w:tcW w:w="4131" w:type="dxa"/>
                  <w:noWrap w:val="0"/>
                  <w:vAlign w:val="center"/>
                </w:tcPr>
                <w:p>
                  <w:pPr>
                    <w:pStyle w:val="73"/>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bottom"/>
                    <w:rPr>
                      <w:rFonts w:hint="eastAsia"/>
                      <w:color w:val="auto"/>
                      <w:kern w:val="24"/>
                      <w:sz w:val="21"/>
                      <w:szCs w:val="21"/>
                      <w:lang w:val="en-US" w:eastAsia="zh-CN"/>
                    </w:rPr>
                  </w:pPr>
                  <w:r>
                    <w:rPr>
                      <w:rFonts w:hint="eastAsia" w:ascii="Times New Roman" w:hAnsi="Times New Roman" w:eastAsia="宋体" w:cs="Times New Roman"/>
                      <w:b w:val="0"/>
                      <w:bCs w:val="0"/>
                      <w:color w:val="000000"/>
                      <w:kern w:val="0"/>
                      <w:sz w:val="21"/>
                      <w:szCs w:val="21"/>
                      <w:lang w:val="en-US" w:eastAsia="zh-CN" w:bidi="ar"/>
                    </w:rPr>
                    <w:t>在实训中心西侧建设1个4m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酸碱中和池，实验废水经中和处置至pH值中性后，经专用管道排入化粪池与生活污水一同处理</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824" w:type="dxa"/>
                  <w:noWrap w:val="0"/>
                  <w:vAlign w:val="center"/>
                </w:tcPr>
                <w:p>
                  <w:pPr>
                    <w:pageBreakBefore w:val="0"/>
                    <w:kinsoku/>
                    <w:wordWrap/>
                    <w:bidi w:val="0"/>
                    <w:adjustRightInd w:val="0"/>
                    <w:snapToGrid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restart"/>
                  <w:noWrap w:val="0"/>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实验室废气</w:t>
                  </w:r>
                </w:p>
              </w:tc>
              <w:tc>
                <w:tcPr>
                  <w:tcW w:w="4131" w:type="dxa"/>
                  <w:noWrap w:val="0"/>
                  <w:vAlign w:val="center"/>
                </w:tcPr>
                <w:p>
                  <w:pPr>
                    <w:keepNext w:val="0"/>
                    <w:keepLines w:val="0"/>
                    <w:widowControl/>
                    <w:suppressLineNumbers w:val="0"/>
                    <w:jc w:val="center"/>
                    <w:rPr>
                      <w:rFonts w:hint="default" w:ascii="Times New Roman" w:hAnsi="Times New Roman" w:cs="Times New Roman"/>
                      <w:color w:val="auto"/>
                      <w:sz w:val="21"/>
                      <w:szCs w:val="21"/>
                      <w:highlight w:val="none"/>
                      <w:lang w:val="en-US" w:bidi="ar"/>
                    </w:rPr>
                  </w:pPr>
                  <w:r>
                    <w:rPr>
                      <w:rFonts w:hint="eastAsia" w:ascii="Times New Roman" w:hAnsi="Times New Roman" w:eastAsia="宋体" w:cs="Times New Roman"/>
                      <w:b w:val="0"/>
                      <w:bCs w:val="0"/>
                      <w:color w:val="auto"/>
                      <w:kern w:val="0"/>
                      <w:sz w:val="21"/>
                      <w:szCs w:val="21"/>
                      <w:lang w:val="en-US" w:eastAsia="zh-CN" w:bidi="ar"/>
                    </w:rPr>
                    <w:t>实验室采用机械抽风，实验废气经通风橱收集，</w:t>
                  </w: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）排放</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824" w:type="dxa"/>
                  <w:noWrap w:val="0"/>
                  <w:vAlign w:val="center"/>
                </w:tcPr>
                <w:p>
                  <w:pPr>
                    <w:pageBreakBefore w:val="0"/>
                    <w:kinsoku/>
                    <w:wordWrap/>
                    <w:bidi w:val="0"/>
                    <w:adjustRightInd w:val="0"/>
                    <w:snapToGrid w:val="0"/>
                    <w:ind w:left="0" w:leftChars="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食堂油烟</w:t>
                  </w:r>
                </w:p>
              </w:tc>
              <w:tc>
                <w:tcPr>
                  <w:tcW w:w="4131"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安装油烟净化器处理后，经专用管道引至屋顶</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）排放</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824" w:type="dxa"/>
                  <w:noWrap w:val="0"/>
                  <w:vAlign w:val="center"/>
                </w:tcPr>
                <w:p>
                  <w:pPr>
                    <w:pageBreakBefore w:val="0"/>
                    <w:kinsoku/>
                    <w:wordWrap/>
                    <w:bidi w:val="0"/>
                    <w:adjustRightInd w:val="0"/>
                    <w:snapToGrid w:val="0"/>
                    <w:ind w:left="0" w:leftChars="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汽车尾气</w:t>
                  </w:r>
                </w:p>
              </w:tc>
              <w:tc>
                <w:tcPr>
                  <w:tcW w:w="4131"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cs="Times New Roman"/>
                      <w:color w:val="auto"/>
                      <w:sz w:val="21"/>
                      <w:szCs w:val="21"/>
                    </w:rPr>
                    <w:t>汽车尾气产生量较小，通过自然扩散，对环境影响较小</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4" w:type="dxa"/>
                  <w:noWrap w:val="0"/>
                  <w:vAlign w:val="center"/>
                </w:tcPr>
                <w:p>
                  <w:pPr>
                    <w:pageBreakBefore w:val="0"/>
                    <w:kinsoku/>
                    <w:wordWrap/>
                    <w:bidi w:val="0"/>
                    <w:adjustRightInd w:val="0"/>
                    <w:snapToGrid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柴油发电机废气</w:t>
                  </w:r>
                </w:p>
              </w:tc>
              <w:tc>
                <w:tcPr>
                  <w:tcW w:w="4131"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采用机械送、排风的形式保持良好的通风性，柴油发电机排放的废气</w:t>
                  </w: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24" w:type="dxa"/>
                  <w:noWrap w:val="0"/>
                  <w:vAlign w:val="center"/>
                </w:tcPr>
                <w:p>
                  <w:pPr>
                    <w:pageBreakBefore w:val="0"/>
                    <w:kinsoku/>
                    <w:wordWrap/>
                    <w:bidi w:val="0"/>
                    <w:adjustRightInd w:val="0"/>
                    <w:snapToGrid w:val="0"/>
                    <w:ind w:left="0" w:leftChars="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垃圾收集点恶臭</w:t>
                  </w:r>
                </w:p>
              </w:tc>
              <w:tc>
                <w:tcPr>
                  <w:tcW w:w="4131"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密闭设置，垃圾应分类投放、日产日清，专人负责清理和喷洒消毒药水</w:t>
                  </w:r>
                </w:p>
              </w:tc>
              <w:tc>
                <w:tcPr>
                  <w:tcW w:w="855" w:type="dxa"/>
                  <w:noWrap w:val="0"/>
                  <w:tcMar>
                    <w:left w:w="0" w:type="dxa"/>
                    <w:right w:w="0" w:type="dxa"/>
                  </w:tcMar>
                  <w:vAlign w:val="center"/>
                </w:tcPr>
                <w:p>
                  <w:pPr>
                    <w:pageBreakBefore w:val="0"/>
                    <w:kinsoku/>
                    <w:wordWrap/>
                    <w:bidi w:val="0"/>
                    <w:ind w:left="0" w:leftChars="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824" w:type="dxa"/>
                  <w:noWrap w:val="0"/>
                  <w:vAlign w:val="center"/>
                </w:tcPr>
                <w:p>
                  <w:pPr>
                    <w:pageBreakBefore w:val="0"/>
                    <w:kinsoku/>
                    <w:wordWrap/>
                    <w:bidi w:val="0"/>
                    <w:adjustRightInd w:val="0"/>
                    <w:snapToGrid w:val="0"/>
                    <w:ind w:left="0" w:leftChars="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1305"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4131" w:type="dxa"/>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加强管理、</w:t>
                  </w:r>
                  <w:r>
                    <w:rPr>
                      <w:rFonts w:hint="eastAsia" w:ascii="Times New Roman" w:hAnsi="Times New Roman"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rPr>
                    <w:t>减速、禁鸣等警示标识，备用柴油发电机、配电设备、水泵、风机等设备位于独立的设备室内，设置消声装置、基础减震</w:t>
                  </w:r>
                  <w:r>
                    <w:rPr>
                      <w:rFonts w:hint="default" w:ascii="Times New Roman" w:hAnsi="Times New Roman" w:cs="Times New Roman"/>
                      <w:color w:val="auto"/>
                      <w:highlight w:val="none"/>
                    </w:rPr>
                    <w:t>，管道采用柔性连接</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restart"/>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固废治理</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kern w:val="0"/>
                      <w:sz w:val="21"/>
                      <w:szCs w:val="21"/>
                      <w:lang w:val="en-US" w:eastAsia="zh-CN" w:bidi="ar-SA"/>
                    </w:rPr>
                  </w:pPr>
                  <w:r>
                    <w:rPr>
                      <w:rFonts w:hint="eastAsia"/>
                      <w:kern w:val="0"/>
                      <w:sz w:val="21"/>
                      <w:szCs w:val="21"/>
                    </w:rPr>
                    <w:t>生活垃圾</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kern w:val="0"/>
                      <w:sz w:val="21"/>
                      <w:szCs w:val="21"/>
                      <w:lang w:val="en-US" w:eastAsia="zh-CN" w:bidi="ar-SA"/>
                    </w:rPr>
                  </w:pPr>
                  <w:r>
                    <w:rPr>
                      <w:rFonts w:hint="eastAsia" w:ascii="宋体" w:hAnsi="宋体" w:eastAsia="宋体" w:cs="宋体"/>
                      <w:color w:val="000000"/>
                      <w:kern w:val="0"/>
                      <w:sz w:val="21"/>
                      <w:szCs w:val="21"/>
                      <w:lang w:val="en-US" w:eastAsia="zh-CN" w:bidi="ar"/>
                    </w:rPr>
                    <w:t>生活垃圾由校后勤处请专人每天将全校垃圾清运至垃圾临时堆放间，再统一运至市政垃圾站进行无害化处理，做到日产日清</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餐厨垃圾</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项目建成运营前，建设单位落实并签订餐厨垃圾（含隔油池清掏油污</w:t>
                  </w:r>
                  <w:r>
                    <w:rPr>
                      <w:rFonts w:hint="eastAsia" w:ascii="Times New Roman" w:hAnsi="Times New Roman" w:eastAsia="宋体"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回收协议，桶装收集后送相关单位，每日运送，不得排入市政下水道</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化粪池污泥</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由环卫部门定期清掏处理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动物尸体</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eastAsia"/>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装入专用尸体袋中存放于尸体冰柜内，动物垫料、动物粪便等废物经紫外线消毒处理后，与动物尸体一起委托具备《动物防疫条件合格证》等相关资质的单位运走，按规定进行集中无害化处理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824" w:type="dxa"/>
                  <w:noWrap w:val="0"/>
                  <w:vAlign w:val="center"/>
                </w:tcPr>
                <w:p>
                  <w:pPr>
                    <w:pageBreakBefore w:val="0"/>
                    <w:kinsoku/>
                    <w:wordWrap/>
                    <w:bidi w:val="0"/>
                    <w:adjustRightInd w:val="0"/>
                    <w:snapToGrid w:val="0"/>
                    <w:ind w:left="0" w:leftChars="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kern w:val="0"/>
                      <w:sz w:val="21"/>
                      <w:szCs w:val="21"/>
                      <w:lang w:val="en-US" w:eastAsia="zh-CN"/>
                    </w:rPr>
                    <w:t>实验废弃物</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使用</w:t>
                  </w:r>
                  <w:r>
                    <w:rPr>
                      <w:rFonts w:hint="default" w:ascii="宋体" w:hAnsi="宋体" w:eastAsia="宋体" w:cs="宋体"/>
                      <w:b w:val="0"/>
                      <w:bCs w:val="0"/>
                      <w:color w:val="000000"/>
                      <w:kern w:val="0"/>
                      <w:sz w:val="21"/>
                      <w:szCs w:val="21"/>
                      <w:lang w:val="en-US" w:eastAsia="zh-CN" w:bidi="ar"/>
                    </w:rPr>
                    <w:t>密封瓶</w:t>
                  </w:r>
                  <w:r>
                    <w:rPr>
                      <w:rFonts w:hint="eastAsia" w:ascii="宋体" w:hAnsi="宋体" w:eastAsia="宋体" w:cs="宋体"/>
                      <w:b w:val="0"/>
                      <w:bCs w:val="0"/>
                      <w:color w:val="000000"/>
                      <w:kern w:val="0"/>
                      <w:sz w:val="21"/>
                      <w:szCs w:val="21"/>
                      <w:lang w:val="en-US" w:eastAsia="zh-CN" w:bidi="ar"/>
                    </w:rPr>
                    <w:t>/密封袋分类收集后暂存于实验室危废暂存间，</w:t>
                  </w:r>
                  <w:r>
                    <w:rPr>
                      <w:rFonts w:hint="default" w:ascii="Times New Roman" w:hAnsi="Times New Roman" w:eastAsia="宋体" w:cs="Times New Roman"/>
                      <w:color w:val="000000"/>
                      <w:kern w:val="0"/>
                      <w:sz w:val="21"/>
                      <w:szCs w:val="21"/>
                      <w:lang w:val="en-US" w:eastAsia="zh-CN" w:bidi="ar"/>
                    </w:rPr>
                    <w:t>签订危废处置协议并定期交由危废资质单位处理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818" w:type="dxa"/>
                  <w:vMerge w:val="continue"/>
                  <w:noWrap w:val="0"/>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废活性炭</w:t>
                  </w:r>
                </w:p>
              </w:tc>
              <w:tc>
                <w:tcPr>
                  <w:tcW w:w="4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使用密封袋收集后暂存于</w:t>
                  </w:r>
                  <w:r>
                    <w:rPr>
                      <w:rFonts w:hint="eastAsia" w:ascii="Times New Roman" w:hAnsi="Times New Roman" w:eastAsia="宋体" w:cs="Times New Roman"/>
                      <w:color w:val="000000"/>
                      <w:kern w:val="0"/>
                      <w:sz w:val="21"/>
                      <w:szCs w:val="21"/>
                      <w:lang w:val="en-US" w:eastAsia="zh-CN" w:bidi="ar"/>
                    </w:rPr>
                    <w:t>实验室危废</w:t>
                  </w:r>
                  <w:r>
                    <w:rPr>
                      <w:rFonts w:hint="default" w:ascii="Times New Roman" w:hAnsi="Times New Roman" w:eastAsia="宋体" w:cs="Times New Roman"/>
                      <w:color w:val="000000"/>
                      <w:kern w:val="0"/>
                      <w:sz w:val="21"/>
                      <w:szCs w:val="21"/>
                      <w:lang w:val="en-US" w:eastAsia="zh-CN" w:bidi="ar"/>
                    </w:rPr>
                    <w:t>暂存间，签订危废处置协议并定期交由危废资质单位处理</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824" w:type="dxa"/>
                  <w:noWrap w:val="0"/>
                  <w:vAlign w:val="center"/>
                </w:tcPr>
                <w:p>
                  <w:pPr>
                    <w:pageBreakBefore w:val="0"/>
                    <w:kinsoku/>
                    <w:wordWrap/>
                    <w:bidi w:val="0"/>
                    <w:adjustRightInd w:val="0"/>
                    <w:snapToGrid w:val="0"/>
                    <w:ind w:left="0" w:leftChars="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2123" w:type="dxa"/>
                  <w:gridSpan w:val="2"/>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地下水</w:t>
                  </w:r>
                </w:p>
              </w:tc>
              <w:tc>
                <w:tcPr>
                  <w:tcW w:w="4131" w:type="dxa"/>
                  <w:noWrap w:val="0"/>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进行分区防渗。</w:t>
                  </w:r>
                  <w:r>
                    <w:rPr>
                      <w:rFonts w:hint="eastAsia"/>
                      <w:kern w:val="0"/>
                      <w:sz w:val="21"/>
                      <w:szCs w:val="21"/>
                    </w:rPr>
                    <w:t>重点防渗区</w:t>
                  </w:r>
                  <w:r>
                    <w:rPr>
                      <w:rFonts w:hint="eastAsia"/>
                      <w:kern w:val="0"/>
                      <w:sz w:val="21"/>
                      <w:szCs w:val="21"/>
                      <w:lang w:eastAsia="zh-CN"/>
                    </w:rPr>
                    <w:t>：</w:t>
                  </w:r>
                  <w:r>
                    <w:rPr>
                      <w:rFonts w:hint="eastAsia"/>
                      <w:kern w:val="0"/>
                      <w:sz w:val="21"/>
                      <w:szCs w:val="21"/>
                    </w:rPr>
                    <w:t>危废暂存间</w:t>
                  </w:r>
                  <w:r>
                    <w:rPr>
                      <w:rFonts w:hint="eastAsia"/>
                      <w:kern w:val="0"/>
                      <w:sz w:val="21"/>
                      <w:szCs w:val="21"/>
                      <w:lang w:eastAsia="zh-CN"/>
                    </w:rPr>
                    <w:t>、</w:t>
                  </w:r>
                  <w:r>
                    <w:rPr>
                      <w:rFonts w:hint="eastAsia"/>
                      <w:kern w:val="0"/>
                      <w:sz w:val="21"/>
                      <w:szCs w:val="21"/>
                      <w:lang w:val="en-US" w:eastAsia="zh-CN"/>
                    </w:rPr>
                    <w:t>发电机房；</w:t>
                  </w:r>
                  <w:r>
                    <w:rPr>
                      <w:rFonts w:hint="eastAsia"/>
                      <w:kern w:val="0"/>
                      <w:sz w:val="21"/>
                      <w:szCs w:val="21"/>
                    </w:rPr>
                    <w:t>一般防渗区</w:t>
                  </w:r>
                  <w:r>
                    <w:rPr>
                      <w:rFonts w:hint="eastAsia"/>
                      <w:kern w:val="0"/>
                      <w:sz w:val="21"/>
                      <w:szCs w:val="21"/>
                      <w:lang w:eastAsia="zh-CN"/>
                    </w:rPr>
                    <w:t>：</w:t>
                  </w:r>
                  <w:r>
                    <w:rPr>
                      <w:rFonts w:hint="eastAsia"/>
                      <w:kern w:val="0"/>
                      <w:sz w:val="21"/>
                      <w:szCs w:val="21"/>
                      <w:lang w:val="en-US" w:eastAsia="zh-CN"/>
                    </w:rPr>
                    <w:t>实验室区域、隔油池、化粪池、中和池、垃圾临时堆放间、食堂加工区，各区域卫生间；简单防渗区：</w:t>
                  </w:r>
                  <w:r>
                    <w:rPr>
                      <w:rFonts w:hint="eastAsia"/>
                      <w:kern w:val="0"/>
                      <w:sz w:val="21"/>
                      <w:szCs w:val="21"/>
                    </w:rPr>
                    <w:t>除重点防渗区、一般防渗区、绿化区域以外的其他区域</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2123" w:type="dxa"/>
                  <w:gridSpan w:val="2"/>
                  <w:noWrap w:val="0"/>
                  <w:vAlign w:val="center"/>
                </w:tcPr>
                <w:p>
                  <w:pPr>
                    <w:pageBreakBefore w:val="0"/>
                    <w:kinsoku/>
                    <w:wordWrap/>
                    <w:bidi w:val="0"/>
                    <w:adjustRightInd w:val="0"/>
                    <w:snapToGrid w:val="0"/>
                    <w:ind w:left="0" w:leftChars="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环境风险</w:t>
                  </w:r>
                </w:p>
              </w:tc>
              <w:tc>
                <w:tcPr>
                  <w:tcW w:w="4131" w:type="dxa"/>
                  <w:noWrap w:val="0"/>
                  <w:vAlign w:val="center"/>
                </w:tcPr>
                <w:p>
                  <w:pPr>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sz w:val="21"/>
                      <w:szCs w:val="21"/>
                    </w:rPr>
                    <w:t>存放化学品的场所做好防渗漏措施，避免化学品泄漏至室外。实验室内应设置专用容器分类收集废液，不同种类不同性质的废液应收集在不同的容器内，禁止直接收集在同一容器内，避免发生意外事故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auto"/>
                      <w:sz w:val="21"/>
                      <w:szCs w:val="21"/>
                    </w:rPr>
                    <w:t>发电机房设置应急桶，并设置围堰，</w:t>
                  </w:r>
                  <w:r>
                    <w:rPr>
                      <w:rFonts w:hint="default" w:ascii="Times New Roman" w:hAnsi="Times New Roman" w:eastAsia="宋体" w:cs="Times New Roman"/>
                      <w:color w:val="auto"/>
                      <w:sz w:val="21"/>
                      <w:szCs w:val="21"/>
                      <w:lang w:val="en-US" w:eastAsia="zh-CN"/>
                    </w:rPr>
                    <w:t>地面进行重点防渗</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危废暂存间</w:t>
                  </w:r>
                  <w:r>
                    <w:rPr>
                      <w:rFonts w:hint="default" w:ascii="Times New Roman" w:hAnsi="Times New Roman" w:eastAsia="宋体" w:cs="Times New Roman"/>
                      <w:sz w:val="21"/>
                      <w:szCs w:val="21"/>
                    </w:rPr>
                    <w:t>各废液容器底部设置金属托盘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地面</w:t>
                  </w:r>
                  <w:r>
                    <w:rPr>
                      <w:rFonts w:hint="default" w:ascii="Times New Roman" w:hAnsi="Times New Roman" w:eastAsia="宋体" w:cs="Times New Roman"/>
                      <w:color w:val="auto"/>
                      <w:sz w:val="21"/>
                      <w:szCs w:val="21"/>
                      <w:lang w:val="en-US" w:eastAsia="zh-CN"/>
                    </w:rPr>
                    <w:t>进行重点防渗。</w:t>
                  </w:r>
                  <w:r>
                    <w:rPr>
                      <w:rFonts w:hint="default" w:ascii="Times New Roman" w:hAnsi="Times New Roman" w:eastAsia="宋体" w:cs="Times New Roman"/>
                      <w:color w:val="auto"/>
                      <w:sz w:val="21"/>
                      <w:szCs w:val="21"/>
                    </w:rPr>
                    <w:t>加强污水处理设备的检查、维护保养，及时更新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加强废气处理设施及设备的定期检修和维护工作，及时、足量更换活性炭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sz w:val="21"/>
                      <w:szCs w:val="21"/>
                    </w:rPr>
                    <w:t>加强管理，保证用电、用水、用气等安全，做好消防保证措施</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按照国家规范，合理安排消防交通组织，确保消防扑救面和消防通道的畅通。</w:t>
                  </w:r>
                  <w:r>
                    <w:rPr>
                      <w:rFonts w:hint="default" w:ascii="Times New Roman" w:hAnsi="Times New Roman" w:eastAsia="宋体" w:cs="Times New Roman"/>
                      <w:sz w:val="21"/>
                      <w:szCs w:val="21"/>
                    </w:rPr>
                    <w:t>配备相应数量灭火器</w:t>
                  </w:r>
                  <w:r>
                    <w:rPr>
                      <w:rFonts w:hint="eastAsia" w:ascii="Times New Roman" w:hAnsi="Times New Roman" w:eastAsia="宋体" w:cs="Times New Roman"/>
                      <w:sz w:val="21"/>
                      <w:szCs w:val="21"/>
                      <w:lang w:eastAsia="zh-CN"/>
                    </w:rPr>
                    <w:t>。</w:t>
                  </w:r>
                  <w:r>
                    <w:rPr>
                      <w:rFonts w:hint="default" w:ascii="Times New Roman" w:hAnsi="Times New Roman" w:cs="Times New Roman"/>
                      <w:color w:val="auto"/>
                      <w:sz w:val="21"/>
                      <w:szCs w:val="21"/>
                      <w:highlight w:val="none"/>
                    </w:rPr>
                    <w:t>严格规范化操作、建立必要的预备系统或设备、制定事故及时处理计划、编制应急预案</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dxa"/>
                  <w:vMerge w:val="continue"/>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p>
              </w:tc>
              <w:tc>
                <w:tcPr>
                  <w:tcW w:w="2123" w:type="dxa"/>
                  <w:gridSpan w:val="2"/>
                  <w:noWrap w:val="0"/>
                  <w:vAlign w:val="center"/>
                </w:tcPr>
                <w:p>
                  <w:pPr>
                    <w:pageBreakBefore w:val="0"/>
                    <w:kinsoku/>
                    <w:wordWrap/>
                    <w:bidi w:val="0"/>
                    <w:adjustRightInd w:val="0"/>
                    <w:snapToGrid w:val="0"/>
                    <w:ind w:left="0" w:leftChars="0" w:right="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环境监测</w:t>
                  </w:r>
                </w:p>
              </w:tc>
              <w:tc>
                <w:tcPr>
                  <w:tcW w:w="4131" w:type="dxa"/>
                  <w:noWrap w:val="0"/>
                  <w:vAlign w:val="center"/>
                </w:tcPr>
                <w:p>
                  <w:pPr>
                    <w:pageBreakBefore w:val="0"/>
                    <w:kinsoku/>
                    <w:wordWrap/>
                    <w:bidi w:val="0"/>
                    <w:ind w:left="0" w:leftChars="0" w:right="0"/>
                    <w:jc w:val="center"/>
                    <w:rPr>
                      <w:rFonts w:hint="default" w:ascii="Times New Roman" w:hAnsi="Times New Roman" w:cs="Times New Roman"/>
                      <w:color w:val="auto"/>
                      <w:kern w:val="0"/>
                      <w:sz w:val="21"/>
                      <w:szCs w:val="21"/>
                      <w:highlight w:val="none"/>
                    </w:rPr>
                  </w:pPr>
                  <w:r>
                    <w:rPr>
                      <w:rFonts w:hint="eastAsia" w:cs="Times New Roman"/>
                      <w:sz w:val="21"/>
                      <w:szCs w:val="21"/>
                    </w:rPr>
                    <w:t>制定</w:t>
                  </w:r>
                  <w:r>
                    <w:rPr>
                      <w:rFonts w:cs="Times New Roman"/>
                      <w:sz w:val="21"/>
                      <w:szCs w:val="21"/>
                    </w:rPr>
                    <w:t>自行监测方案</w:t>
                  </w:r>
                  <w:r>
                    <w:rPr>
                      <w:rFonts w:hint="eastAsia" w:cs="Times New Roman"/>
                      <w:sz w:val="21"/>
                      <w:szCs w:val="21"/>
                    </w:rPr>
                    <w:t>，</w:t>
                  </w:r>
                  <w:r>
                    <w:rPr>
                      <w:rFonts w:cs="Times New Roman"/>
                      <w:sz w:val="21"/>
                      <w:szCs w:val="21"/>
                    </w:rPr>
                    <w:t>定期开展污染源监测</w:t>
                  </w:r>
                </w:p>
              </w:tc>
              <w:tc>
                <w:tcPr>
                  <w:tcW w:w="855" w:type="dxa"/>
                  <w:noWrap w:val="0"/>
                  <w:tcMar>
                    <w:left w:w="0" w:type="dxa"/>
                    <w:right w:w="0" w:type="dxa"/>
                  </w:tcMar>
                  <w:vAlign w:val="center"/>
                </w:tcPr>
                <w:p>
                  <w:pPr>
                    <w:pageBreakBefore w:val="0"/>
                    <w:kinsoku/>
                    <w:wordWrap/>
                    <w:bidi w:val="0"/>
                    <w:ind w:left="0" w:leftChars="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24" w:type="dxa"/>
                  <w:noWrap w:val="0"/>
                  <w:vAlign w:val="center"/>
                </w:tcPr>
                <w:p>
                  <w:pPr>
                    <w:pageBreakBefore w:val="0"/>
                    <w:kinsoku/>
                    <w:wordWrap/>
                    <w:bidi w:val="0"/>
                    <w:adjustRightInd w:val="0"/>
                    <w:snapToGrid w:val="0"/>
                    <w:ind w:left="0" w:leftChars="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81" w:type="dxa"/>
                  <w:gridSpan w:val="4"/>
                  <w:noWrap w:val="0"/>
                  <w:vAlign w:val="center"/>
                </w:tcPr>
                <w:p>
                  <w:pPr>
                    <w:pageBreakBefore w:val="0"/>
                    <w:kinsoku/>
                    <w:wordWrap/>
                    <w:bidi w:val="0"/>
                    <w:adjustRightInd w:val="0"/>
                    <w:snapToGrid w:val="0"/>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合计</w:t>
                  </w:r>
                </w:p>
              </w:tc>
              <w:tc>
                <w:tcPr>
                  <w:tcW w:w="855" w:type="dxa"/>
                  <w:noWrap w:val="0"/>
                  <w:tcMar>
                    <w:left w:w="0" w:type="dxa"/>
                    <w:right w:w="0" w:type="dxa"/>
                  </w:tcMar>
                  <w:vAlign w:val="center"/>
                </w:tcPr>
                <w:p>
                  <w:pPr>
                    <w:pageBreakBefore w:val="0"/>
                    <w:kinsoku/>
                    <w:wordWrap/>
                    <w:bidi w:val="0"/>
                    <w:adjustRightInd w:val="0"/>
                    <w:snapToGrid w:val="0"/>
                    <w:ind w:left="0" w:leftChars="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208</w:t>
                  </w:r>
                </w:p>
              </w:tc>
              <w:tc>
                <w:tcPr>
                  <w:tcW w:w="824" w:type="dxa"/>
                  <w:noWrap w:val="0"/>
                  <w:vAlign w:val="center"/>
                </w:tcPr>
                <w:p>
                  <w:pPr>
                    <w:pageBreakBefore w:val="0"/>
                    <w:kinsoku/>
                    <w:wordWrap/>
                    <w:bidi w:val="0"/>
                    <w:adjustRightInd w:val="0"/>
                    <w:snapToGrid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11"/>
              <w:adjustRightInd w:val="0"/>
              <w:snapToGrid w:val="0"/>
              <w:spacing w:line="360" w:lineRule="auto"/>
              <w:rPr>
                <w:rStyle w:val="61"/>
                <w:rFonts w:hint="default" w:ascii="Times New Roman" w:hAnsi="Times New Roman"/>
                <w:color w:val="auto"/>
              </w:rPr>
            </w:pPr>
          </w:p>
          <w:p>
            <w:pPr>
              <w:pStyle w:val="11"/>
              <w:adjustRightInd w:val="0"/>
              <w:snapToGrid w:val="0"/>
              <w:spacing w:line="360" w:lineRule="auto"/>
              <w:ind w:firstLine="480" w:firstLineChars="200"/>
              <w:rPr>
                <w:rStyle w:val="61"/>
                <w:rFonts w:hint="default" w:ascii="Times New Roman" w:hAnsi="Times New Roman"/>
                <w:color w:val="auto"/>
              </w:rPr>
            </w:pPr>
          </w:p>
          <w:p>
            <w:pPr>
              <w:pStyle w:val="11"/>
              <w:adjustRightInd w:val="0"/>
              <w:snapToGrid w:val="0"/>
              <w:spacing w:line="360" w:lineRule="auto"/>
              <w:rPr>
                <w:rStyle w:val="61"/>
                <w:rFonts w:hint="default" w:ascii="Times New Roman" w:hAnsi="Times New Roman"/>
                <w:color w:va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000000"/>
                <w:kern w:val="0"/>
                <w:sz w:val="24"/>
                <w:szCs w:val="24"/>
                <w:lang w:val="en-US" w:eastAsia="zh-CN" w:bidi="ar"/>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6"/>
    </w:p>
    <w:tbl>
      <w:tblPr>
        <w:tblStyle w:val="25"/>
        <w:tblW w:w="93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70"/>
        <w:gridCol w:w="1140"/>
        <w:gridCol w:w="3477"/>
        <w:gridCol w:w="2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tcBorders>
              <w:tl2br w:val="single" w:color="auto" w:sz="4" w:space="0"/>
            </w:tcBorders>
            <w:noWrap w:val="0"/>
            <w:vAlign w:val="top"/>
          </w:tcPr>
          <w:p>
            <w:pPr>
              <w:adjustRightInd w:val="0"/>
              <w:snapToGrid w:val="0"/>
              <w:ind w:firstLine="420" w:firstLineChars="20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470"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排放口(编号、名称)/污染源</w:t>
            </w:r>
          </w:p>
        </w:tc>
        <w:tc>
          <w:tcPr>
            <w:tcW w:w="1140"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3477"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103"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470" w:type="dxa"/>
            <w:noWrap w:val="0"/>
            <w:vAlign w:val="center"/>
          </w:tcPr>
          <w:p>
            <w:pPr>
              <w:pageBreakBefore w:val="0"/>
              <w:kinsoku/>
              <w:wordWrap/>
              <w:bidi w:val="0"/>
              <w:adjustRightInd w:val="0"/>
              <w:snapToGrid w:val="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实验室废气</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w:t>
            </w:r>
          </w:p>
        </w:tc>
        <w:tc>
          <w:tcPr>
            <w:tcW w:w="1140" w:type="dxa"/>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酸雾、VOC</w:t>
            </w:r>
            <w:r>
              <w:rPr>
                <w:rFonts w:hint="eastAsia" w:ascii="Times New Roman" w:hAnsi="Times New Roman" w:cs="Times New Roman"/>
                <w:color w:val="auto"/>
                <w:sz w:val="21"/>
                <w:szCs w:val="21"/>
                <w:vertAlign w:val="subscript"/>
                <w:lang w:val="en-US" w:eastAsia="zh-CN"/>
              </w:rPr>
              <w:t>S</w:t>
            </w:r>
          </w:p>
        </w:tc>
        <w:tc>
          <w:tcPr>
            <w:tcW w:w="3477" w:type="dxa"/>
            <w:noWrap w:val="0"/>
            <w:vAlign w:val="center"/>
          </w:tcPr>
          <w:p>
            <w:pPr>
              <w:keepNext w:val="0"/>
              <w:keepLines w:val="0"/>
              <w:widowControl/>
              <w:suppressLineNumbers w:val="0"/>
              <w:jc w:val="center"/>
              <w:rPr>
                <w:rFonts w:hint="eastAsia" w:ascii="Times New Roman" w:hAnsi="Times New Roman" w:cs="Times New Roman"/>
                <w:color w:val="auto"/>
                <w:kern w:val="2"/>
                <w:sz w:val="21"/>
                <w:szCs w:val="21"/>
                <w:highlight w:val="none"/>
                <w:lang w:val="en-US" w:eastAsia="zh-CN" w:bidi="ar"/>
              </w:rPr>
            </w:pPr>
            <w:r>
              <w:rPr>
                <w:rFonts w:hint="eastAsia" w:ascii="Times New Roman" w:hAnsi="Times New Roman" w:eastAsia="宋体" w:cs="Times New Roman"/>
                <w:b w:val="0"/>
                <w:bCs w:val="0"/>
                <w:color w:val="auto"/>
                <w:kern w:val="0"/>
                <w:sz w:val="21"/>
                <w:szCs w:val="21"/>
                <w:lang w:val="en-US" w:eastAsia="zh-CN" w:bidi="ar"/>
              </w:rPr>
              <w:t>实验室采用机械抽风，实验废气经通风橱收集，</w:t>
            </w:r>
            <w:r>
              <w:rPr>
                <w:rFonts w:hint="default" w:ascii="Times New Roman" w:hAnsi="Times New Roman" w:eastAsia="宋体" w:cs="Times New Roman"/>
                <w:b w:val="0"/>
                <w:bCs w:val="0"/>
                <w:color w:val="auto"/>
                <w:kern w:val="0"/>
                <w:sz w:val="21"/>
                <w:szCs w:val="21"/>
                <w:lang w:val="en-US" w:eastAsia="zh-CN" w:bidi="ar"/>
              </w:rPr>
              <w:t>通风橱上方安装活性炭吸附罐，废气通过活性炭吸附后引至楼顶排放</w:t>
            </w:r>
          </w:p>
        </w:tc>
        <w:tc>
          <w:tcPr>
            <w:tcW w:w="2103"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sz w:val="21"/>
                <w:szCs w:val="21"/>
              </w:rPr>
              <w:t>《四川省固定污染源大气挥发性有机物排放标准</w:t>
            </w:r>
            <w:r>
              <w:rPr>
                <w:rFonts w:hint="eastAsia"/>
                <w:sz w:val="21"/>
                <w:szCs w:val="21"/>
                <w:lang w:eastAsia="zh-CN"/>
              </w:rPr>
              <w:t>》</w:t>
            </w:r>
            <w:r>
              <w:rPr>
                <w:rFonts w:hint="eastAsia"/>
                <w:sz w:val="21"/>
                <w:szCs w:val="21"/>
              </w:rPr>
              <w:t>（DB51/2377-2017）中</w:t>
            </w:r>
            <w:r>
              <w:rPr>
                <w:rFonts w:hint="eastAsia"/>
                <w:sz w:val="21"/>
                <w:szCs w:val="21"/>
                <w:lang w:val="en-US" w:eastAsia="zh-CN"/>
              </w:rPr>
              <w:t>表3</w:t>
            </w:r>
            <w:r>
              <w:rPr>
                <w:rFonts w:hint="eastAsia"/>
                <w:sz w:val="21"/>
                <w:szCs w:val="21"/>
              </w:rPr>
              <w:t>“涉及有机溶剂生产和使用的其他行业”</w:t>
            </w:r>
            <w:r>
              <w:rPr>
                <w:rFonts w:hint="eastAsia"/>
                <w:sz w:val="21"/>
                <w:szCs w:val="21"/>
                <w:lang w:val="en-US" w:eastAsia="zh-CN"/>
              </w:rPr>
              <w:t>和表5</w:t>
            </w:r>
            <w:r>
              <w:rPr>
                <w:rFonts w:hint="eastAsia"/>
                <w:sz w:val="21"/>
                <w:szCs w:val="21"/>
              </w:rPr>
              <w:t>挥发性有机物排放标准执行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食堂油烟</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DA00</w:t>
            </w:r>
            <w:r>
              <w:rPr>
                <w:rFonts w:hint="eastAsia" w:ascii="Times New Roman" w:hAnsi="Times New Roman" w:eastAsia="宋体"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w:t>
            </w:r>
          </w:p>
        </w:tc>
        <w:tc>
          <w:tcPr>
            <w:tcW w:w="1140"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油烟</w:t>
            </w:r>
          </w:p>
        </w:tc>
        <w:tc>
          <w:tcPr>
            <w:tcW w:w="3477"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安装油烟净化器处理后，经专用管道引至屋顶排放</w:t>
            </w:r>
          </w:p>
        </w:tc>
        <w:tc>
          <w:tcPr>
            <w:tcW w:w="2103"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sz w:val="21"/>
                <w:szCs w:val="21"/>
                <w:lang w:val="en-US" w:eastAsia="zh-CN"/>
              </w:rPr>
              <w:t>《饮食业油烟排放标准（试行）》（GB18483-2001）表2最高允许排放浓度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汽车尾气</w:t>
            </w:r>
          </w:p>
        </w:tc>
        <w:tc>
          <w:tcPr>
            <w:tcW w:w="1140" w:type="dxa"/>
            <w:noWrap w:val="0"/>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rPr>
              <w:t>CO、NOx、TSP</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THC</w:t>
            </w:r>
          </w:p>
        </w:tc>
        <w:tc>
          <w:tcPr>
            <w:tcW w:w="3477"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cs="Times New Roman"/>
                <w:color w:val="auto"/>
                <w:sz w:val="21"/>
                <w:szCs w:val="21"/>
              </w:rPr>
              <w:t>汽车尾气产生量较小，通过自然扩散，对环境影响较小</w:t>
            </w:r>
          </w:p>
        </w:tc>
        <w:tc>
          <w:tcPr>
            <w:tcW w:w="2103" w:type="dxa"/>
            <w:noWrap w:val="0"/>
            <w:vAlign w:val="center"/>
          </w:tcPr>
          <w:p>
            <w:pPr>
              <w:adjustRightInd w:val="0"/>
              <w:snapToGrid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柴油发电机废气</w:t>
            </w:r>
          </w:p>
        </w:tc>
        <w:tc>
          <w:tcPr>
            <w:tcW w:w="1140" w:type="dxa"/>
            <w:noWrap w:val="0"/>
            <w:vAlign w:val="center"/>
          </w:tcPr>
          <w:p>
            <w:pPr>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烟尘、CO</w:t>
            </w:r>
            <w:r>
              <w:rPr>
                <w:rFonts w:hint="default" w:ascii="Times New Roman" w:hAnsi="Times New Roman" w:cs="Times New Roman"/>
                <w:color w:val="auto"/>
                <w:vertAlign w:val="subscript"/>
              </w:rPr>
              <w:t>2</w:t>
            </w:r>
            <w:r>
              <w:rPr>
                <w:rFonts w:hint="default" w:ascii="Times New Roman" w:hAnsi="Times New Roman" w:cs="Times New Roman"/>
                <w:color w:val="auto"/>
              </w:rPr>
              <w:t>、CO、NOx、SO</w:t>
            </w:r>
            <w:r>
              <w:rPr>
                <w:rFonts w:hint="default" w:ascii="Times New Roman" w:hAnsi="Times New Roman" w:cs="Times New Roman"/>
                <w:color w:val="auto"/>
                <w:vertAlign w:val="subscript"/>
              </w:rPr>
              <w:t>2</w:t>
            </w:r>
          </w:p>
        </w:tc>
        <w:tc>
          <w:tcPr>
            <w:tcW w:w="3477"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采用机械送、排风的形式保持良好的通风性，柴油发电机排放的废气</w:t>
            </w:r>
            <w:r>
              <w:rPr>
                <w:rFonts w:hint="default" w:ascii="Times New Roman" w:hAnsi="Times New Roman" w:cs="Times New Roman"/>
                <w:color w:val="auto"/>
                <w:sz w:val="21"/>
                <w:szCs w:val="21"/>
              </w:rPr>
              <w:t>通过设备自带的消烟除尘装置处理后</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b w:val="0"/>
                <w:bCs w:val="0"/>
                <w:color w:val="auto"/>
                <w:kern w:val="0"/>
                <w:sz w:val="21"/>
                <w:szCs w:val="21"/>
                <w:lang w:val="en-US" w:eastAsia="zh-CN" w:bidi="ar"/>
              </w:rPr>
              <w:t>抽风机抽至地面排风口处排放</w:t>
            </w:r>
          </w:p>
        </w:tc>
        <w:tc>
          <w:tcPr>
            <w:tcW w:w="2103" w:type="dxa"/>
            <w:noWrap w:val="0"/>
            <w:vAlign w:val="center"/>
          </w:tcPr>
          <w:p>
            <w:pPr>
              <w:adjustRightInd w:val="0"/>
              <w:snapToGrid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垃圾收集点恶臭</w:t>
            </w:r>
          </w:p>
        </w:tc>
        <w:tc>
          <w:tcPr>
            <w:tcW w:w="1140" w:type="dxa"/>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恶臭</w:t>
            </w:r>
          </w:p>
        </w:tc>
        <w:tc>
          <w:tcPr>
            <w:tcW w:w="3477"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密闭设置，垃圾应分类投放、日产日清，专人负责清理和喷洒消毒药水</w:t>
            </w:r>
          </w:p>
        </w:tc>
        <w:tc>
          <w:tcPr>
            <w:tcW w:w="2103"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470" w:type="dxa"/>
            <w:noWrap w:val="0"/>
            <w:vAlign w:val="center"/>
          </w:tcPr>
          <w:p>
            <w:pPr>
              <w:pageBreakBefore w:val="0"/>
              <w:kinsoku/>
              <w:wordWrap/>
              <w:bidi w:val="0"/>
              <w:adjustRightInd w:val="0"/>
              <w:snapToGrid w:val="0"/>
              <w:ind w:left="0" w:leftChars="0" w:right="0" w:rightChars="0"/>
              <w:jc w:val="center"/>
              <w:rPr>
                <w:rFonts w:hint="default" w:ascii="Times New Roman" w:hAnsi="Times New Roman" w:eastAsia="宋体" w:cs="Times New Roman"/>
                <w:iCs/>
                <w:snapToGrid w:val="0"/>
                <w:color w:val="auto"/>
                <w:kern w:val="0"/>
                <w:sz w:val="21"/>
                <w:szCs w:val="21"/>
                <w:highlight w:val="none"/>
                <w:lang w:val="en-US" w:eastAsia="zh-CN" w:bidi="ar-SA"/>
              </w:rPr>
            </w:pPr>
            <w:r>
              <w:rPr>
                <w:rFonts w:hint="eastAsia" w:cs="Times New Roman"/>
                <w:iCs/>
                <w:snapToGrid w:val="0"/>
                <w:color w:val="auto"/>
                <w:kern w:val="0"/>
                <w:sz w:val="21"/>
                <w:szCs w:val="21"/>
                <w:highlight w:val="none"/>
                <w:lang w:val="en-US" w:eastAsia="zh-CN"/>
              </w:rPr>
              <w:t>生活污水</w:t>
            </w:r>
          </w:p>
        </w:tc>
        <w:tc>
          <w:tcPr>
            <w:tcW w:w="1140" w:type="dxa"/>
            <w:vMerge w:val="restart"/>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r>
              <w:rPr>
                <w:color w:val="auto"/>
                <w:sz w:val="21"/>
                <w:szCs w:val="21"/>
              </w:rPr>
              <w:t>、BOD</w:t>
            </w:r>
            <w:r>
              <w:rPr>
                <w:color w:val="auto"/>
                <w:sz w:val="21"/>
                <w:szCs w:val="21"/>
                <w:vertAlign w:val="subscript"/>
              </w:rPr>
              <w:t>5</w:t>
            </w:r>
            <w:r>
              <w:rPr>
                <w:color w:val="auto"/>
                <w:sz w:val="21"/>
                <w:szCs w:val="21"/>
              </w:rPr>
              <w:t>、SS、</w:t>
            </w:r>
            <w:r>
              <w:rPr>
                <w:rFonts w:hint="eastAsia"/>
                <w:b w:val="0"/>
                <w:bCs w:val="0"/>
                <w:kern w:val="0"/>
                <w:sz w:val="21"/>
                <w:szCs w:val="21"/>
              </w:rPr>
              <w:t>NH</w:t>
            </w:r>
            <w:r>
              <w:rPr>
                <w:rFonts w:hint="eastAsia"/>
                <w:b w:val="0"/>
                <w:bCs w:val="0"/>
                <w:kern w:val="0"/>
                <w:sz w:val="21"/>
                <w:szCs w:val="21"/>
                <w:vertAlign w:val="subscript"/>
              </w:rPr>
              <w:t>3</w:t>
            </w:r>
            <w:r>
              <w:rPr>
                <w:rFonts w:hint="eastAsia"/>
                <w:b w:val="0"/>
                <w:bCs w:val="0"/>
                <w:kern w:val="0"/>
                <w:sz w:val="21"/>
                <w:szCs w:val="21"/>
              </w:rPr>
              <w:t>-N</w:t>
            </w:r>
            <w:r>
              <w:rPr>
                <w:rFonts w:hint="eastAsia"/>
                <w:b w:val="0"/>
                <w:bCs w:val="0"/>
                <w:kern w:val="0"/>
                <w:sz w:val="21"/>
                <w:szCs w:val="21"/>
                <w:lang w:eastAsia="zh-CN"/>
              </w:rPr>
              <w:t>、</w:t>
            </w:r>
            <w:r>
              <w:rPr>
                <w:rFonts w:hint="eastAsia"/>
                <w:b w:val="0"/>
                <w:bCs w:val="0"/>
                <w:kern w:val="0"/>
                <w:sz w:val="21"/>
                <w:szCs w:val="21"/>
                <w:lang w:val="en-US" w:eastAsia="zh-CN"/>
              </w:rPr>
              <w:t>TP、动植物油</w:t>
            </w:r>
          </w:p>
        </w:tc>
        <w:tc>
          <w:tcPr>
            <w:tcW w:w="3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kern w:val="0"/>
                <w:sz w:val="21"/>
                <w:szCs w:val="21"/>
                <w:lang w:val="en-US" w:eastAsia="zh-CN" w:bidi="ar"/>
              </w:rPr>
              <w:t>在学生宿舍楼、博物馆、实训教学楼东南侧人员活动频繁的建筑物附近建设化粪池共4个，总有效容积不小于1400m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，生活污水经化粪池预处理达《污水综合排放标准》（GB8978-1996）中三级排放标准后排入西南侧道路下已建的市政污水管网，最终进入</w:t>
            </w:r>
            <w:r>
              <w:rPr>
                <w:rFonts w:hint="default" w:ascii="Times New Roman" w:hAnsi="Times New Roman" w:eastAsia="宋体" w:cs="Times New Roman"/>
                <w:color w:val="000000"/>
                <w:kern w:val="0"/>
                <w:sz w:val="21"/>
                <w:szCs w:val="21"/>
                <w:lang w:val="en-US" w:eastAsia="zh-CN" w:bidi="ar"/>
              </w:rPr>
              <w:t>达州市第二</w:t>
            </w:r>
            <w:r>
              <w:rPr>
                <w:rFonts w:hint="eastAsia" w:ascii="Times New Roman" w:hAnsi="Times New Roman" w:eastAsia="宋体" w:cs="Times New Roman"/>
                <w:color w:val="000000"/>
                <w:kern w:val="0"/>
                <w:sz w:val="21"/>
                <w:szCs w:val="21"/>
                <w:lang w:val="en-US" w:eastAsia="zh-CN" w:bidi="ar"/>
              </w:rPr>
              <w:t>城市生活</w:t>
            </w:r>
            <w:r>
              <w:rPr>
                <w:rFonts w:hint="default" w:ascii="Times New Roman" w:hAnsi="Times New Roman" w:eastAsia="宋体" w:cs="Times New Roman"/>
                <w:color w:val="000000"/>
                <w:kern w:val="0"/>
                <w:sz w:val="21"/>
                <w:szCs w:val="21"/>
                <w:lang w:val="en-US" w:eastAsia="zh-CN" w:bidi="ar"/>
              </w:rPr>
              <w:t>污水处理厂</w:t>
            </w:r>
            <w:r>
              <w:rPr>
                <w:rFonts w:hint="eastAsia" w:ascii="Times New Roman" w:hAnsi="Times New Roman" w:eastAsia="宋体" w:cs="Times New Roman"/>
                <w:color w:val="000000"/>
                <w:kern w:val="0"/>
                <w:sz w:val="21"/>
                <w:szCs w:val="21"/>
                <w:lang w:val="en-US" w:eastAsia="zh-CN" w:bidi="ar"/>
              </w:rPr>
              <w:t>处理</w:t>
            </w:r>
          </w:p>
        </w:tc>
        <w:tc>
          <w:tcPr>
            <w:tcW w:w="2103" w:type="dxa"/>
            <w:vMerge w:val="restart"/>
            <w:noWrap w:val="0"/>
            <w:vAlign w:val="center"/>
          </w:tcPr>
          <w:p>
            <w:pPr>
              <w:adjustRightInd w:val="0"/>
              <w:snapToGrid w:val="0"/>
              <w:spacing w:line="25" w:lineRule="atLeast"/>
              <w:jc w:val="center"/>
              <w:rPr>
                <w:kern w:val="0"/>
                <w:sz w:val="21"/>
                <w:szCs w:val="21"/>
              </w:rPr>
            </w:pPr>
            <w:r>
              <w:rPr>
                <w:rFonts w:hint="eastAsia"/>
                <w:kern w:val="0"/>
                <w:sz w:val="21"/>
                <w:szCs w:val="21"/>
              </w:rPr>
              <w:t>《污水综合排放标准》（GB8978-1996）三级标准</w:t>
            </w:r>
          </w:p>
          <w:p>
            <w:pPr>
              <w:adjustRightInd w:val="0"/>
              <w:snapToGrid w:val="0"/>
              <w:jc w:val="center"/>
              <w:rPr>
                <w:rFonts w:hint="eastAsia" w:ascii="宋体" w:hAnsi="宋体" w:cs="宋体"/>
                <w:szCs w:val="21"/>
              </w:rPr>
            </w:pPr>
            <w:r>
              <w:rPr>
                <w:rFonts w:hint="eastAsia"/>
                <w:kern w:val="0"/>
                <w:sz w:val="21"/>
                <w:szCs w:val="21"/>
              </w:rPr>
              <w:t>（氨氮、总磷执行《污水排入城市下水道水质标准》(GB/T31962-2015)B等级标准）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食堂废水</w:t>
            </w:r>
          </w:p>
        </w:tc>
        <w:tc>
          <w:tcPr>
            <w:tcW w:w="1140" w:type="dxa"/>
            <w:vMerge w:val="continue"/>
            <w:noWrap w:val="0"/>
            <w:vAlign w:val="center"/>
          </w:tcPr>
          <w:p>
            <w:pPr>
              <w:adjustRightInd w:val="0"/>
              <w:snapToGrid w:val="0"/>
              <w:jc w:val="center"/>
              <w:rPr>
                <w:color w:val="auto"/>
                <w:szCs w:val="21"/>
              </w:rPr>
            </w:pPr>
          </w:p>
        </w:tc>
        <w:tc>
          <w:tcPr>
            <w:tcW w:w="3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kern w:val="0"/>
                <w:sz w:val="21"/>
                <w:szCs w:val="21"/>
                <w:lang w:val="en-US" w:eastAsia="zh-CN" w:bidi="ar"/>
              </w:rPr>
              <w:t>在食堂北侧建设1个有效容积不小于10m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隔油池，食堂废水经隔油处理后排入化粪池与生活污水一同处理</w:t>
            </w:r>
          </w:p>
        </w:tc>
        <w:tc>
          <w:tcPr>
            <w:tcW w:w="2103" w:type="dxa"/>
            <w:vMerge w:val="continue"/>
            <w:noWrap w:val="0"/>
            <w:vAlign w:val="center"/>
          </w:tcPr>
          <w:p>
            <w:pPr>
              <w:adjustRightInd w:val="0"/>
              <w:snapToGrid w:val="0"/>
              <w:jc w:val="center"/>
              <w:rPr>
                <w:rFonts w:hint="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pageBreakBefore w:val="0"/>
              <w:kinsoku/>
              <w:wordWrap/>
              <w:bidi w:val="0"/>
              <w:adjustRightInd w:val="0"/>
              <w:snapToGrid w:val="0"/>
              <w:ind w:left="0" w:leftChars="0" w:right="0" w:rightChars="0"/>
              <w:jc w:val="center"/>
              <w:rPr>
                <w:rFonts w:hint="default"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
              </w:rPr>
              <w:t>实验废水</w:t>
            </w:r>
          </w:p>
        </w:tc>
        <w:tc>
          <w:tcPr>
            <w:tcW w:w="1140" w:type="dxa"/>
            <w:vMerge w:val="continue"/>
            <w:noWrap w:val="0"/>
            <w:vAlign w:val="center"/>
          </w:tcPr>
          <w:p>
            <w:pPr>
              <w:adjustRightInd w:val="0"/>
              <w:snapToGrid w:val="0"/>
              <w:jc w:val="center"/>
              <w:rPr>
                <w:rFonts w:hint="eastAsia" w:ascii="宋体" w:hAnsi="宋体" w:cs="宋体"/>
                <w:szCs w:val="21"/>
              </w:rPr>
            </w:pPr>
          </w:p>
        </w:tc>
        <w:tc>
          <w:tcPr>
            <w:tcW w:w="3477" w:type="dxa"/>
            <w:noWrap w:val="0"/>
            <w:vAlign w:val="center"/>
          </w:tcPr>
          <w:p>
            <w:pPr>
              <w:pStyle w:val="73"/>
              <w:keepNext w:val="0"/>
              <w:keepLines w:val="0"/>
              <w:pageBreakBefore w:val="0"/>
              <w:widowControl w:val="0"/>
              <w:kinsoku/>
              <w:wordWrap/>
              <w:overflowPunct/>
              <w:topLinePunct w:val="0"/>
              <w:autoSpaceDE w:val="0"/>
              <w:autoSpaceDN w:val="0"/>
              <w:bidi w:val="0"/>
              <w:adjustRightInd/>
              <w:snapToGrid/>
              <w:spacing w:before="0" w:after="0" w:line="240" w:lineRule="auto"/>
              <w:ind w:right="0" w:rightChars="0"/>
              <w:jc w:val="center"/>
              <w:textAlignment w:val="bottom"/>
              <w:rPr>
                <w:rFonts w:hint="default" w:cs="Times New Roman"/>
                <w:color w:val="auto"/>
                <w:kern w:val="24"/>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bidi="ar"/>
              </w:rPr>
              <w:t>在实训中心西侧建设1个4m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ascii="Times New Roman" w:hAnsi="Times New Roman" w:eastAsia="宋体" w:cs="Times New Roman"/>
                <w:b w:val="0"/>
                <w:bCs w:val="0"/>
                <w:color w:val="000000"/>
                <w:kern w:val="0"/>
                <w:sz w:val="21"/>
                <w:szCs w:val="21"/>
                <w:lang w:val="en-US" w:eastAsia="zh-CN" w:bidi="ar"/>
              </w:rPr>
              <w:t>酸碱中和池，实验废水经中和处置至pH值中性后，经专用管道排入化粪池与生活污水一同处理</w:t>
            </w:r>
          </w:p>
        </w:tc>
        <w:tc>
          <w:tcPr>
            <w:tcW w:w="2103"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470" w:type="dxa"/>
            <w:noWrap w:val="0"/>
            <w:vAlign w:val="center"/>
          </w:tcPr>
          <w:p>
            <w:pPr>
              <w:adjustRightInd w:val="0"/>
              <w:snapToGrid w:val="0"/>
              <w:jc w:val="center"/>
              <w:rPr>
                <w:rFonts w:hint="default" w:ascii="宋体" w:hAnsi="宋体" w:eastAsia="宋体" w:cs="宋体"/>
                <w:szCs w:val="21"/>
                <w:lang w:val="en-US" w:eastAsia="zh-CN"/>
              </w:rPr>
            </w:pPr>
            <w:r>
              <w:rPr>
                <w:rFonts w:hint="eastAsia" w:ascii="Times New Roman" w:hAnsi="Times New Roman" w:cs="Times New Roman"/>
                <w:color w:val="000000"/>
                <w:kern w:val="0"/>
                <w:sz w:val="21"/>
                <w:szCs w:val="21"/>
                <w:lang w:val="en-US" w:eastAsia="zh-CN"/>
              </w:rPr>
              <w:t>公共活动场所噪声</w:t>
            </w:r>
          </w:p>
        </w:tc>
        <w:tc>
          <w:tcPr>
            <w:tcW w:w="1140" w:type="dxa"/>
            <w:vMerge w:val="restart"/>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噪声</w:t>
            </w:r>
          </w:p>
        </w:tc>
        <w:tc>
          <w:tcPr>
            <w:tcW w:w="3477" w:type="dxa"/>
            <w:noWrap w:val="0"/>
            <w:vAlign w:val="center"/>
          </w:tcPr>
          <w:p>
            <w:pPr>
              <w:keepNext w:val="0"/>
              <w:keepLines w:val="0"/>
              <w:widowControl/>
              <w:suppressLineNumbers w:val="0"/>
              <w:jc w:val="center"/>
              <w:rPr>
                <w:rFonts w:hint="eastAsia" w:ascii="宋体" w:hAnsi="宋体" w:cs="宋体"/>
                <w:szCs w:val="21"/>
              </w:rPr>
            </w:pPr>
            <w:r>
              <w:rPr>
                <w:rFonts w:hint="eastAsia" w:ascii="Times New Roman" w:hAnsi="Times New Roman" w:cs="Times New Roman"/>
                <w:color w:val="auto"/>
                <w:spacing w:val="4"/>
                <w:lang w:val="en-US" w:eastAsia="zh-CN"/>
              </w:rPr>
              <w:t>建筑隔声、</w:t>
            </w:r>
            <w:r>
              <w:rPr>
                <w:rFonts w:hint="default" w:ascii="Times New Roman" w:hAnsi="Times New Roman" w:cs="Times New Roman"/>
                <w:color w:val="auto"/>
                <w:spacing w:val="4"/>
              </w:rPr>
              <w:t>加强管理</w:t>
            </w:r>
          </w:p>
        </w:tc>
        <w:tc>
          <w:tcPr>
            <w:tcW w:w="2103" w:type="dxa"/>
            <w:vMerge w:val="restart"/>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《工业企业厂界</w:t>
            </w:r>
          </w:p>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噪声排放标准》</w:t>
            </w:r>
          </w:p>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GB 12348</w:t>
            </w:r>
            <w:r>
              <w:rPr>
                <w:rFonts w:hint="eastAsia" w:ascii="宋体" w:hAnsi="宋体" w:eastAsia="宋体" w:cs="宋体"/>
                <w:color w:val="000000"/>
                <w:kern w:val="0"/>
                <w:sz w:val="21"/>
                <w:szCs w:val="21"/>
                <w:lang w:val="en-US" w:eastAsia="zh-CN" w:bidi="ar"/>
              </w:rPr>
              <w:t>—</w:t>
            </w:r>
          </w:p>
          <w:p>
            <w:pPr>
              <w:keepNext w:val="0"/>
              <w:keepLines w:val="0"/>
              <w:widowControl/>
              <w:suppressLineNumbers w:val="0"/>
              <w:jc w:val="center"/>
              <w:rPr>
                <w:rFonts w:hint="eastAsia" w:ascii="宋体" w:hAnsi="宋体" w:cs="宋体"/>
                <w:szCs w:val="21"/>
              </w:rPr>
            </w:pPr>
            <w:r>
              <w:rPr>
                <w:rFonts w:hint="default" w:ascii="Times New Roman" w:hAnsi="Times New Roman" w:eastAsia="宋体" w:cs="Times New Roman"/>
                <w:color w:val="000000"/>
                <w:kern w:val="0"/>
                <w:sz w:val="21"/>
                <w:szCs w:val="21"/>
                <w:lang w:val="en-US" w:eastAsia="zh-CN" w:bidi="ar"/>
              </w:rPr>
              <w:t>2008</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adjustRightInd w:val="0"/>
              <w:snapToGrid w:val="0"/>
              <w:jc w:val="center"/>
              <w:rPr>
                <w:rFonts w:hint="eastAsia" w:ascii="宋体" w:hAnsi="宋体" w:cs="宋体"/>
                <w:szCs w:val="21"/>
                <w:lang w:val="en-US" w:eastAsia="zh-CN"/>
              </w:rPr>
            </w:pPr>
            <w:r>
              <w:rPr>
                <w:rFonts w:hint="eastAsia" w:ascii="Times New Roman" w:hAnsi="Times New Roman" w:eastAsia="宋体" w:cs="Times New Roman"/>
                <w:color w:val="000000"/>
                <w:kern w:val="0"/>
                <w:sz w:val="21"/>
                <w:szCs w:val="21"/>
                <w:lang w:val="en-US" w:eastAsia="zh-CN"/>
              </w:rPr>
              <w:t>服务设施噪声</w:t>
            </w:r>
          </w:p>
        </w:tc>
        <w:tc>
          <w:tcPr>
            <w:tcW w:w="1140" w:type="dxa"/>
            <w:vMerge w:val="continue"/>
            <w:noWrap w:val="0"/>
            <w:vAlign w:val="center"/>
          </w:tcPr>
          <w:p>
            <w:pPr>
              <w:adjustRightInd w:val="0"/>
              <w:snapToGrid w:val="0"/>
              <w:jc w:val="center"/>
              <w:rPr>
                <w:rFonts w:hint="eastAsia" w:ascii="宋体" w:hAnsi="宋体" w:cs="宋体"/>
                <w:szCs w:val="21"/>
                <w:lang w:val="en-US" w:eastAsia="zh-CN"/>
              </w:rPr>
            </w:pPr>
          </w:p>
        </w:tc>
        <w:tc>
          <w:tcPr>
            <w:tcW w:w="3477"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ascii="Times New Roman" w:hAnsi="Times New Roman" w:cs="Times New Roman"/>
                <w:color w:val="auto"/>
                <w:spacing w:val="4"/>
              </w:rPr>
              <w:t>设置独立</w:t>
            </w:r>
            <w:r>
              <w:rPr>
                <w:rFonts w:hint="default" w:ascii="Times New Roman" w:hAnsi="Times New Roman" w:cs="Times New Roman"/>
                <w:color w:val="auto"/>
                <w:sz w:val="21"/>
                <w:szCs w:val="21"/>
                <w:highlight w:val="none"/>
              </w:rPr>
              <w:t>的设备室</w:t>
            </w:r>
            <w:r>
              <w:rPr>
                <w:rFonts w:hint="default" w:ascii="Times New Roman" w:hAnsi="Times New Roman" w:cs="Times New Roman"/>
                <w:color w:val="auto"/>
                <w:spacing w:val="4"/>
              </w:rPr>
              <w:t>、安装减震垫、</w:t>
            </w:r>
            <w:r>
              <w:rPr>
                <w:rFonts w:hint="eastAsia" w:ascii="Times New Roman" w:hAnsi="Times New Roman" w:cs="Times New Roman"/>
                <w:color w:val="auto"/>
                <w:spacing w:val="4"/>
                <w:lang w:val="en-US" w:eastAsia="zh-CN"/>
              </w:rPr>
              <w:t>消声器、</w:t>
            </w:r>
            <w:r>
              <w:rPr>
                <w:rFonts w:hint="default" w:ascii="Times New Roman" w:hAnsi="Times New Roman" w:cs="Times New Roman"/>
                <w:color w:val="auto"/>
                <w:spacing w:val="4"/>
              </w:rPr>
              <w:t>加强维护保养</w:t>
            </w:r>
            <w:r>
              <w:rPr>
                <w:rFonts w:hint="eastAsia" w:ascii="Times New Roman" w:hAnsi="Times New Roman" w:cs="Times New Roman"/>
                <w:color w:val="auto"/>
                <w:spacing w:val="4"/>
                <w:lang w:eastAsia="zh-CN"/>
              </w:rPr>
              <w:t>、</w:t>
            </w:r>
            <w:r>
              <w:rPr>
                <w:rFonts w:hint="default" w:ascii="Times New Roman" w:hAnsi="Times New Roman" w:cs="Times New Roman"/>
                <w:color w:val="auto"/>
                <w:highlight w:val="none"/>
              </w:rPr>
              <w:t>管道采用柔性连接</w:t>
            </w:r>
          </w:p>
        </w:tc>
        <w:tc>
          <w:tcPr>
            <w:tcW w:w="2103"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eastAsia" w:ascii="宋体" w:hAnsi="宋体" w:cs="宋体"/>
                <w:szCs w:val="21"/>
              </w:rPr>
            </w:pPr>
          </w:p>
        </w:tc>
        <w:tc>
          <w:tcPr>
            <w:tcW w:w="1470" w:type="dxa"/>
            <w:noWrap w:val="0"/>
            <w:vAlign w:val="center"/>
          </w:tcPr>
          <w:p>
            <w:pPr>
              <w:adjustRightInd w:val="0"/>
              <w:snapToGrid w:val="0"/>
              <w:jc w:val="center"/>
              <w:rPr>
                <w:rFonts w:hint="eastAsia" w:ascii="宋体" w:hAnsi="宋体" w:cs="宋体"/>
                <w:szCs w:val="21"/>
                <w:lang w:val="en-US" w:eastAsia="zh-CN"/>
              </w:rPr>
            </w:pPr>
            <w:r>
              <w:rPr>
                <w:rFonts w:hint="eastAsia" w:ascii="Times New Roman" w:hAnsi="Times New Roman" w:cs="Times New Roman"/>
                <w:color w:val="000000"/>
                <w:kern w:val="0"/>
                <w:sz w:val="21"/>
                <w:szCs w:val="21"/>
                <w:lang w:val="en-US" w:eastAsia="zh-CN"/>
              </w:rPr>
              <w:t>交通噪声</w:t>
            </w:r>
          </w:p>
        </w:tc>
        <w:tc>
          <w:tcPr>
            <w:tcW w:w="1140" w:type="dxa"/>
            <w:vMerge w:val="continue"/>
            <w:noWrap w:val="0"/>
            <w:vAlign w:val="center"/>
          </w:tcPr>
          <w:p>
            <w:pPr>
              <w:adjustRightInd w:val="0"/>
              <w:snapToGrid w:val="0"/>
              <w:jc w:val="center"/>
              <w:rPr>
                <w:rFonts w:hint="eastAsia" w:ascii="宋体" w:hAnsi="宋体" w:cs="宋体"/>
                <w:szCs w:val="21"/>
                <w:lang w:val="en-US" w:eastAsia="zh-CN"/>
              </w:rPr>
            </w:pPr>
          </w:p>
        </w:tc>
        <w:tc>
          <w:tcPr>
            <w:tcW w:w="3477"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ascii="Times New Roman" w:hAnsi="Times New Roman" w:cs="Times New Roman"/>
                <w:color w:val="auto"/>
              </w:rPr>
              <w:t>减速慢行，加强管理、设置禁止鸣笛等标识标牌</w:t>
            </w:r>
          </w:p>
        </w:tc>
        <w:tc>
          <w:tcPr>
            <w:tcW w:w="2103"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1470"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1140"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3477"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2103"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8190" w:type="dxa"/>
            <w:gridSpan w:val="4"/>
            <w:noWrap w:val="0"/>
            <w:vAlign w:val="center"/>
          </w:tcPr>
          <w:p>
            <w:pPr>
              <w:jc w:val="left"/>
              <w:rPr>
                <w:rFonts w:hint="eastAsia"/>
                <w:lang w:val="en-US" w:eastAsia="zh-CN"/>
              </w:rPr>
            </w:pPr>
            <w:r>
              <w:rPr>
                <w:rFonts w:hint="eastAsia"/>
                <w:b/>
                <w:bCs/>
                <w:lang w:val="en-US" w:eastAsia="zh-CN"/>
              </w:rPr>
              <w:t>一般废物：</w:t>
            </w:r>
            <w:r>
              <w:rPr>
                <w:rFonts w:hint="eastAsia" w:ascii="宋体" w:hAnsi="宋体" w:eastAsia="宋体" w:cs="宋体"/>
                <w:color w:val="000000"/>
                <w:kern w:val="0"/>
                <w:sz w:val="21"/>
                <w:szCs w:val="21"/>
                <w:lang w:val="en-US" w:eastAsia="zh-CN" w:bidi="ar"/>
              </w:rPr>
              <w:t>生活垃圾由校后勤处请专人每天将全校垃圾清运至垃圾临时堆放间，再统一运至市政垃圾站进行无害化处理，做到日产日清。</w:t>
            </w:r>
            <w:r>
              <w:rPr>
                <w:rFonts w:hint="default" w:ascii="Times New Roman" w:hAnsi="Times New Roman" w:eastAsia="宋体" w:cs="Times New Roman"/>
                <w:b w:val="0"/>
                <w:bCs w:val="0"/>
                <w:color w:val="000000"/>
                <w:kern w:val="0"/>
                <w:sz w:val="21"/>
                <w:szCs w:val="21"/>
                <w:lang w:val="en-US" w:eastAsia="zh-CN" w:bidi="ar"/>
              </w:rPr>
              <w:t>餐厨垃圾签订餐厨垃圾（含隔油池清掏油污</w:t>
            </w:r>
            <w:r>
              <w:rPr>
                <w:rFonts w:hint="eastAsia" w:ascii="Times New Roman" w:hAnsi="Times New Roman" w:eastAsia="宋体"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回收协议，桶装收集后送相关单位，每日运送，不得排入市政下水道</w:t>
            </w:r>
            <w:r>
              <w:rPr>
                <w:rFonts w:hint="eastAsia" w:ascii="Times New Roman" w:hAnsi="Times New Roman" w:eastAsia="宋体" w:cs="Times New Roman"/>
                <w:b w:val="0"/>
                <w:bCs w:val="0"/>
                <w:color w:val="000000"/>
                <w:kern w:val="0"/>
                <w:sz w:val="21"/>
                <w:szCs w:val="21"/>
                <w:lang w:val="en-US" w:eastAsia="zh-CN" w:bidi="ar"/>
              </w:rPr>
              <w:t>。</w:t>
            </w:r>
            <w:r>
              <w:rPr>
                <w:rFonts w:hint="eastAsia" w:eastAsia="宋体"/>
                <w:kern w:val="0"/>
                <w:sz w:val="21"/>
                <w:szCs w:val="21"/>
                <w:lang w:val="en-US" w:eastAsia="zh-CN"/>
              </w:rPr>
              <w:t>化粪池污泥</w:t>
            </w:r>
            <w:r>
              <w:rPr>
                <w:rFonts w:hint="default" w:ascii="Times New Roman" w:hAnsi="Times New Roman" w:eastAsia="宋体" w:cs="Times New Roman"/>
                <w:color w:val="000000"/>
                <w:kern w:val="0"/>
                <w:sz w:val="21"/>
                <w:szCs w:val="21"/>
                <w:lang w:val="en-US" w:eastAsia="zh-CN" w:bidi="ar"/>
              </w:rPr>
              <w:t>由环卫部门定期清掏处理</w:t>
            </w:r>
            <w:r>
              <w:rPr>
                <w:rFonts w:hint="eastAsia" w:ascii="Times New Roman" w:hAnsi="Times New Roman" w:eastAsia="宋体" w:cs="Times New Roman"/>
                <w:color w:val="000000"/>
                <w:kern w:val="0"/>
                <w:sz w:val="21"/>
                <w:szCs w:val="21"/>
                <w:lang w:val="en-US" w:eastAsia="zh-CN" w:bidi="ar"/>
              </w:rPr>
              <w:t>。</w:t>
            </w:r>
            <w:r>
              <w:rPr>
                <w:rFonts w:hint="eastAsia" w:eastAsia="宋体"/>
                <w:kern w:val="0"/>
                <w:sz w:val="21"/>
                <w:szCs w:val="21"/>
                <w:lang w:val="en-US" w:eastAsia="zh-CN"/>
              </w:rPr>
              <w:t>动物尸体</w:t>
            </w:r>
            <w:r>
              <w:rPr>
                <w:rFonts w:hint="default" w:ascii="Times New Roman" w:hAnsi="Times New Roman" w:eastAsia="宋体" w:cs="Times New Roman"/>
                <w:color w:val="000000"/>
                <w:kern w:val="0"/>
                <w:sz w:val="21"/>
                <w:szCs w:val="21"/>
                <w:lang w:val="en-US" w:eastAsia="zh-CN" w:bidi="ar"/>
              </w:rPr>
              <w:t>装入专用尸体袋中存放于尸体冰柜内，动物垫料、动物粪便等废物经紫外线消毒处理后，与动物尸体一起委托具备《动物防疫条件合格证》等相关资质的单位运走，按规定进行集中无害化处理</w:t>
            </w:r>
            <w:r>
              <w:rPr>
                <w:rFonts w:hint="eastAsia" w:ascii="Times New Roman" w:hAnsi="Times New Roman" w:eastAsia="宋体" w:cs="Times New Roman"/>
                <w:color w:val="000000"/>
                <w:kern w:val="0"/>
                <w:sz w:val="21"/>
                <w:szCs w:val="21"/>
                <w:lang w:val="en-US" w:eastAsia="zh-CN" w:bidi="ar"/>
              </w:rPr>
              <w:t>。</w:t>
            </w:r>
          </w:p>
          <w:p>
            <w:pPr>
              <w:pStyle w:val="24"/>
              <w:ind w:left="0" w:leftChars="0" w:firstLine="0" w:firstLineChars="0"/>
              <w:rPr>
                <w:rFonts w:hint="default"/>
                <w:lang w:val="en-US" w:eastAsia="zh-CN"/>
              </w:rPr>
            </w:pPr>
            <w:r>
              <w:rPr>
                <w:rFonts w:hint="eastAsia" w:ascii="宋体" w:hAnsi="宋体" w:cs="宋体"/>
                <w:b/>
                <w:bCs/>
                <w:szCs w:val="21"/>
                <w:lang w:val="en-US" w:eastAsia="zh-CN"/>
              </w:rPr>
              <w:t>危险废物：</w:t>
            </w:r>
            <w:r>
              <w:rPr>
                <w:rFonts w:hint="eastAsia"/>
                <w:kern w:val="0"/>
                <w:sz w:val="21"/>
                <w:szCs w:val="21"/>
                <w:lang w:val="en-US" w:eastAsia="zh-CN"/>
              </w:rPr>
              <w:t>实验废弃物</w:t>
            </w:r>
            <w:r>
              <w:rPr>
                <w:rFonts w:hint="eastAsia" w:ascii="Times New Roman" w:hAnsi="Times New Roman" w:eastAsia="宋体" w:cs="Times New Roman"/>
                <w:color w:val="000000"/>
                <w:kern w:val="0"/>
                <w:sz w:val="21"/>
                <w:szCs w:val="21"/>
                <w:lang w:val="en-US" w:eastAsia="zh-CN" w:bidi="ar"/>
              </w:rPr>
              <w:t>使用</w:t>
            </w:r>
            <w:r>
              <w:rPr>
                <w:rFonts w:hint="default" w:ascii="宋体" w:hAnsi="宋体" w:eastAsia="宋体" w:cs="宋体"/>
                <w:b w:val="0"/>
                <w:bCs w:val="0"/>
                <w:color w:val="000000"/>
                <w:kern w:val="0"/>
                <w:sz w:val="21"/>
                <w:szCs w:val="21"/>
                <w:lang w:val="en-US" w:eastAsia="zh-CN" w:bidi="ar"/>
              </w:rPr>
              <w:t>密封瓶</w:t>
            </w:r>
            <w:r>
              <w:rPr>
                <w:rFonts w:hint="eastAsia" w:ascii="宋体" w:hAnsi="宋体" w:eastAsia="宋体" w:cs="宋体"/>
                <w:b w:val="0"/>
                <w:bCs w:val="0"/>
                <w:color w:val="000000"/>
                <w:kern w:val="0"/>
                <w:sz w:val="21"/>
                <w:szCs w:val="21"/>
                <w:lang w:val="en-US" w:eastAsia="zh-CN" w:bidi="ar"/>
              </w:rPr>
              <w:t>/密封袋分类收集后暂存于实验室危废暂存间，</w:t>
            </w:r>
            <w:r>
              <w:rPr>
                <w:rFonts w:hint="default" w:ascii="Times New Roman" w:hAnsi="Times New Roman" w:eastAsia="宋体" w:cs="Times New Roman"/>
                <w:color w:val="000000"/>
                <w:kern w:val="0"/>
                <w:sz w:val="21"/>
                <w:szCs w:val="21"/>
                <w:lang w:val="en-US" w:eastAsia="zh-CN" w:bidi="ar"/>
              </w:rPr>
              <w:t>签订危废处置协议并定期交由危废资质单位处理</w:t>
            </w:r>
            <w:r>
              <w:rPr>
                <w:rFonts w:hint="eastAsia"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b w:val="0"/>
                <w:bCs w:val="0"/>
                <w:color w:val="000000"/>
                <w:kern w:val="0"/>
                <w:sz w:val="21"/>
                <w:szCs w:val="21"/>
                <w:lang w:val="en-US" w:eastAsia="zh-CN" w:bidi="ar"/>
              </w:rPr>
              <w:t>废活性炭</w:t>
            </w:r>
            <w:r>
              <w:rPr>
                <w:rFonts w:hint="default" w:ascii="Times New Roman" w:hAnsi="Times New Roman" w:eastAsia="宋体" w:cs="Times New Roman"/>
                <w:color w:val="000000"/>
                <w:kern w:val="0"/>
                <w:sz w:val="21"/>
                <w:szCs w:val="21"/>
                <w:lang w:val="en-US" w:eastAsia="zh-CN" w:bidi="ar"/>
              </w:rPr>
              <w:t>使用密封袋收集后暂存于</w:t>
            </w:r>
            <w:r>
              <w:rPr>
                <w:rFonts w:hint="eastAsia" w:ascii="Times New Roman" w:hAnsi="Times New Roman" w:eastAsia="宋体" w:cs="Times New Roman"/>
                <w:color w:val="000000"/>
                <w:kern w:val="0"/>
                <w:sz w:val="21"/>
                <w:szCs w:val="21"/>
                <w:lang w:val="en-US" w:eastAsia="zh-CN" w:bidi="ar"/>
              </w:rPr>
              <w:t>实验室危废</w:t>
            </w:r>
            <w:r>
              <w:rPr>
                <w:rFonts w:hint="default" w:ascii="Times New Roman" w:hAnsi="Times New Roman" w:eastAsia="宋体" w:cs="Times New Roman"/>
                <w:color w:val="000000"/>
                <w:kern w:val="0"/>
                <w:sz w:val="21"/>
                <w:szCs w:val="21"/>
                <w:lang w:val="en-US" w:eastAsia="zh-CN" w:bidi="ar"/>
              </w:rPr>
              <w:t>暂存间，签订危废处置协议并定期交由危废资质单位处理</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土壤及地下水污染防治措施</w:t>
            </w:r>
          </w:p>
        </w:tc>
        <w:tc>
          <w:tcPr>
            <w:tcW w:w="819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sz w:val="21"/>
                <w:szCs w:val="21"/>
              </w:rPr>
            </w:pPr>
            <w:r>
              <w:rPr>
                <w:rFonts w:hint="eastAsia"/>
                <w:color w:val="000000"/>
                <w:sz w:val="21"/>
                <w:szCs w:val="21"/>
              </w:rPr>
              <w:t>按各功能单元所处的位置划分为重点防渗区</w:t>
            </w:r>
            <w:r>
              <w:rPr>
                <w:rFonts w:hint="eastAsia"/>
                <w:color w:val="000000"/>
                <w:sz w:val="21"/>
                <w:szCs w:val="21"/>
                <w:lang w:eastAsia="zh-CN"/>
              </w:rPr>
              <w:t>、</w:t>
            </w:r>
            <w:r>
              <w:rPr>
                <w:rFonts w:hint="eastAsia"/>
                <w:color w:val="000000"/>
                <w:sz w:val="21"/>
                <w:szCs w:val="21"/>
              </w:rPr>
              <w:t>一般防渗区</w:t>
            </w:r>
            <w:r>
              <w:rPr>
                <w:rFonts w:hint="eastAsia"/>
                <w:color w:val="000000"/>
                <w:sz w:val="21"/>
                <w:szCs w:val="21"/>
                <w:lang w:eastAsia="zh-CN"/>
              </w:rPr>
              <w:t>、</w:t>
            </w:r>
            <w:r>
              <w:rPr>
                <w:rFonts w:hint="eastAsia"/>
                <w:color w:val="000000"/>
                <w:sz w:val="21"/>
                <w:szCs w:val="21"/>
                <w:lang w:val="en-US" w:eastAsia="zh-CN"/>
              </w:rPr>
              <w:t>简单防渗区</w:t>
            </w:r>
            <w:r>
              <w:rPr>
                <w:rFonts w:hint="eastAsia"/>
                <w:color w:val="00000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kern w:val="0"/>
                <w:sz w:val="21"/>
                <w:szCs w:val="21"/>
                <w:lang w:val="en-US" w:eastAsia="zh-CN"/>
              </w:rPr>
            </w:pPr>
            <w:r>
              <w:rPr>
                <w:rFonts w:hint="eastAsia"/>
                <w:b/>
                <w:bCs/>
                <w:kern w:val="0"/>
                <w:sz w:val="21"/>
                <w:szCs w:val="21"/>
              </w:rPr>
              <w:t>重点防渗区</w:t>
            </w:r>
            <w:r>
              <w:rPr>
                <w:rFonts w:hint="eastAsia"/>
                <w:b/>
                <w:bCs/>
                <w:kern w:val="0"/>
                <w:sz w:val="21"/>
                <w:szCs w:val="21"/>
                <w:lang w:eastAsia="zh-CN"/>
              </w:rPr>
              <w:t>：</w:t>
            </w:r>
            <w:r>
              <w:rPr>
                <w:rFonts w:hint="eastAsia"/>
                <w:kern w:val="0"/>
                <w:sz w:val="21"/>
                <w:szCs w:val="21"/>
              </w:rPr>
              <w:t>危废暂存间</w:t>
            </w:r>
            <w:r>
              <w:rPr>
                <w:rFonts w:hint="eastAsia"/>
                <w:kern w:val="0"/>
                <w:sz w:val="21"/>
                <w:szCs w:val="21"/>
                <w:lang w:eastAsia="zh-CN"/>
              </w:rPr>
              <w:t>、</w:t>
            </w:r>
            <w:r>
              <w:rPr>
                <w:rFonts w:hint="eastAsia"/>
                <w:kern w:val="0"/>
                <w:sz w:val="21"/>
                <w:szCs w:val="21"/>
                <w:lang w:val="en-US" w:eastAsia="zh-CN"/>
              </w:rPr>
              <w:t>发电机房。采取</w:t>
            </w:r>
            <w:r>
              <w:rPr>
                <w:rFonts w:hint="eastAsia"/>
                <w:kern w:val="0"/>
                <w:sz w:val="21"/>
                <w:szCs w:val="21"/>
              </w:rPr>
              <w:t>水泥硬化+瓷砖+2mm厚环氧树脂，液态物料桶置于托盘内</w:t>
            </w:r>
            <w:r>
              <w:rPr>
                <w:rFonts w:hint="eastAsia"/>
                <w:kern w:val="0"/>
                <w:sz w:val="21"/>
                <w:szCs w:val="21"/>
                <w:lang w:eastAsia="zh-CN"/>
              </w:rPr>
              <w:t>。</w:t>
            </w:r>
            <w:r>
              <w:rPr>
                <w:rFonts w:hint="eastAsia"/>
                <w:kern w:val="0"/>
                <w:sz w:val="21"/>
                <w:szCs w:val="21"/>
                <w:lang w:val="en-US" w:eastAsia="zh-CN"/>
              </w:rPr>
              <w:t>达到</w:t>
            </w:r>
            <w:r>
              <w:rPr>
                <w:rFonts w:hint="eastAsia"/>
                <w:kern w:val="0"/>
                <w:sz w:val="21"/>
                <w:szCs w:val="21"/>
              </w:rPr>
              <w:t>等效黏土防渗层Mb≥6.0m，</w:t>
            </w:r>
            <w:r>
              <w:rPr>
                <w:kern w:val="0"/>
                <w:sz w:val="21"/>
                <w:szCs w:val="21"/>
              </w:rPr>
              <w:t>防渗层渗透系数</w:t>
            </w:r>
            <w:r>
              <w:rPr>
                <w:rFonts w:eastAsia="TimesNewRomanPSMT"/>
                <w:kern w:val="0"/>
                <w:sz w:val="21"/>
                <w:szCs w:val="21"/>
              </w:rPr>
              <w:t>≤10</w:t>
            </w:r>
            <w:r>
              <w:rPr>
                <w:rFonts w:eastAsia="TimesNewRomanPSMT"/>
                <w:kern w:val="0"/>
                <w:sz w:val="21"/>
                <w:szCs w:val="21"/>
                <w:vertAlign w:val="superscript"/>
              </w:rPr>
              <w:t>-10</w:t>
            </w:r>
            <w:r>
              <w:rPr>
                <w:rFonts w:eastAsia="TimesNewRomanPSMT"/>
                <w:kern w:val="0"/>
                <w:sz w:val="21"/>
                <w:szCs w:val="21"/>
              </w:rPr>
              <w:t>cm/s</w:t>
            </w:r>
            <w:r>
              <w:rPr>
                <w:rFonts w:hint="eastAsia" w:eastAsia="宋体"/>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kern w:val="0"/>
                <w:sz w:val="21"/>
                <w:szCs w:val="21"/>
                <w:lang w:val="en-US" w:eastAsia="zh-CN"/>
              </w:rPr>
            </w:pPr>
            <w:r>
              <w:rPr>
                <w:rFonts w:hint="eastAsia"/>
                <w:b/>
                <w:bCs/>
                <w:kern w:val="0"/>
                <w:sz w:val="21"/>
                <w:szCs w:val="21"/>
              </w:rPr>
              <w:t>一般防渗区</w:t>
            </w:r>
            <w:r>
              <w:rPr>
                <w:rFonts w:hint="eastAsia"/>
                <w:b/>
                <w:bCs/>
                <w:kern w:val="0"/>
                <w:sz w:val="21"/>
                <w:szCs w:val="21"/>
                <w:lang w:eastAsia="zh-CN"/>
              </w:rPr>
              <w:t>：</w:t>
            </w:r>
            <w:r>
              <w:rPr>
                <w:rFonts w:hint="eastAsia"/>
                <w:kern w:val="0"/>
                <w:sz w:val="21"/>
                <w:szCs w:val="21"/>
                <w:lang w:val="en-US" w:eastAsia="zh-CN"/>
              </w:rPr>
              <w:t>实验室区域、隔油池、化粪池、中和池、垃圾临时堆放间、食堂加工区，各区域卫生间。采取</w:t>
            </w:r>
            <w:r>
              <w:rPr>
                <w:rFonts w:hint="eastAsia"/>
                <w:kern w:val="0"/>
                <w:sz w:val="21"/>
                <w:szCs w:val="21"/>
              </w:rPr>
              <w:t>水泥硬化+瓷砖，实验试剂存储在专门的贮存柜内</w:t>
            </w:r>
            <w:r>
              <w:rPr>
                <w:rFonts w:hint="eastAsia"/>
                <w:kern w:val="0"/>
                <w:sz w:val="21"/>
                <w:szCs w:val="21"/>
                <w:lang w:eastAsia="zh-CN"/>
              </w:rPr>
              <w:t>。</w:t>
            </w:r>
            <w:r>
              <w:rPr>
                <w:rFonts w:hint="eastAsia"/>
                <w:kern w:val="0"/>
                <w:sz w:val="21"/>
                <w:szCs w:val="21"/>
              </w:rPr>
              <w:t>抗渗混凝土硬化</w:t>
            </w:r>
            <w:r>
              <w:rPr>
                <w:rFonts w:hint="eastAsia"/>
                <w:kern w:val="0"/>
                <w:sz w:val="21"/>
                <w:szCs w:val="21"/>
                <w:lang w:eastAsia="zh-CN"/>
              </w:rPr>
              <w:t>。</w:t>
            </w:r>
            <w:r>
              <w:rPr>
                <w:rFonts w:hint="eastAsia"/>
                <w:kern w:val="0"/>
                <w:sz w:val="21"/>
                <w:szCs w:val="21"/>
                <w:lang w:val="en-US" w:eastAsia="zh-CN"/>
              </w:rPr>
              <w:t>达到</w:t>
            </w:r>
            <w:r>
              <w:rPr>
                <w:rFonts w:hint="eastAsia"/>
                <w:kern w:val="0"/>
                <w:sz w:val="21"/>
                <w:szCs w:val="21"/>
              </w:rPr>
              <w:t>等效黏土防渗层Mb≥1.5m，K≤1</w:t>
            </w:r>
            <w:r>
              <w:rPr>
                <w:kern w:val="0"/>
                <w:sz w:val="21"/>
                <w:szCs w:val="21"/>
              </w:rPr>
              <w:t>×</w:t>
            </w:r>
            <w:r>
              <w:rPr>
                <w:rFonts w:hint="eastAsia"/>
                <w:kern w:val="0"/>
                <w:sz w:val="21"/>
                <w:szCs w:val="21"/>
              </w:rPr>
              <w:t>10</w:t>
            </w:r>
            <w:r>
              <w:rPr>
                <w:rFonts w:hint="eastAsia"/>
                <w:kern w:val="0"/>
                <w:sz w:val="21"/>
                <w:szCs w:val="21"/>
                <w:vertAlign w:val="superscript"/>
              </w:rPr>
              <w:t>-7</w:t>
            </w:r>
            <w:r>
              <w:rPr>
                <w:rFonts w:hint="eastAsia"/>
                <w:kern w:val="0"/>
                <w:sz w:val="21"/>
                <w:szCs w:val="21"/>
              </w:rPr>
              <w:t>cm/s</w:t>
            </w:r>
            <w:r>
              <w:rPr>
                <w:rFonts w:hint="eastAsia"/>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Cs w:val="21"/>
                <w:lang w:eastAsia="zh-CN"/>
              </w:rPr>
            </w:pPr>
            <w:r>
              <w:rPr>
                <w:rFonts w:hint="eastAsia"/>
                <w:b/>
                <w:bCs/>
                <w:kern w:val="0"/>
                <w:sz w:val="21"/>
                <w:szCs w:val="21"/>
                <w:lang w:val="en-US" w:eastAsia="zh-CN"/>
              </w:rPr>
              <w:t>简单防渗区：</w:t>
            </w:r>
            <w:r>
              <w:rPr>
                <w:rFonts w:hint="eastAsia"/>
                <w:kern w:val="0"/>
                <w:sz w:val="21"/>
                <w:szCs w:val="21"/>
              </w:rPr>
              <w:t>除重点防渗区、一般防渗区、绿化区域以外的其他区域</w:t>
            </w:r>
            <w:r>
              <w:rPr>
                <w:rFonts w:hint="eastAsia"/>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8190" w:type="dxa"/>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8190" w:type="dxa"/>
            <w:gridSpan w:val="4"/>
            <w:noWrap w:val="0"/>
            <w:vAlign w:val="center"/>
          </w:tcPr>
          <w:p>
            <w:pPr>
              <w:autoSpaceDE w:val="0"/>
              <w:autoSpaceDN w:val="0"/>
              <w:adjustRightInd w:val="0"/>
              <w:snapToGrid w:val="0"/>
              <w:spacing w:line="300" w:lineRule="auto"/>
              <w:jc w:val="center"/>
              <w:rPr>
                <w:rFonts w:hint="eastAsia" w:ascii="宋体" w:hAnsi="宋体" w:eastAsia="宋体" w:cs="宋体"/>
                <w:szCs w:val="21"/>
                <w:lang w:val="en-US" w:eastAsia="zh-CN"/>
              </w:rPr>
            </w:pPr>
            <w:r>
              <w:rPr>
                <w:rFonts w:hint="default" w:ascii="Times New Roman" w:hAnsi="Times New Roman" w:eastAsia="宋体" w:cs="Times New Roman"/>
                <w:sz w:val="21"/>
                <w:szCs w:val="21"/>
              </w:rPr>
              <w:t>存放化学品的场所做好防渗漏措施，避免化学品泄漏至室外。实验室内应设置专用容器分类收集废液，不同种类不同性质的废液应收集在不同的容器内，禁止直接收集在同一容器内，避免发生意外事故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auto"/>
                <w:sz w:val="21"/>
                <w:szCs w:val="21"/>
              </w:rPr>
              <w:t>发电机房设置应急桶，并设置围堰，</w:t>
            </w:r>
            <w:r>
              <w:rPr>
                <w:rFonts w:hint="default" w:ascii="Times New Roman" w:hAnsi="Times New Roman" w:eastAsia="宋体" w:cs="Times New Roman"/>
                <w:color w:val="auto"/>
                <w:sz w:val="21"/>
                <w:szCs w:val="21"/>
                <w:lang w:val="en-US" w:eastAsia="zh-CN"/>
              </w:rPr>
              <w:t>地面进行重点防渗</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危废暂存间</w:t>
            </w:r>
            <w:r>
              <w:rPr>
                <w:rFonts w:hint="default" w:ascii="Times New Roman" w:hAnsi="Times New Roman" w:eastAsia="宋体" w:cs="Times New Roman"/>
                <w:sz w:val="21"/>
                <w:szCs w:val="21"/>
              </w:rPr>
              <w:t>各废液容器底部设置金属托盘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地面</w:t>
            </w:r>
            <w:r>
              <w:rPr>
                <w:rFonts w:hint="default" w:ascii="Times New Roman" w:hAnsi="Times New Roman" w:eastAsia="宋体" w:cs="Times New Roman"/>
                <w:color w:val="auto"/>
                <w:sz w:val="21"/>
                <w:szCs w:val="21"/>
                <w:lang w:val="en-US" w:eastAsia="zh-CN"/>
              </w:rPr>
              <w:t>进行重点防渗。</w:t>
            </w:r>
            <w:r>
              <w:rPr>
                <w:rFonts w:hint="default" w:ascii="Times New Roman" w:hAnsi="Times New Roman" w:eastAsia="宋体" w:cs="Times New Roman"/>
                <w:color w:val="auto"/>
                <w:sz w:val="21"/>
                <w:szCs w:val="21"/>
              </w:rPr>
              <w:t>加强污水处理设备的检查、维护保养，及时更新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加强废气处理设施及设备的定期检修和维护工作，及时、足量更换活性炭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sz w:val="21"/>
                <w:szCs w:val="21"/>
              </w:rPr>
              <w:t>加强管理，保证用电、用水、用气等安全，做好消防保证措施</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按照国家规范，合理安排消防交通组织，确保消防扑救面和消防通道的畅通。</w:t>
            </w:r>
            <w:r>
              <w:rPr>
                <w:rFonts w:hint="default" w:ascii="Times New Roman" w:hAnsi="Times New Roman" w:eastAsia="宋体" w:cs="Times New Roman"/>
                <w:sz w:val="21"/>
                <w:szCs w:val="21"/>
              </w:rPr>
              <w:t>配备相应数量灭火器</w:t>
            </w:r>
            <w:r>
              <w:rPr>
                <w:rFonts w:hint="eastAsia" w:ascii="Times New Roman" w:hAnsi="Times New Roman" w:eastAsia="宋体" w:cs="Times New Roman"/>
                <w:sz w:val="21"/>
                <w:szCs w:val="21"/>
                <w:lang w:eastAsia="zh-CN"/>
              </w:rPr>
              <w:t>。</w:t>
            </w:r>
            <w:r>
              <w:rPr>
                <w:rFonts w:hint="default" w:ascii="Times New Roman" w:hAnsi="Times New Roman" w:cs="Times New Roman"/>
                <w:color w:val="auto"/>
                <w:sz w:val="21"/>
                <w:szCs w:val="21"/>
                <w:highlight w:val="none"/>
              </w:rPr>
              <w:t>严格规范化操作、建立必要的预备系统或设备、制定事故及时处理计划、编制应急预案</w:t>
            </w:r>
            <w:r>
              <w:rPr>
                <w:rFonts w:hint="eastAsia" w:ascii="Times New Roman" w:hAnsi="Times New Roman"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5"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8190"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firstLine="422" w:firstLineChars="200"/>
              <w:textAlignment w:val="auto"/>
              <w:rPr>
                <w:b/>
                <w:bCs/>
                <w:color w:val="auto"/>
              </w:rPr>
            </w:pPr>
            <w:r>
              <w:rPr>
                <w:rFonts w:hint="eastAsia"/>
                <w:b/>
                <w:bCs/>
                <w:color w:val="auto"/>
                <w:lang w:val="en-US" w:eastAsia="zh-CN"/>
              </w:rPr>
              <w:t>1、</w:t>
            </w:r>
            <w:r>
              <w:rPr>
                <w:b/>
                <w:bCs/>
                <w:color w:val="auto"/>
              </w:rPr>
              <w:t>环境管理</w:t>
            </w:r>
          </w:p>
          <w:p>
            <w:pPr>
              <w:numPr>
                <w:ilvl w:val="0"/>
                <w:numId w:val="0"/>
              </w:numPr>
              <w:spacing w:line="276" w:lineRule="auto"/>
              <w:ind w:firstLine="420" w:firstLineChars="200"/>
              <w:rPr>
                <w:color w:val="auto"/>
              </w:rPr>
            </w:pPr>
            <w:r>
              <w:rPr>
                <w:color w:val="auto"/>
              </w:rPr>
              <w:t>（1）根据《中华人民共和国环境保护法</w:t>
            </w:r>
            <w:r>
              <w:rPr>
                <w:rFonts w:hint="eastAsia"/>
                <w:color w:val="auto"/>
                <w:lang w:eastAsia="zh-CN"/>
              </w:rPr>
              <w:t>》《</w:t>
            </w:r>
            <w:r>
              <w:rPr>
                <w:color w:val="auto"/>
              </w:rPr>
              <w:t>中华人民共和国固体废物污染防治法</w:t>
            </w:r>
            <w:r>
              <w:rPr>
                <w:rFonts w:hint="eastAsia"/>
                <w:color w:val="auto"/>
                <w:lang w:eastAsia="zh-CN"/>
              </w:rPr>
              <w:t>》《</w:t>
            </w:r>
            <w:r>
              <w:rPr>
                <w:color w:val="auto"/>
              </w:rPr>
              <w:t>地表水环境质量标准》</w:t>
            </w:r>
            <w:r>
              <w:rPr>
                <w:rFonts w:hint="eastAsia"/>
                <w:color w:val="auto"/>
              </w:rPr>
              <w:t>（</w:t>
            </w:r>
            <w:r>
              <w:rPr>
                <w:color w:val="auto"/>
              </w:rPr>
              <w:t>GB3838-2002</w:t>
            </w:r>
            <w:r>
              <w:rPr>
                <w:rFonts w:hint="eastAsia"/>
                <w:color w:val="auto"/>
              </w:rPr>
              <w:t>）</w:t>
            </w:r>
            <w:r>
              <w:rPr>
                <w:color w:val="auto"/>
              </w:rPr>
              <w:t>、《四川省危险废物污染环境防治办法</w:t>
            </w:r>
            <w:r>
              <w:rPr>
                <w:rFonts w:hint="eastAsia"/>
                <w:color w:val="auto"/>
                <w:lang w:eastAsia="zh-CN"/>
              </w:rPr>
              <w:t>》《</w:t>
            </w:r>
            <w:r>
              <w:rPr>
                <w:color w:val="auto"/>
              </w:rPr>
              <w:t>环境空气质量标准》</w:t>
            </w:r>
            <w:r>
              <w:rPr>
                <w:rFonts w:hint="eastAsia"/>
                <w:color w:val="auto"/>
              </w:rPr>
              <w:t>（</w:t>
            </w:r>
            <w:r>
              <w:rPr>
                <w:color w:val="auto"/>
              </w:rPr>
              <w:t>GB3095-2012</w:t>
            </w:r>
            <w:r>
              <w:rPr>
                <w:rFonts w:hint="eastAsia"/>
                <w:color w:val="auto"/>
              </w:rPr>
              <w:t>）</w:t>
            </w:r>
            <w:r>
              <w:rPr>
                <w:color w:val="auto"/>
              </w:rPr>
              <w:t>、《工业企业厂界环境噪声排放标准》（GB12348-2008）等，对本工程的环境保护工作进行全面的监督及管理，健全</w:t>
            </w:r>
            <w:r>
              <w:rPr>
                <w:rFonts w:hint="eastAsia"/>
                <w:color w:val="auto"/>
                <w:lang w:val="en-US" w:eastAsia="zh-CN"/>
              </w:rPr>
              <w:t>项目</w:t>
            </w:r>
            <w:r>
              <w:rPr>
                <w:color w:val="auto"/>
              </w:rPr>
              <w:t>污染源档案。</w:t>
            </w:r>
          </w:p>
          <w:p>
            <w:pPr>
              <w:spacing w:line="276" w:lineRule="auto"/>
              <w:ind w:firstLine="420" w:firstLineChars="200"/>
              <w:rPr>
                <w:color w:val="auto"/>
              </w:rPr>
            </w:pPr>
            <w:r>
              <w:rPr>
                <w:color w:val="auto"/>
              </w:rPr>
              <w:t>（2）对污染物的各种处理设备的正常工作状态进行监督管理，对项目区域的自然和生态环境进行保护。</w:t>
            </w:r>
          </w:p>
          <w:p>
            <w:pPr>
              <w:spacing w:line="276" w:lineRule="auto"/>
              <w:ind w:firstLine="420" w:firstLineChars="200"/>
              <w:rPr>
                <w:color w:val="auto"/>
              </w:rPr>
            </w:pPr>
            <w:r>
              <w:rPr>
                <w:color w:val="auto"/>
              </w:rPr>
              <w:t>（3）对</w:t>
            </w:r>
            <w:r>
              <w:rPr>
                <w:rFonts w:hint="eastAsia"/>
                <w:color w:val="auto"/>
                <w:lang w:val="en-US" w:eastAsia="zh-CN"/>
              </w:rPr>
              <w:t>项目</w:t>
            </w:r>
            <w:r>
              <w:rPr>
                <w:color w:val="auto"/>
              </w:rPr>
              <w:t>产生的污染物及处置情况进行记录、管理。</w:t>
            </w:r>
          </w:p>
          <w:p>
            <w:pPr>
              <w:spacing w:line="276" w:lineRule="auto"/>
              <w:ind w:firstLine="422" w:firstLineChars="200"/>
              <w:rPr>
                <w:b/>
                <w:bCs/>
                <w:color w:val="auto"/>
              </w:rPr>
            </w:pPr>
            <w:r>
              <w:rPr>
                <w:b/>
                <w:bCs/>
                <w:color w:val="auto"/>
              </w:rPr>
              <w:t>2、环境监测计划</w:t>
            </w:r>
          </w:p>
          <w:p>
            <w:pPr>
              <w:spacing w:line="276" w:lineRule="auto"/>
              <w:ind w:firstLine="420" w:firstLineChars="200"/>
              <w:rPr>
                <w:rFonts w:hint="eastAsia" w:eastAsia="宋体"/>
                <w:color w:val="auto"/>
                <w:lang w:eastAsia="zh-CN"/>
              </w:rPr>
            </w:pPr>
            <w:r>
              <w:rPr>
                <w:color w:val="auto"/>
              </w:rPr>
              <w:t>（1）制定自行监测方案，定期开展污染源监测</w:t>
            </w:r>
            <w:r>
              <w:rPr>
                <w:rFonts w:hint="eastAsia"/>
                <w:color w:val="auto"/>
                <w:lang w:eastAsia="zh-CN"/>
              </w:rPr>
              <w:t>。</w:t>
            </w:r>
          </w:p>
          <w:p>
            <w:pPr>
              <w:spacing w:line="276" w:lineRule="auto"/>
              <w:ind w:firstLine="420" w:firstLineChars="200"/>
              <w:rPr>
                <w:rFonts w:hint="eastAsia" w:eastAsia="宋体"/>
                <w:color w:val="auto"/>
                <w:lang w:eastAsia="zh-CN"/>
              </w:rPr>
            </w:pPr>
            <w:r>
              <w:rPr>
                <w:color w:val="auto"/>
              </w:rPr>
              <w:t>（2）对环保治理设施的运行情况进行监测，以便及时对设施的设计和处理效果进行比较；发现问题及时报告有关部门</w:t>
            </w:r>
            <w:r>
              <w:rPr>
                <w:rFonts w:hint="eastAsia"/>
                <w:color w:val="auto"/>
                <w:lang w:eastAsia="zh-CN"/>
              </w:rPr>
              <w:t>。</w:t>
            </w:r>
          </w:p>
          <w:p>
            <w:pPr>
              <w:spacing w:line="276" w:lineRule="auto"/>
              <w:ind w:firstLine="420" w:firstLineChars="200"/>
              <w:rPr>
                <w:rFonts w:hint="eastAsia"/>
                <w:color w:val="auto"/>
                <w:lang w:eastAsia="zh-CN"/>
              </w:rPr>
            </w:pPr>
            <w:r>
              <w:rPr>
                <w:color w:val="auto"/>
              </w:rPr>
              <w:t>（3）当发生污染事故时，进行应急监测，为采取处理措施提供第一手资料</w:t>
            </w:r>
            <w:r>
              <w:rPr>
                <w:rFonts w:hint="eastAsia"/>
                <w:color w:val="auto"/>
                <w:lang w:eastAsia="zh-CN"/>
              </w:rPr>
              <w:t>。</w:t>
            </w:r>
          </w:p>
          <w:p>
            <w:pPr>
              <w:spacing w:line="276" w:lineRule="auto"/>
              <w:ind w:firstLine="422" w:firstLineChars="200"/>
              <w:rPr>
                <w:rFonts w:hint="default"/>
                <w:b/>
                <w:bCs/>
                <w:color w:val="auto"/>
                <w:lang w:val="en-US" w:eastAsia="zh-CN"/>
              </w:rPr>
            </w:pPr>
            <w:r>
              <w:rPr>
                <w:rFonts w:hint="eastAsia"/>
                <w:b/>
                <w:bCs/>
                <w:color w:val="auto"/>
                <w:lang w:val="en-US" w:eastAsia="zh-CN"/>
              </w:rPr>
              <w:t>3、排污口规范化管理</w:t>
            </w:r>
          </w:p>
          <w:p>
            <w:pPr>
              <w:spacing w:line="276" w:lineRule="auto"/>
              <w:ind w:firstLine="420" w:firstLineChars="200"/>
              <w:rPr>
                <w:rFonts w:hint="eastAsia"/>
                <w:color w:val="auto"/>
                <w:lang w:eastAsia="zh-CN"/>
              </w:rPr>
            </w:pPr>
            <w:r>
              <w:rPr>
                <w:rFonts w:hint="eastAsia"/>
                <w:color w:val="auto"/>
                <w:lang w:eastAsia="zh-CN"/>
              </w:rPr>
              <w:t>监测点位标志牌设置要求：</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标志牌应设置在距污染物监测点位较近且醒目处，并能长久保留。</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环保图形标志必须符合原国家环境保护局和国家技术监督局发布的《环境保护图形标志-排放口（源）》（GB15562.1-1995）、《环境保护图形标志-固体废物贮存（处置）场》（GB 15562.2-1995）、《危险废物识别标志设置技术规范》（HJ 1276—2022）等规定。</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提示标志牌：底和立柱为绿色，图案、边框、支架和文字为白色。</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标志牌内容：排放口标志名称、单位名称、编号、污染物种类、国家环境保护总局监制。</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 xml:space="preserve">标志字型：黑体字。 </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标志牌尺寸：平面固定式标志牌外形尺寸480×300mm；立式固定式标志牌外形尺寸 420×420mm。</w:t>
            </w:r>
          </w:p>
          <w:p>
            <w:pPr>
              <w:spacing w:line="276"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标志牌材料：标志牌采用 1.5~2mm 冷轧钢板，表面采用搪瓷或者反光贴膜。</w:t>
            </w:r>
          </w:p>
          <w:p>
            <w:pPr>
              <w:pageBreakBefore w:val="0"/>
              <w:topLinePunct w:val="0"/>
              <w:bidi w:val="0"/>
              <w:spacing w:beforeAutospacing="0" w:afterAutospacing="0" w:line="360" w:lineRule="auto"/>
              <w:ind w:lef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排放口图形标志牌见下表。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lang w:val="en-US" w:eastAsia="zh-CN"/>
              </w:rPr>
              <w:t>5-1</w:t>
            </w:r>
            <w:r>
              <w:rPr>
                <w:rFonts w:hint="default" w:ascii="Times New Roman" w:hAnsi="Times New Roman" w:eastAsia="黑体" w:cs="Times New Roman"/>
                <w:color w:val="auto"/>
                <w:szCs w:val="21"/>
                <w:highlight w:val="none"/>
              </w:rPr>
              <w:t xml:space="preserve"> 排放口图形标志牌</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7"/>
              <w:gridCol w:w="1836"/>
              <w:gridCol w:w="1839"/>
              <w:gridCol w:w="1441"/>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1153"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提示图形符号</w:t>
                  </w:r>
                </w:p>
              </w:tc>
              <w:tc>
                <w:tcPr>
                  <w:tcW w:w="1155"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警告图形符号</w:t>
                  </w:r>
                </w:p>
              </w:tc>
              <w:tc>
                <w:tcPr>
                  <w:tcW w:w="90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47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w:t>
                  </w:r>
                </w:p>
              </w:tc>
              <w:tc>
                <w:tcPr>
                  <w:tcW w:w="1153"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97280" cy="990600"/>
                        <wp:effectExtent l="0" t="0" r="762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0"/>
                                <a:stretch>
                                  <a:fillRect/>
                                </a:stretch>
                              </pic:blipFill>
                              <pic:spPr>
                                <a:xfrm>
                                  <a:off x="0" y="0"/>
                                  <a:ext cx="1097280" cy="990600"/>
                                </a:xfrm>
                                <a:prstGeom prst="rect">
                                  <a:avLst/>
                                </a:prstGeom>
                                <a:noFill/>
                                <a:ln>
                                  <a:noFill/>
                                </a:ln>
                              </pic:spPr>
                            </pic:pic>
                          </a:graphicData>
                        </a:graphic>
                      </wp:inline>
                    </w:drawing>
                  </w:r>
                </w:p>
              </w:tc>
              <w:tc>
                <w:tcPr>
                  <w:tcW w:w="1155"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017270" cy="1010920"/>
                        <wp:effectExtent l="0" t="0" r="11430" b="1778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1"/>
                                <a:stretch>
                                  <a:fillRect/>
                                </a:stretch>
                              </pic:blipFill>
                              <pic:spPr>
                                <a:xfrm>
                                  <a:off x="0" y="0"/>
                                  <a:ext cx="1017270" cy="1010920"/>
                                </a:xfrm>
                                <a:prstGeom prst="rect">
                                  <a:avLst/>
                                </a:prstGeom>
                                <a:noFill/>
                                <a:ln>
                                  <a:noFill/>
                                </a:ln>
                              </pic:spPr>
                            </pic:pic>
                          </a:graphicData>
                        </a:graphic>
                      </wp:inline>
                    </w:drawing>
                  </w:r>
                </w:p>
              </w:tc>
              <w:tc>
                <w:tcPr>
                  <w:tcW w:w="90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污水排放口</w:t>
                  </w:r>
                </w:p>
              </w:tc>
              <w:tc>
                <w:tcPr>
                  <w:tcW w:w="147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表示污水向水体排放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noWrap w:val="0"/>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2</w:t>
                  </w:r>
                </w:p>
              </w:tc>
              <w:tc>
                <w:tcPr>
                  <w:tcW w:w="1153"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28700" cy="990600"/>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2"/>
                                <a:stretch>
                                  <a:fillRect/>
                                </a:stretch>
                              </pic:blipFill>
                              <pic:spPr>
                                <a:xfrm>
                                  <a:off x="0" y="0"/>
                                  <a:ext cx="1028700" cy="990600"/>
                                </a:xfrm>
                                <a:prstGeom prst="rect">
                                  <a:avLst/>
                                </a:prstGeom>
                                <a:noFill/>
                                <a:ln>
                                  <a:noFill/>
                                </a:ln>
                              </pic:spPr>
                            </pic:pic>
                          </a:graphicData>
                        </a:graphic>
                      </wp:inline>
                    </w:drawing>
                  </w:r>
                </w:p>
              </w:tc>
              <w:tc>
                <w:tcPr>
                  <w:tcW w:w="1155"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143000" cy="1038225"/>
                        <wp:effectExtent l="0" t="0" r="0" b="952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3"/>
                                <a:srcRect l="-3448"/>
                                <a:stretch>
                                  <a:fillRect/>
                                </a:stretch>
                              </pic:blipFill>
                              <pic:spPr>
                                <a:xfrm>
                                  <a:off x="0" y="0"/>
                                  <a:ext cx="1143000" cy="1038225"/>
                                </a:xfrm>
                                <a:prstGeom prst="rect">
                                  <a:avLst/>
                                </a:prstGeom>
                                <a:noFill/>
                                <a:ln>
                                  <a:noFill/>
                                </a:ln>
                              </pic:spPr>
                            </pic:pic>
                          </a:graphicData>
                        </a:graphic>
                      </wp:inline>
                    </w:drawing>
                  </w:r>
                </w:p>
              </w:tc>
              <w:tc>
                <w:tcPr>
                  <w:tcW w:w="90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c>
                <w:tcPr>
                  <w:tcW w:w="147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noWrap w:val="0"/>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3</w:t>
                  </w:r>
                </w:p>
              </w:tc>
              <w:tc>
                <w:tcPr>
                  <w:tcW w:w="1153"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p>
              </w:tc>
              <w:tc>
                <w:tcPr>
                  <w:tcW w:w="1155"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Cs w:val="21"/>
                      <w:highlight w:val="none"/>
                    </w:rPr>
                  </w:pPr>
                  <w:r>
                    <w:rPr>
                      <w:rFonts w:ascii="宋体" w:hAnsi="宋体" w:eastAsia="宋体" w:cs="宋体"/>
                      <w:kern w:val="0"/>
                      <w:sz w:val="24"/>
                      <w:szCs w:val="24"/>
                      <w:lang w:val="en-US" w:eastAsia="zh-CN" w:bidi="ar"/>
                    </w:rPr>
                    <w:drawing>
                      <wp:inline distT="0" distB="0" distL="114300" distR="114300">
                        <wp:extent cx="1048385" cy="1229360"/>
                        <wp:effectExtent l="0" t="0" r="18415" b="8890"/>
                        <wp:docPr id="28"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descr="IMG_256"/>
                                <pic:cNvPicPr>
                                  <a:picLocks noChangeAspect="1"/>
                                </pic:cNvPicPr>
                              </pic:nvPicPr>
                              <pic:blipFill>
                                <a:blip r:embed="rId34"/>
                                <a:stretch>
                                  <a:fillRect/>
                                </a:stretch>
                              </pic:blipFill>
                              <pic:spPr>
                                <a:xfrm>
                                  <a:off x="0" y="0"/>
                                  <a:ext cx="1048385" cy="1229360"/>
                                </a:xfrm>
                                <a:prstGeom prst="rect">
                                  <a:avLst/>
                                </a:prstGeom>
                                <a:noFill/>
                                <a:ln>
                                  <a:noFill/>
                                </a:ln>
                              </pic:spPr>
                            </pic:pic>
                          </a:graphicData>
                        </a:graphic>
                      </wp:inline>
                    </w:drawing>
                  </w:r>
                </w:p>
              </w:tc>
              <w:tc>
                <w:tcPr>
                  <w:tcW w:w="90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147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noWrap w:val="0"/>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4</w:t>
                  </w:r>
                </w:p>
              </w:tc>
              <w:tc>
                <w:tcPr>
                  <w:tcW w:w="1153"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21080" cy="990600"/>
                        <wp:effectExtent l="0" t="0" r="7620"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5"/>
                                <a:stretch>
                                  <a:fillRect/>
                                </a:stretch>
                              </pic:blipFill>
                              <pic:spPr>
                                <a:xfrm>
                                  <a:off x="0" y="0"/>
                                  <a:ext cx="1021080" cy="990600"/>
                                </a:xfrm>
                                <a:prstGeom prst="rect">
                                  <a:avLst/>
                                </a:prstGeom>
                                <a:noFill/>
                                <a:ln>
                                  <a:noFill/>
                                </a:ln>
                              </pic:spPr>
                            </pic:pic>
                          </a:graphicData>
                        </a:graphic>
                      </wp:inline>
                    </w:drawing>
                  </w:r>
                </w:p>
              </w:tc>
              <w:tc>
                <w:tcPr>
                  <w:tcW w:w="1155"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133475" cy="1009650"/>
                        <wp:effectExtent l="0" t="0" r="9525" b="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6"/>
                                <a:stretch>
                                  <a:fillRect/>
                                </a:stretch>
                              </pic:blipFill>
                              <pic:spPr>
                                <a:xfrm>
                                  <a:off x="0" y="0"/>
                                  <a:ext cx="1133475" cy="1009650"/>
                                </a:xfrm>
                                <a:prstGeom prst="rect">
                                  <a:avLst/>
                                </a:prstGeom>
                                <a:noFill/>
                                <a:ln>
                                  <a:noFill/>
                                </a:ln>
                              </pic:spPr>
                            </pic:pic>
                          </a:graphicData>
                        </a:graphic>
                      </wp:inline>
                    </w:drawing>
                  </w:r>
                </w:p>
              </w:tc>
              <w:tc>
                <w:tcPr>
                  <w:tcW w:w="90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噪声排放源</w:t>
                  </w:r>
                </w:p>
              </w:tc>
              <w:tc>
                <w:tcPr>
                  <w:tcW w:w="1474" w:type="pct"/>
                  <w:tcBorders>
                    <w:tl2br w:val="nil"/>
                    <w:tr2bl w:val="nil"/>
                  </w:tcBorders>
                  <w:noWrap w:val="0"/>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表示噪声向外环境排放</w:t>
                  </w:r>
                </w:p>
              </w:tc>
            </w:tr>
          </w:tbl>
          <w:p>
            <w:pPr>
              <w:keepNext w:val="0"/>
              <w:keepLines w:val="0"/>
              <w:pageBreakBefore w:val="0"/>
              <w:widowControl w:val="0"/>
              <w:kinsoku/>
              <w:wordWrap/>
              <w:overflowPunct/>
              <w:topLinePunct w:val="0"/>
              <w:autoSpaceDE/>
              <w:autoSpaceDN/>
              <w:bidi w:val="0"/>
              <w:adjustRightInd/>
              <w:snapToGrid/>
              <w:spacing w:before="157" w:beforeLines="50" w:line="276" w:lineRule="auto"/>
              <w:ind w:firstLine="422" w:firstLineChars="200"/>
              <w:textAlignment w:val="auto"/>
              <w:rPr>
                <w:rFonts w:hint="default" w:ascii="Times New Roman" w:hAnsi="Times New Roman" w:eastAsia="宋体" w:cs="Times New Roman"/>
                <w:b/>
                <w:bCs/>
                <w:color w:val="auto"/>
                <w:lang w:eastAsia="zh-CN"/>
              </w:rPr>
            </w:pP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eastAsia="zh-CN"/>
              </w:rPr>
              <w:t>、环保设施竣工验收管理</w:t>
            </w:r>
          </w:p>
          <w:p>
            <w:pPr>
              <w:spacing w:line="276" w:lineRule="auto"/>
              <w:ind w:firstLine="422" w:firstLineChars="200"/>
              <w:rPr>
                <w:rFonts w:hint="default"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eastAsia="zh-CN"/>
              </w:rPr>
              <w:t>环保工程设计要求</w:t>
            </w:r>
          </w:p>
          <w:p>
            <w:pPr>
              <w:spacing w:line="276" w:lineRule="auto"/>
              <w:ind w:firstLine="420" w:firstLineChars="200"/>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①</w:t>
            </w:r>
            <w:r>
              <w:rPr>
                <w:rFonts w:hint="default" w:ascii="Times New Roman" w:hAnsi="Times New Roman" w:eastAsia="宋体" w:cs="Times New Roman"/>
                <w:color w:val="auto"/>
                <w:lang w:eastAsia="zh-CN"/>
              </w:rPr>
              <w:t>按照环评报告表提出的污染防治措施，完善本项目的环保工程设计，并针对本项目的特点，重点做好</w:t>
            </w:r>
            <w:r>
              <w:rPr>
                <w:rFonts w:hint="eastAsia" w:ascii="Times New Roman" w:hAnsi="Times New Roman" w:eastAsia="宋体" w:cs="Times New Roman"/>
                <w:color w:val="auto"/>
                <w:lang w:val="en-US" w:eastAsia="zh-CN"/>
              </w:rPr>
              <w:t>实验室废气、食堂油烟、柴油发电机废气、汽车尾气、垃圾收集点</w:t>
            </w:r>
            <w:r>
              <w:rPr>
                <w:rFonts w:hint="default" w:ascii="Times New Roman" w:hAnsi="Times New Roman" w:eastAsia="宋体" w:cs="Times New Roman"/>
                <w:color w:val="auto"/>
                <w:lang w:eastAsia="zh-CN"/>
              </w:rPr>
              <w:t>恶臭的污染防治，废水的处理以及</w:t>
            </w:r>
            <w:r>
              <w:rPr>
                <w:rFonts w:hint="eastAsia" w:ascii="Times New Roman" w:hAnsi="Times New Roman" w:eastAsia="宋体" w:cs="Times New Roman"/>
                <w:color w:val="auto"/>
                <w:lang w:val="en-US" w:eastAsia="zh-CN"/>
              </w:rPr>
              <w:t>固废</w:t>
            </w:r>
            <w:r>
              <w:rPr>
                <w:rFonts w:hint="default" w:ascii="Times New Roman" w:hAnsi="Times New Roman" w:eastAsia="宋体" w:cs="Times New Roman"/>
                <w:color w:val="auto"/>
                <w:lang w:eastAsia="zh-CN"/>
              </w:rPr>
              <w:t>的处置工作，确保工程建成投产后“三废”做到达标排放。</w:t>
            </w:r>
          </w:p>
          <w:p>
            <w:pPr>
              <w:spacing w:line="276" w:lineRule="auto"/>
              <w:ind w:firstLine="420" w:firstLineChars="200"/>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②</w:t>
            </w:r>
            <w:r>
              <w:rPr>
                <w:rFonts w:hint="default" w:ascii="Times New Roman" w:hAnsi="Times New Roman" w:eastAsia="宋体" w:cs="Times New Roman"/>
                <w:color w:val="auto"/>
                <w:lang w:eastAsia="zh-CN"/>
              </w:rPr>
              <w:t>核准环保投资概算，加增环保资金，要求做到专款专用，环保投资及时到位。</w:t>
            </w:r>
          </w:p>
          <w:p>
            <w:pPr>
              <w:spacing w:line="276" w:lineRule="auto"/>
              <w:ind w:firstLine="420" w:firstLineChars="200"/>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③</w:t>
            </w:r>
            <w:r>
              <w:rPr>
                <w:rFonts w:hint="default" w:ascii="Times New Roman" w:hAnsi="Times New Roman" w:eastAsia="宋体" w:cs="Times New Roman"/>
                <w:color w:val="auto"/>
                <w:lang w:eastAsia="zh-CN"/>
              </w:rPr>
              <w:t>主体工程完工后，其配套建设的环境保护设施必须与主体工程同时完工；如需进行试生产，其配套建设的环境保护设施必须与主体工程同时投入运行。</w:t>
            </w:r>
          </w:p>
          <w:p>
            <w:pPr>
              <w:spacing w:line="276" w:lineRule="auto"/>
              <w:ind w:firstLine="422" w:firstLineChars="200"/>
              <w:rPr>
                <w:rFonts w:hint="default" w:ascii="Times New Roman" w:hAnsi="Times New Roman" w:eastAsia="宋体" w:cs="Times New Roman"/>
                <w:color w:val="auto"/>
                <w:lang w:eastAsia="zh-CN"/>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环保设施验收建议</w:t>
            </w:r>
          </w:p>
          <w:p>
            <w:pPr>
              <w:spacing w:line="276" w:lineRule="auto"/>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1）验收范围</w:t>
            </w:r>
          </w:p>
          <w:p>
            <w:pPr>
              <w:spacing w:line="276" w:lineRule="auto"/>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①与本项目有关的各项环境保护设施，包括为污染防治和保护环境所建成或配套的工程、设备、装置和监测手段，各项生态保护设施等。</w:t>
            </w:r>
          </w:p>
          <w:p>
            <w:pPr>
              <w:spacing w:line="276" w:lineRule="auto"/>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②本报告表和有关文件规定应采取的其它各项环保措施。</w:t>
            </w:r>
          </w:p>
          <w:p>
            <w:pPr>
              <w:spacing w:line="276" w:lineRule="auto"/>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2）验收清单</w:t>
            </w:r>
          </w:p>
          <w:p>
            <w:pPr>
              <w:spacing w:line="276" w:lineRule="auto"/>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建设单位在工程投产后正常生产工况下，应按照</w:t>
            </w:r>
            <w:r>
              <w:rPr>
                <w:rFonts w:hint="default" w:ascii="Times New Roman" w:hAnsi="Times New Roman" w:cs="Times New Roman"/>
                <w:sz w:val="21"/>
                <w:szCs w:val="21"/>
              </w:rPr>
              <w:t>《建设项目竣工环境保护验收暂行办法》（国环规环评</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sz w:val="21"/>
                <w:szCs w:val="21"/>
                <w:lang w:val="en-US" w:eastAsia="zh-CN"/>
              </w:rPr>
              <w:t>4号）</w:t>
            </w:r>
            <w:r>
              <w:rPr>
                <w:rFonts w:hint="eastAsia" w:ascii="Times New Roman" w:hAnsi="Times New Roman" w:cs="Times New Roman"/>
                <w:sz w:val="21"/>
                <w:szCs w:val="21"/>
                <w:lang w:val="en-US" w:eastAsia="zh-CN"/>
              </w:rPr>
              <w:t>、</w:t>
            </w:r>
            <w:r>
              <w:rPr>
                <w:rFonts w:hint="default" w:ascii="Times New Roman" w:hAnsi="Times New Roman" w:eastAsia="宋体" w:cs="Times New Roman"/>
                <w:kern w:val="2"/>
                <w:sz w:val="21"/>
                <w:szCs w:val="21"/>
              </w:rPr>
              <w:t>《关于规范建设单位自主开展建设项目竣工环境保护验收的通知》</w:t>
            </w:r>
            <w:r>
              <w:rPr>
                <w:rFonts w:hint="default" w:ascii="Times New Roman" w:hAnsi="Times New Roman" w:eastAsia="宋体" w:cs="Times New Roman"/>
                <w:kern w:val="2"/>
                <w:sz w:val="21"/>
                <w:szCs w:val="21"/>
                <w:lang w:eastAsia="zh-CN"/>
              </w:rPr>
              <w:t>（</w:t>
            </w:r>
            <w:r>
              <w:rPr>
                <w:rFonts w:hint="default" w:ascii="Times New Roman" w:hAnsi="Times New Roman" w:eastAsia="宋体" w:cs="Times New Roman"/>
                <w:kern w:val="2"/>
                <w:sz w:val="21"/>
                <w:szCs w:val="21"/>
              </w:rPr>
              <w:t>环办环评函</w:t>
            </w:r>
            <w:r>
              <w:rPr>
                <w:rFonts w:hint="default" w:ascii="Times New Roman" w:hAnsi="Times New Roman" w:eastAsia="宋体" w:cs="Times New Roman"/>
                <w:color w:val="auto"/>
                <w:sz w:val="21"/>
                <w:szCs w:val="21"/>
                <w:lang w:val="en-US" w:eastAsia="zh-CN"/>
              </w:rPr>
              <w:t>〔2017〕</w:t>
            </w:r>
            <w:r>
              <w:rPr>
                <w:rFonts w:hint="default" w:ascii="Times New Roman" w:hAnsi="Times New Roman" w:eastAsia="宋体" w:cs="Times New Roman"/>
                <w:kern w:val="2"/>
                <w:sz w:val="21"/>
                <w:szCs w:val="21"/>
              </w:rPr>
              <w:t>1235号</w:t>
            </w:r>
            <w:r>
              <w:rPr>
                <w:rFonts w:hint="default" w:ascii="Times New Roman" w:hAnsi="Times New Roman" w:eastAsia="宋体" w:cs="Times New Roman"/>
                <w:kern w:val="2"/>
                <w:sz w:val="21"/>
                <w:szCs w:val="21"/>
                <w:lang w:eastAsia="zh-CN"/>
              </w:rPr>
              <w:t>）</w:t>
            </w:r>
            <w:r>
              <w:rPr>
                <w:rFonts w:hint="default" w:ascii="Times New Roman" w:hAnsi="Times New Roman" w:eastAsia="宋体" w:cs="Times New Roman"/>
                <w:color w:val="auto"/>
                <w:sz w:val="21"/>
                <w:szCs w:val="21"/>
                <w:lang w:eastAsia="zh-CN"/>
              </w:rPr>
              <w:t>中的有关要求，进行验收</w:t>
            </w:r>
            <w:r>
              <w:rPr>
                <w:rFonts w:hint="eastAsia" w:ascii="Times New Roman" w:hAnsi="Times New Roman" w:eastAsia="宋体" w:cs="Times New Roman"/>
                <w:color w:val="auto"/>
                <w:sz w:val="21"/>
                <w:szCs w:val="21"/>
                <w:lang w:eastAsia="zh-CN"/>
              </w:rPr>
              <w:t>。</w:t>
            </w: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default"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spacing w:line="276" w:lineRule="auto"/>
              <w:ind w:firstLine="420" w:firstLineChars="200"/>
              <w:rPr>
                <w:rFonts w:hint="eastAsia" w:ascii="Times New Roman" w:hAnsi="Times New Roman" w:eastAsia="宋体" w:cs="Times New Roman"/>
                <w:color w:val="auto"/>
                <w:lang w:eastAsia="zh-CN"/>
              </w:rPr>
            </w:pPr>
          </w:p>
          <w:p>
            <w:pPr>
              <w:keepNext w:val="0"/>
              <w:keepLines w:val="0"/>
              <w:widowControl/>
              <w:suppressLineNumbers w:val="0"/>
              <w:jc w:val="both"/>
              <w:rPr>
                <w:rFonts w:hint="eastAsia" w:ascii="宋体" w:hAnsi="宋体" w:cs="宋体"/>
                <w:szCs w:val="21"/>
              </w:rPr>
            </w:pPr>
          </w:p>
        </w:tc>
      </w:tr>
    </w:tbl>
    <w:p>
      <w:pPr>
        <w:pStyle w:val="22"/>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一、环评结论 </w:t>
            </w:r>
          </w:p>
          <w:p>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w:t>
            </w:r>
            <w:r>
              <w:rPr>
                <w:rFonts w:hint="eastAsia"/>
                <w:sz w:val="24"/>
                <w:szCs w:val="24"/>
                <w:lang w:val="en-GB" w:eastAsia="zh-CN"/>
              </w:rPr>
              <w:t>达州中医药职业学院产教融合实训与研究基地项目（一期）</w:t>
            </w:r>
            <w:r>
              <w:rPr>
                <w:rFonts w:hint="default" w:ascii="Times New Roman" w:hAnsi="Times New Roman" w:cs="Times New Roman"/>
                <w:color w:val="auto"/>
                <w:sz w:val="24"/>
                <w:szCs w:val="24"/>
                <w:highlight w:val="none"/>
              </w:rPr>
              <w:t>符合国家产业政策，</w:t>
            </w:r>
            <w:r>
              <w:rPr>
                <w:rFonts w:hint="eastAsia" w:cs="Times New Roman"/>
                <w:color w:val="auto"/>
                <w:sz w:val="24"/>
                <w:szCs w:val="24"/>
                <w:highlight w:val="none"/>
                <w:lang w:val="en-US" w:eastAsia="zh-CN"/>
              </w:rPr>
              <w:t>选址合理</w:t>
            </w:r>
            <w:r>
              <w:rPr>
                <w:rFonts w:hint="default" w:ascii="Times New Roman" w:hAnsi="Times New Roman" w:cs="Times New Roman"/>
                <w:color w:val="auto"/>
                <w:sz w:val="24"/>
                <w:szCs w:val="24"/>
                <w:highlight w:val="none"/>
              </w:rPr>
              <w:t>，</w:t>
            </w:r>
            <w:r>
              <w:rPr>
                <w:rFonts w:hint="eastAsia" w:ascii="宋体" w:hAnsi="宋体"/>
                <w:sz w:val="24"/>
                <w:szCs w:val="24"/>
              </w:rPr>
              <w:t>对于运营过程中产生的各类污染物，建设单位应认真落实本环评提出的污染防治措施，加强环保设施的运行管理和维护，建立和完善环保机构和规范环保管理制度，保证各类污染物达标排放。在上述前提条件下，项目的建设不会使当地水环境、环境空气、声环境发生现状质量级别的改变。因此，从环境保护角度考虑，该项目的建设是可行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 </w:t>
            </w:r>
          </w:p>
          <w:p>
            <w:pPr>
              <w:spacing w:line="360" w:lineRule="auto"/>
              <w:rPr>
                <w:rFonts w:ascii="宋体" w:cs="宋体"/>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22"/>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4"/>
              <w:spacing w:beforeLines="0" w:afterLines="0" w:line="240" w:lineRule="auto"/>
              <w:jc w:val="righ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项目</w:t>
            </w:r>
          </w:p>
          <w:p>
            <w:pPr>
              <w:pStyle w:val="44"/>
              <w:spacing w:beforeLines="0" w:afterLines="0" w:line="240" w:lineRule="auto"/>
              <w:jc w:val="lef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分类</w:t>
            </w:r>
          </w:p>
        </w:tc>
        <w:tc>
          <w:tcPr>
            <w:tcW w:w="1417"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污染物名称</w:t>
            </w:r>
          </w:p>
        </w:tc>
        <w:tc>
          <w:tcPr>
            <w:tcW w:w="1701"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1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①</w:t>
            </w:r>
            <w:r>
              <w:rPr>
                <w:rFonts w:hint="default" w:ascii="Times New Roman" w:hAnsi="Times New Roman" w:eastAsia="黑体" w:cs="Times New Roman"/>
                <w:snapToGrid w:val="0"/>
                <w:color w:val="000000"/>
                <w:spacing w:val="-6"/>
                <w:kern w:val="21"/>
                <w:sz w:val="21"/>
                <w:szCs w:val="21"/>
              </w:rPr>
              <w:fldChar w:fldCharType="end"/>
            </w:r>
          </w:p>
        </w:tc>
        <w:tc>
          <w:tcPr>
            <w:tcW w:w="1276"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许可排放量</w:t>
            </w:r>
          </w:p>
          <w:p>
            <w:pPr>
              <w:pStyle w:val="44"/>
              <w:spacing w:beforeLines="0" w:afterLines="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2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snapToGrid w:val="0"/>
                <w:color w:val="000000"/>
                <w:spacing w:val="-6"/>
                <w:kern w:val="21"/>
                <w:sz w:val="21"/>
                <w:szCs w:val="21"/>
              </w:rPr>
              <w:t>②</w:t>
            </w:r>
            <w:r>
              <w:rPr>
                <w:rFonts w:hint="default" w:ascii="Times New Roman" w:hAnsi="Times New Roman" w:eastAsia="黑体" w:cs="Times New Roman"/>
                <w:snapToGrid w:val="0"/>
                <w:color w:val="000000"/>
                <w:spacing w:val="-6"/>
                <w:kern w:val="21"/>
                <w:sz w:val="21"/>
                <w:szCs w:val="21"/>
              </w:rPr>
              <w:fldChar w:fldCharType="end"/>
            </w:r>
          </w:p>
        </w:tc>
        <w:tc>
          <w:tcPr>
            <w:tcW w:w="1701"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在建工程</w:t>
            </w:r>
          </w:p>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3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③</w:t>
            </w:r>
            <w:r>
              <w:rPr>
                <w:rFonts w:hint="default" w:ascii="Times New Roman" w:hAnsi="Times New Roman" w:eastAsia="黑体" w:cs="Times New Roman"/>
                <w:snapToGrid w:val="0"/>
                <w:color w:val="000000"/>
                <w:spacing w:val="-6"/>
                <w:kern w:val="21"/>
                <w:sz w:val="21"/>
                <w:szCs w:val="21"/>
              </w:rPr>
              <w:fldChar w:fldCharType="end"/>
            </w:r>
          </w:p>
        </w:tc>
        <w:tc>
          <w:tcPr>
            <w:tcW w:w="1559"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本项目</w:t>
            </w:r>
          </w:p>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4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④</w:t>
            </w:r>
            <w:r>
              <w:rPr>
                <w:rFonts w:hint="default" w:ascii="Times New Roman" w:hAnsi="Times New Roman" w:eastAsia="黑体" w:cs="Times New Roman"/>
                <w:snapToGrid w:val="0"/>
                <w:color w:val="000000"/>
                <w:spacing w:val="-6"/>
                <w:kern w:val="21"/>
                <w:sz w:val="21"/>
                <w:szCs w:val="21"/>
              </w:rPr>
              <w:fldChar w:fldCharType="end"/>
            </w:r>
          </w:p>
        </w:tc>
        <w:tc>
          <w:tcPr>
            <w:tcW w:w="1761"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以新带老削减量</w:t>
            </w:r>
          </w:p>
          <w:p>
            <w:pPr>
              <w:pStyle w:val="44"/>
              <w:spacing w:beforeLines="0" w:afterLines="0" w:line="240" w:lineRule="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（新建项目不填）</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5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⑤</w:t>
            </w:r>
            <w:r>
              <w:rPr>
                <w:rFonts w:hint="default" w:ascii="Times New Roman" w:hAnsi="Times New Roman" w:eastAsia="黑体" w:cs="Times New Roman"/>
                <w:snapToGrid w:val="0"/>
                <w:color w:val="000000"/>
                <w:spacing w:val="-16"/>
                <w:kern w:val="21"/>
                <w:sz w:val="21"/>
                <w:szCs w:val="21"/>
              </w:rPr>
              <w:fldChar w:fldCharType="end"/>
            </w:r>
          </w:p>
        </w:tc>
        <w:tc>
          <w:tcPr>
            <w:tcW w:w="1959"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本项目建成后</w:t>
            </w:r>
          </w:p>
          <w:p>
            <w:pPr>
              <w:pStyle w:val="44"/>
              <w:spacing w:beforeLines="0" w:afterLines="0" w:line="240" w:lineRule="auto"/>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全厂排放量（固体废物产生量）</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6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⑥</w:t>
            </w:r>
            <w:r>
              <w:rPr>
                <w:rFonts w:hint="default" w:ascii="Times New Roman" w:hAnsi="Times New Roman" w:eastAsia="黑体" w:cs="Times New Roman"/>
                <w:snapToGrid w:val="0"/>
                <w:color w:val="000000"/>
                <w:spacing w:val="-16"/>
                <w:kern w:val="21"/>
                <w:sz w:val="21"/>
                <w:szCs w:val="21"/>
              </w:rPr>
              <w:fldChar w:fldCharType="end"/>
            </w:r>
          </w:p>
        </w:tc>
        <w:tc>
          <w:tcPr>
            <w:tcW w:w="826"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变化量</w:t>
            </w:r>
          </w:p>
          <w:p>
            <w:pPr>
              <w:pStyle w:val="44"/>
              <w:spacing w:beforeLines="0" w:afterLines="0" w:line="240" w:lineRule="auto"/>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7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⑦</w:t>
            </w:r>
            <w:r>
              <w:rPr>
                <w:rFonts w:hint="default" w:ascii="Times New Roman" w:hAnsi="Times New Roman" w:eastAsia="黑体" w:cs="Times New Roman"/>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废气</w:t>
            </w:r>
          </w:p>
        </w:tc>
        <w:tc>
          <w:tcPr>
            <w:tcW w:w="1417"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w:t>
            </w:r>
          </w:p>
        </w:tc>
        <w:tc>
          <w:tcPr>
            <w:tcW w:w="1701" w:type="dxa"/>
            <w:noWrap w:val="0"/>
            <w:vAlign w:val="center"/>
          </w:tcPr>
          <w:p>
            <w:pPr>
              <w:pStyle w:val="44"/>
              <w:spacing w:beforeLines="0" w:afterLines="0" w:line="240" w:lineRule="auto"/>
              <w:rPr>
                <w:rFonts w:hint="eastAsia"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snapToGrid w:val="0"/>
                <w:color w:val="000000"/>
                <w:kern w:val="21"/>
                <w:sz w:val="21"/>
                <w:szCs w:val="21"/>
                <w:lang w:val="en-US" w:eastAsia="zh-CN"/>
              </w:rPr>
              <w:t>/</w:t>
            </w:r>
          </w:p>
        </w:tc>
        <w:tc>
          <w:tcPr>
            <w:tcW w:w="1276" w:type="dxa"/>
            <w:noWrap w:val="0"/>
            <w:vAlign w:val="center"/>
          </w:tcPr>
          <w:p>
            <w:pPr>
              <w:pStyle w:val="44"/>
              <w:spacing w:beforeLines="0" w:afterLines="0" w:line="240" w:lineRule="auto"/>
              <w:rPr>
                <w:rFonts w:hint="eastAsia"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snapToGrid w:val="0"/>
                <w:color w:val="000000"/>
                <w:kern w:val="21"/>
                <w:sz w:val="21"/>
                <w:szCs w:val="21"/>
                <w:lang w:val="en-US" w:eastAsia="zh-CN"/>
              </w:rPr>
              <w:t>/</w:t>
            </w:r>
          </w:p>
        </w:tc>
        <w:tc>
          <w:tcPr>
            <w:tcW w:w="1701" w:type="dxa"/>
            <w:noWrap w:val="0"/>
            <w:vAlign w:val="center"/>
          </w:tcPr>
          <w:p>
            <w:pPr>
              <w:pStyle w:val="44"/>
              <w:spacing w:beforeLines="0" w:afterLines="0" w:line="240" w:lineRule="auto"/>
              <w:rPr>
                <w:rFonts w:hint="eastAsia"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snapToGrid w:val="0"/>
                <w:color w:val="000000"/>
                <w:kern w:val="21"/>
                <w:sz w:val="21"/>
                <w:szCs w:val="21"/>
                <w:lang w:val="en-US" w:eastAsia="zh-CN"/>
              </w:rPr>
              <w:t>/</w:t>
            </w:r>
          </w:p>
        </w:tc>
        <w:tc>
          <w:tcPr>
            <w:tcW w:w="15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r>
              <w:rPr>
                <w:rFonts w:hint="eastAsia" w:ascii="Times New Roman" w:hAnsi="Times New Roman" w:eastAsia="宋体" w:cs="Times New Roman"/>
                <w:kern w:val="0"/>
                <w:sz w:val="21"/>
                <w:szCs w:val="21"/>
                <w:vertAlign w:val="baseline"/>
                <w:lang w:val="en-US" w:eastAsia="zh-CN"/>
              </w:rPr>
              <w:t>/</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r>
              <w:rPr>
                <w:rFonts w:hint="eastAsia" w:ascii="Times New Roman" w:hAnsi="Times New Roman" w:eastAsia="宋体" w:cs="Times New Roman"/>
                <w:kern w:val="0"/>
                <w:sz w:val="21"/>
                <w:szCs w:val="21"/>
                <w:vertAlign w:val="baseline"/>
                <w:lang w:val="en-US" w:eastAsia="zh-CN"/>
              </w:rPr>
              <w:t>/</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废水</w:t>
            </w:r>
          </w:p>
        </w:tc>
        <w:tc>
          <w:tcPr>
            <w:tcW w:w="1417"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snapToGrid w:val="0"/>
                <w:color w:val="000000"/>
                <w:kern w:val="21"/>
                <w:sz w:val="21"/>
                <w:szCs w:val="21"/>
                <w:lang w:val="en-US" w:eastAsia="zh-CN"/>
              </w:rPr>
              <w:t>废水量</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rPr>
            </w:pPr>
            <w:r>
              <w:rPr>
                <w:rFonts w:hint="eastAsia" w:ascii="Times New Roman" w:hAnsi="Times New Roman" w:eastAsia="宋体" w:cs="Times New Roman"/>
                <w:color w:val="000000"/>
                <w:kern w:val="0"/>
                <w:sz w:val="21"/>
                <w:szCs w:val="21"/>
                <w:lang w:val="en-US" w:eastAsia="zh-CN" w:bidi="ar"/>
              </w:rPr>
              <w:t>770907.5</w:t>
            </w:r>
            <w:r>
              <w:rPr>
                <w:rFonts w:hint="eastAsia" w:ascii="Times New Roman" w:hAnsi="Times New Roman" w:cs="Times New Roman"/>
                <w:kern w:val="0"/>
                <w:sz w:val="21"/>
                <w:szCs w:val="21"/>
                <w:lang w:val="en-US" w:eastAsia="zh-CN"/>
              </w:rPr>
              <w:t>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770907.5</w:t>
            </w:r>
            <w:r>
              <w:rPr>
                <w:rFonts w:hint="eastAsia" w:ascii="Times New Roman" w:hAnsi="Times New Roman" w:cs="Times New Roman"/>
                <w:kern w:val="0"/>
                <w:sz w:val="21"/>
                <w:szCs w:val="21"/>
                <w:lang w:val="en-US" w:eastAsia="zh-CN"/>
              </w:rPr>
              <w:t>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pStyle w:val="44"/>
              <w:spacing w:beforeLines="0" w:afterLines="0" w:line="240" w:lineRule="auto"/>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COD</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rPr>
            </w:pPr>
            <w:r>
              <w:rPr>
                <w:rFonts w:hint="default" w:ascii="Times New Roman" w:hAnsi="Times New Roman" w:cs="Times New Roman"/>
                <w:kern w:val="0"/>
                <w:sz w:val="21"/>
                <w:szCs w:val="21"/>
                <w:lang w:val="en-US" w:eastAsia="zh-CN"/>
              </w:rPr>
              <w:t>231.272</w:t>
            </w:r>
            <w:r>
              <w:rPr>
                <w:rFonts w:hint="eastAsia" w:ascii="Times New Roman" w:hAnsi="Times New Roman" w:cs="Times New Roman"/>
                <w:kern w:val="0"/>
                <w:sz w:val="21"/>
                <w:szCs w:val="21"/>
                <w:lang w:val="en-US" w:eastAsia="zh-CN"/>
              </w:rPr>
              <w:t>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r>
              <w:rPr>
                <w:rFonts w:hint="default" w:ascii="Times New Roman" w:hAnsi="Times New Roman" w:cs="Times New Roman"/>
                <w:kern w:val="0"/>
                <w:sz w:val="21"/>
                <w:szCs w:val="21"/>
                <w:lang w:val="en-US" w:eastAsia="zh-CN"/>
              </w:rPr>
              <w:t>231.272</w:t>
            </w:r>
            <w:r>
              <w:rPr>
                <w:rFonts w:hint="eastAsia" w:ascii="Times New Roman" w:hAnsi="Times New Roman" w:cs="Times New Roman"/>
                <w:kern w:val="0"/>
                <w:sz w:val="21"/>
                <w:szCs w:val="21"/>
                <w:lang w:val="en-US" w:eastAsia="zh-CN"/>
              </w:rPr>
              <w:t>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pStyle w:val="44"/>
              <w:spacing w:beforeLines="0" w:afterLines="0" w:line="240" w:lineRule="auto"/>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cs="Times New Roman"/>
                <w:b w:val="0"/>
                <w:bCs w:val="0"/>
                <w:kern w:val="0"/>
                <w:sz w:val="21"/>
                <w:szCs w:val="21"/>
              </w:rPr>
              <w:t>BOD</w:t>
            </w:r>
            <w:r>
              <w:rPr>
                <w:rFonts w:hint="default" w:ascii="Times New Roman" w:hAnsi="Times New Roman" w:cs="Times New Roman"/>
                <w:b w:val="0"/>
                <w:bCs w:val="0"/>
                <w:kern w:val="0"/>
                <w:sz w:val="21"/>
                <w:szCs w:val="21"/>
                <w:vertAlign w:val="subscript"/>
              </w:rPr>
              <w:t>5</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kern w:val="0"/>
                <w:sz w:val="21"/>
                <w:szCs w:val="21"/>
                <w:lang w:val="en-US" w:eastAsia="zh-CN"/>
              </w:rPr>
              <w:t>192.727</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kern w:val="0"/>
                <w:sz w:val="21"/>
                <w:szCs w:val="21"/>
                <w:lang w:val="en-US" w:eastAsia="zh-CN"/>
              </w:rPr>
              <w:t>192.727</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pStyle w:val="44"/>
              <w:spacing w:beforeLines="0" w:afterLines="0" w:line="240" w:lineRule="auto"/>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cs="Times New Roman"/>
                <w:b w:val="0"/>
                <w:bCs w:val="0"/>
                <w:kern w:val="0"/>
                <w:sz w:val="21"/>
                <w:szCs w:val="21"/>
              </w:rPr>
              <w:t>SS</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kern w:val="0"/>
                <w:sz w:val="21"/>
                <w:szCs w:val="21"/>
                <w:lang w:val="en-US" w:eastAsia="zh-CN"/>
              </w:rPr>
              <w:t>77.091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kern w:val="0"/>
                <w:sz w:val="21"/>
                <w:szCs w:val="21"/>
                <w:lang w:val="en-US" w:eastAsia="zh-CN"/>
              </w:rPr>
              <w:t>77.091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pStyle w:val="44"/>
              <w:spacing w:beforeLines="0" w:afterLines="0" w:line="240" w:lineRule="auto"/>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cs="Times New Roman"/>
                <w:b w:val="0"/>
                <w:bCs w:val="0"/>
                <w:kern w:val="0"/>
                <w:sz w:val="21"/>
                <w:szCs w:val="21"/>
              </w:rPr>
              <w:t>NH</w:t>
            </w:r>
            <w:r>
              <w:rPr>
                <w:rFonts w:hint="default" w:ascii="Times New Roman" w:hAnsi="Times New Roman" w:cs="Times New Roman"/>
                <w:b w:val="0"/>
                <w:bCs w:val="0"/>
                <w:kern w:val="0"/>
                <w:sz w:val="21"/>
                <w:szCs w:val="21"/>
                <w:vertAlign w:val="subscript"/>
              </w:rPr>
              <w:t>3</w:t>
            </w:r>
            <w:r>
              <w:rPr>
                <w:rFonts w:hint="default" w:ascii="Times New Roman" w:hAnsi="Times New Roman" w:cs="Times New Roman"/>
                <w:b w:val="0"/>
                <w:bCs w:val="0"/>
                <w:kern w:val="0"/>
                <w:sz w:val="21"/>
                <w:szCs w:val="21"/>
              </w:rPr>
              <w:t>-N</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kern w:val="0"/>
                <w:sz w:val="21"/>
                <w:szCs w:val="21"/>
                <w:lang w:val="en-US" w:eastAsia="zh-CN"/>
              </w:rPr>
              <w:t>19.273</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pStyle w:val="44"/>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kern w:val="0"/>
                <w:sz w:val="21"/>
                <w:szCs w:val="21"/>
                <w:lang w:val="en-US" w:eastAsia="zh-CN"/>
              </w:rPr>
              <w:t>19.273</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一般工业</w:t>
            </w:r>
          </w:p>
          <w:p>
            <w:pPr>
              <w:pStyle w:val="44"/>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固体废物</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kern w:val="0"/>
                <w:sz w:val="21"/>
                <w:szCs w:val="21"/>
                <w:lang w:val="en-US" w:eastAsia="zh-CN" w:bidi="ar-SA"/>
              </w:rPr>
            </w:pPr>
            <w:r>
              <w:rPr>
                <w:rFonts w:hint="eastAsia"/>
                <w:kern w:val="0"/>
                <w:sz w:val="21"/>
                <w:szCs w:val="21"/>
              </w:rPr>
              <w:t>生活垃圾</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1493.8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1493.8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餐厨垃圾</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1493.8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1493.8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化粪池污泥</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eastAsia="宋体"/>
                <w:kern w:val="0"/>
                <w:sz w:val="21"/>
                <w:szCs w:val="21"/>
                <w:lang w:val="en-US" w:eastAsia="zh-CN"/>
              </w:rPr>
              <w:t>动物尸体</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0.</w:t>
            </w:r>
            <w:r>
              <w:rPr>
                <w:rFonts w:hint="default" w:ascii="Times New Roman" w:hAnsi="Times New Roman" w:cs="Times New Roman"/>
                <w:kern w:val="0"/>
                <w:sz w:val="21"/>
                <w:szCs w:val="21"/>
                <w:lang w:val="en-US" w:eastAsia="zh-CN"/>
              </w:rPr>
              <w:t>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0.</w:t>
            </w:r>
            <w:r>
              <w:rPr>
                <w:rFonts w:hint="default" w:ascii="Times New Roman" w:hAnsi="Times New Roman" w:cs="Times New Roman"/>
                <w:kern w:val="0"/>
                <w:sz w:val="21"/>
                <w:szCs w:val="21"/>
                <w:lang w:val="en-US" w:eastAsia="zh-CN"/>
              </w:rPr>
              <w:t>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危险废物</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eastAsia="宋体"/>
                <w:kern w:val="0"/>
                <w:sz w:val="21"/>
                <w:szCs w:val="21"/>
                <w:lang w:val="en-US" w:eastAsia="zh-CN" w:bidi="ar-SA"/>
              </w:rPr>
            </w:pPr>
            <w:r>
              <w:rPr>
                <w:rFonts w:hint="eastAsia"/>
                <w:kern w:val="0"/>
                <w:sz w:val="21"/>
                <w:szCs w:val="21"/>
                <w:lang w:val="en-US" w:eastAsia="zh-CN"/>
              </w:rPr>
              <w:t>实验废弃物</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0.1</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废活性炭</w:t>
            </w: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27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70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0.0128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1761"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lang w:val="en-US" w:eastAsia="zh-CN" w:bidi="ar-SA"/>
              </w:rPr>
            </w:pPr>
          </w:p>
        </w:tc>
        <w:tc>
          <w:tcPr>
            <w:tcW w:w="19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0.0128</w:t>
            </w:r>
            <w:r>
              <w:rPr>
                <w:rFonts w:hint="eastAsia" w:ascii="Times New Roman" w:hAnsi="Times New Roman" w:cs="Times New Roman"/>
                <w:snapToGrid w:val="0"/>
                <w:color w:val="000000"/>
                <w:kern w:val="21"/>
                <w:sz w:val="21"/>
                <w:szCs w:val="21"/>
                <w:lang w:val="en-US" w:eastAsia="zh-CN"/>
              </w:rPr>
              <w:t>t</w:t>
            </w:r>
            <w:r>
              <w:rPr>
                <w:rFonts w:hint="eastAsia" w:ascii="Times New Roman" w:hAnsi="Times New Roman" w:cs="Times New Roman"/>
                <w:kern w:val="0"/>
                <w:sz w:val="21"/>
                <w:szCs w:val="21"/>
                <w:lang w:val="en-US" w:eastAsia="zh-CN"/>
              </w:rPr>
              <w:t>/a</w:t>
            </w:r>
          </w:p>
        </w:tc>
        <w:tc>
          <w:tcPr>
            <w:tcW w:w="826" w:type="dxa"/>
            <w:noWrap w:val="0"/>
            <w:vAlign w:val="center"/>
          </w:tcPr>
          <w:p>
            <w:pPr>
              <w:pStyle w:val="44"/>
              <w:spacing w:beforeLines="0" w:afterLines="0" w:line="240" w:lineRule="auto"/>
              <w:rPr>
                <w:rFonts w:hint="default" w:ascii="Times New Roman" w:hAnsi="Times New Roman" w:cs="Times New Roman"/>
                <w:snapToGrid w:val="0"/>
                <w:color w:val="000000"/>
                <w:kern w:val="21"/>
                <w:sz w:val="21"/>
                <w:szCs w:val="21"/>
              </w:rPr>
            </w:pPr>
          </w:p>
        </w:tc>
      </w:tr>
    </w:tbl>
    <w:p>
      <w:pPr>
        <w:pStyle w:val="44"/>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ascii="宋体" w:hAnsi="宋体" w:eastAsia="黑体"/>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康简标题宋">
    <w:altName w:val="宋体"/>
    <w:panose1 w:val="00000000000000000000"/>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Helvetica">
    <w:altName w:val="Arial"/>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vE7OIBAADCAwAADgAAAGRycy9lMm9Eb2MueG1srVPBjtMwEL0j8Q+W&#10;7zRpE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uuIv55w5YWni518/z7//nv/8&#10;YPNy8SpJ1PmwoswbT7mxfws9Lc7kD+RMzPsGbfoTJ0ZxEvh0EVj1kcl0ablYLksKSYpNB8Iv7q57&#10;DPG9AsuSUXGkCWZhxfFjiEPqlJKqObjWxuQpGvefgzCTp0i9Dz0mK/a7fiS0g/pEfOgpUJ0W8Dtn&#10;HS1CxR3tPWfmgyOd085MBk7GbjKEk3Sx4pGzwXwXh906eNT7Nm9bair4N4dInWYCqY2h9tgdjTZL&#10;MK5h2p1/zznr7ultb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QxvE7OIBAADCAwAADgAA&#10;AAAAAAABACAAAAAeAQAAZHJzL2Uyb0RvYy54bWxQSwUGAAAAAAYABgBZAQAAcgUAAAAA&#10;">
              <v:fill on="f" focussize="0,0"/>
              <v:stroke on="f"/>
              <v:imagedata o:title=""/>
              <o:lock v:ext="edit" aspectratio="f"/>
              <v:textbox inset="0mm,0mm,0mm,0mm" style="mso-fit-shape-to-text:t;">
                <w:txbxContent>
                  <w:p>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jRfOIBAADCAwAADgAAAGRycy9lMm9Eb2MueG1srVPBjtMwEL0j8Q+W&#10;7zRpk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y+riix3ODEzz++n3/+Pv/6&#10;RpZldZUk6l2oMfPOYW4c3sCAizP7AzoT86H1Jv2RE8E4Cny6CCyHSES6tKpWqxJDAmPzAfGLh+vO&#10;h/hOgiHJYNTjBLOw/PghxDF1TknVLNwqrfMUtf3HgZjJU6Texx6TFYfdMBHaQXNCPvgUsE4H/isl&#10;PS4Coxb3nhL93qLOaWdmw8/Gbja4FXiR0UjJaL6N424dnFf7Lm9baiq4m0PETjOB1MZYe+oOR5sl&#10;mNYw7c7f55z18PQ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GWjRfOIBAADCAwAADgAA&#10;AAAAAAABACAAAAAeAQAAZHJzL2Uyb0RvYy54bWxQSwUGAAAAAAYABgBZAQAAcgUAAAAA&#10;">
              <v:fill on="f" focussize="0,0"/>
              <v:stroke on="f"/>
              <v:imagedata o:title=""/>
              <o:lock v:ext="edit" aspectratio="f"/>
              <v:textbox inset="0mm,0mm,0mm,0mm" style="mso-fit-shape-to-text:t;">
                <w:txbxContent>
                  <w:p>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9548E"/>
    <w:multiLevelType w:val="multilevel"/>
    <w:tmpl w:val="5839548E"/>
    <w:lvl w:ilvl="0" w:tentative="0">
      <w:start w:val="1"/>
      <w:numFmt w:val="decimal"/>
      <w:suff w:val="space"/>
      <w:lvlText w:val="%1"/>
      <w:lvlJc w:val="left"/>
      <w:pPr>
        <w:ind w:left="0" w:firstLine="0"/>
      </w:pPr>
      <w:rPr>
        <w:rFonts w:hint="eastAsia"/>
      </w:rPr>
    </w:lvl>
    <w:lvl w:ilvl="1" w:tentative="0">
      <w:start w:val="1"/>
      <w:numFmt w:val="decimal"/>
      <w:pStyle w:val="5"/>
      <w:suff w:val="space"/>
      <w:lvlText w:val="%1.%2"/>
      <w:lvlJc w:val="left"/>
      <w:pPr>
        <w:ind w:left="93" w:firstLine="0"/>
      </w:pPr>
      <w:rPr>
        <w:rFonts w:hint="eastAsia"/>
      </w:rPr>
    </w:lvl>
    <w:lvl w:ilvl="2" w:tentative="0">
      <w:start w:val="1"/>
      <w:numFmt w:val="decimal"/>
      <w:suff w:val="space"/>
      <w:lvlText w:val="%1.%2.%3"/>
      <w:lvlJc w:val="left"/>
      <w:pPr>
        <w:ind w:left="284"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nothing"/>
      <w:lvlText w:val="%5）"/>
      <w:lvlJc w:val="left"/>
      <w:pPr>
        <w:ind w:left="26" w:firstLine="400"/>
      </w:pPr>
      <w:rPr>
        <w:rFonts w:hint="eastAsia"/>
      </w:rPr>
    </w:lvl>
    <w:lvl w:ilvl="5" w:tentative="0">
      <w:start w:val="1"/>
      <w:numFmt w:val="decimal"/>
      <w:suff w:val="nothing"/>
      <w:lvlText w:val="（%6）"/>
      <w:lvlJc w:val="left"/>
      <w:pPr>
        <w:ind w:left="0" w:firstLine="420"/>
      </w:pPr>
      <w:rPr>
        <w:rFonts w:hint="eastAsia"/>
      </w:rPr>
    </w:lvl>
    <w:lvl w:ilvl="6" w:tentative="0">
      <w:start w:val="1"/>
      <w:numFmt w:val="decimalEnclosedCircle"/>
      <w:suff w:val="nothing"/>
      <w:lvlText w:val="%7"/>
      <w:lvlJc w:val="left"/>
      <w:pPr>
        <w:ind w:left="452" w:firstLine="400"/>
      </w:pPr>
      <w:rPr>
        <w:rFonts w:hint="eastAsia"/>
        <w:b w:val="0"/>
        <w:bCs w:val="0"/>
        <w:i w:val="0"/>
        <w:iCs w:val="0"/>
        <w:caps w:val="0"/>
        <w:smallCaps w:val="0"/>
        <w:strike w:val="0"/>
        <w:dstrike w:val="0"/>
        <w:vanish w:val="0"/>
        <w:color w:val="000000"/>
        <w:spacing w:val="0"/>
        <w:position w:val="0"/>
        <w:u w:val="none"/>
        <w:vertAlign w:val="baseline"/>
      </w:rPr>
    </w:lvl>
    <w:lvl w:ilvl="7" w:tentative="0">
      <w:start w:val="1"/>
      <w:numFmt w:val="lowerLetter"/>
      <w:suff w:val="nothing"/>
      <w:lvlText w:val="%8."/>
      <w:lvlJc w:val="left"/>
      <w:pPr>
        <w:ind w:left="0" w:firstLine="400"/>
      </w:pPr>
      <w:rPr>
        <w:rFonts w:hint="eastAsia"/>
      </w:rPr>
    </w:lvl>
    <w:lvl w:ilvl="8" w:tentative="0">
      <w:start w:val="1"/>
      <w:numFmt w:val="lowerRoman"/>
      <w:suff w:val="nothing"/>
      <w:lvlText w:val="%9."/>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31888"/>
    <w:rsid w:val="01290F7E"/>
    <w:rsid w:val="015D1E09"/>
    <w:rsid w:val="0180692A"/>
    <w:rsid w:val="021872A3"/>
    <w:rsid w:val="02697903"/>
    <w:rsid w:val="026F2877"/>
    <w:rsid w:val="02D17182"/>
    <w:rsid w:val="02F96569"/>
    <w:rsid w:val="0301691C"/>
    <w:rsid w:val="03EA7B21"/>
    <w:rsid w:val="04F16AAA"/>
    <w:rsid w:val="056E1E52"/>
    <w:rsid w:val="05705FF7"/>
    <w:rsid w:val="05F83EAE"/>
    <w:rsid w:val="063E7D85"/>
    <w:rsid w:val="07293586"/>
    <w:rsid w:val="07295285"/>
    <w:rsid w:val="073C3A65"/>
    <w:rsid w:val="07576CB3"/>
    <w:rsid w:val="07636392"/>
    <w:rsid w:val="07770C56"/>
    <w:rsid w:val="08202D8C"/>
    <w:rsid w:val="084F0BA3"/>
    <w:rsid w:val="087552AA"/>
    <w:rsid w:val="08C44A96"/>
    <w:rsid w:val="08DB37B2"/>
    <w:rsid w:val="092217DD"/>
    <w:rsid w:val="093A7294"/>
    <w:rsid w:val="09614922"/>
    <w:rsid w:val="09A71BCB"/>
    <w:rsid w:val="0A263993"/>
    <w:rsid w:val="0A2D3AC2"/>
    <w:rsid w:val="0A316542"/>
    <w:rsid w:val="0AA755DF"/>
    <w:rsid w:val="0AE20DD9"/>
    <w:rsid w:val="0B120D44"/>
    <w:rsid w:val="0B1B598C"/>
    <w:rsid w:val="0BC340CF"/>
    <w:rsid w:val="0BCF45B9"/>
    <w:rsid w:val="0BD27BF6"/>
    <w:rsid w:val="0C08290F"/>
    <w:rsid w:val="0C3B3C7D"/>
    <w:rsid w:val="0CAB2EAE"/>
    <w:rsid w:val="0CBE4E3E"/>
    <w:rsid w:val="0D200485"/>
    <w:rsid w:val="0D452031"/>
    <w:rsid w:val="0D621C7D"/>
    <w:rsid w:val="0D63208E"/>
    <w:rsid w:val="0E73034D"/>
    <w:rsid w:val="0EE968E6"/>
    <w:rsid w:val="0F13775A"/>
    <w:rsid w:val="0F5F45FE"/>
    <w:rsid w:val="0F68015A"/>
    <w:rsid w:val="0F9A112B"/>
    <w:rsid w:val="106D2F64"/>
    <w:rsid w:val="10B63710"/>
    <w:rsid w:val="10F10820"/>
    <w:rsid w:val="111C2F7A"/>
    <w:rsid w:val="11665CA1"/>
    <w:rsid w:val="11714266"/>
    <w:rsid w:val="11B845EA"/>
    <w:rsid w:val="11F01CFE"/>
    <w:rsid w:val="1328788E"/>
    <w:rsid w:val="13394A5B"/>
    <w:rsid w:val="13951726"/>
    <w:rsid w:val="140F592E"/>
    <w:rsid w:val="142D3320"/>
    <w:rsid w:val="14396509"/>
    <w:rsid w:val="14DD2C3C"/>
    <w:rsid w:val="153E2FA7"/>
    <w:rsid w:val="156F64F5"/>
    <w:rsid w:val="16087E1D"/>
    <w:rsid w:val="16112DF1"/>
    <w:rsid w:val="16863C66"/>
    <w:rsid w:val="16E22E57"/>
    <w:rsid w:val="17000391"/>
    <w:rsid w:val="17701D14"/>
    <w:rsid w:val="17735226"/>
    <w:rsid w:val="179E3A27"/>
    <w:rsid w:val="17A0043C"/>
    <w:rsid w:val="189F624C"/>
    <w:rsid w:val="18C748B7"/>
    <w:rsid w:val="19CA2B75"/>
    <w:rsid w:val="19EF447A"/>
    <w:rsid w:val="1A1C66C0"/>
    <w:rsid w:val="1A42393B"/>
    <w:rsid w:val="1AAD45DE"/>
    <w:rsid w:val="1B046F80"/>
    <w:rsid w:val="1B3267B5"/>
    <w:rsid w:val="1B40161D"/>
    <w:rsid w:val="1B434989"/>
    <w:rsid w:val="1B441859"/>
    <w:rsid w:val="1B6606B1"/>
    <w:rsid w:val="1C3A040D"/>
    <w:rsid w:val="1C5E7925"/>
    <w:rsid w:val="1CF30371"/>
    <w:rsid w:val="1CFD070F"/>
    <w:rsid w:val="1D5F6196"/>
    <w:rsid w:val="1D6132A5"/>
    <w:rsid w:val="1D8E56D5"/>
    <w:rsid w:val="1DFB74DD"/>
    <w:rsid w:val="1E7A43DA"/>
    <w:rsid w:val="1F3F3BA3"/>
    <w:rsid w:val="1F996EF9"/>
    <w:rsid w:val="1FE7539E"/>
    <w:rsid w:val="20671BE0"/>
    <w:rsid w:val="20800575"/>
    <w:rsid w:val="20963CB8"/>
    <w:rsid w:val="20A81A1B"/>
    <w:rsid w:val="20B07FB6"/>
    <w:rsid w:val="20B646FB"/>
    <w:rsid w:val="210E39CB"/>
    <w:rsid w:val="211F0705"/>
    <w:rsid w:val="213B74B1"/>
    <w:rsid w:val="215A2310"/>
    <w:rsid w:val="21DE318A"/>
    <w:rsid w:val="21EF5B80"/>
    <w:rsid w:val="220D5507"/>
    <w:rsid w:val="223A1523"/>
    <w:rsid w:val="22576990"/>
    <w:rsid w:val="22D404A0"/>
    <w:rsid w:val="22F47480"/>
    <w:rsid w:val="23246E1A"/>
    <w:rsid w:val="238024CB"/>
    <w:rsid w:val="23DE1C48"/>
    <w:rsid w:val="240210CD"/>
    <w:rsid w:val="248C7BA6"/>
    <w:rsid w:val="24BF09F7"/>
    <w:rsid w:val="24CD5F19"/>
    <w:rsid w:val="25010055"/>
    <w:rsid w:val="252D53FE"/>
    <w:rsid w:val="25EC2D81"/>
    <w:rsid w:val="26F50ED6"/>
    <w:rsid w:val="271635D9"/>
    <w:rsid w:val="273A1234"/>
    <w:rsid w:val="275A6789"/>
    <w:rsid w:val="277057A2"/>
    <w:rsid w:val="278F313D"/>
    <w:rsid w:val="28227019"/>
    <w:rsid w:val="287E0A6F"/>
    <w:rsid w:val="29206EB8"/>
    <w:rsid w:val="294B55F5"/>
    <w:rsid w:val="29595666"/>
    <w:rsid w:val="29874881"/>
    <w:rsid w:val="29E325E0"/>
    <w:rsid w:val="2A452503"/>
    <w:rsid w:val="2A9255DA"/>
    <w:rsid w:val="2B2E613E"/>
    <w:rsid w:val="2B566374"/>
    <w:rsid w:val="2BA936A8"/>
    <w:rsid w:val="2BE92D1A"/>
    <w:rsid w:val="2C315A5A"/>
    <w:rsid w:val="2C4B1C25"/>
    <w:rsid w:val="2C9D13B6"/>
    <w:rsid w:val="2CB10A28"/>
    <w:rsid w:val="2D9E56F5"/>
    <w:rsid w:val="2E667F96"/>
    <w:rsid w:val="2E690B7D"/>
    <w:rsid w:val="2E8226AB"/>
    <w:rsid w:val="2EE8778C"/>
    <w:rsid w:val="2F7F6B87"/>
    <w:rsid w:val="2FD065E6"/>
    <w:rsid w:val="2FD96870"/>
    <w:rsid w:val="30580BC9"/>
    <w:rsid w:val="306F1E43"/>
    <w:rsid w:val="30D103C3"/>
    <w:rsid w:val="311E2ED7"/>
    <w:rsid w:val="315619EE"/>
    <w:rsid w:val="315C449C"/>
    <w:rsid w:val="31B82709"/>
    <w:rsid w:val="31D05482"/>
    <w:rsid w:val="32165819"/>
    <w:rsid w:val="32400B34"/>
    <w:rsid w:val="329E6876"/>
    <w:rsid w:val="331F04C6"/>
    <w:rsid w:val="332B6F4B"/>
    <w:rsid w:val="333015F2"/>
    <w:rsid w:val="334B6320"/>
    <w:rsid w:val="33857D04"/>
    <w:rsid w:val="33B9690A"/>
    <w:rsid w:val="33D934D4"/>
    <w:rsid w:val="33FE2F6A"/>
    <w:rsid w:val="340E07E5"/>
    <w:rsid w:val="34235BF7"/>
    <w:rsid w:val="345E5D91"/>
    <w:rsid w:val="358C5FA8"/>
    <w:rsid w:val="35C15DF1"/>
    <w:rsid w:val="36074A7F"/>
    <w:rsid w:val="36923549"/>
    <w:rsid w:val="36B75FBF"/>
    <w:rsid w:val="36BD0C45"/>
    <w:rsid w:val="36F60DE8"/>
    <w:rsid w:val="37E00298"/>
    <w:rsid w:val="37E12489"/>
    <w:rsid w:val="37F8051B"/>
    <w:rsid w:val="38AC78FA"/>
    <w:rsid w:val="38B302F9"/>
    <w:rsid w:val="38F12CD3"/>
    <w:rsid w:val="38F94775"/>
    <w:rsid w:val="392971ED"/>
    <w:rsid w:val="39325651"/>
    <w:rsid w:val="39774D3A"/>
    <w:rsid w:val="39DE6410"/>
    <w:rsid w:val="3A3E16E9"/>
    <w:rsid w:val="3A872856"/>
    <w:rsid w:val="3B347D9E"/>
    <w:rsid w:val="3B3763D1"/>
    <w:rsid w:val="3C1B205B"/>
    <w:rsid w:val="3C2206E3"/>
    <w:rsid w:val="3C2F6E1E"/>
    <w:rsid w:val="3C4F64BA"/>
    <w:rsid w:val="3CDA245A"/>
    <w:rsid w:val="3D1E06B7"/>
    <w:rsid w:val="3D7E5B83"/>
    <w:rsid w:val="3EDA0523"/>
    <w:rsid w:val="40563FF8"/>
    <w:rsid w:val="407A6407"/>
    <w:rsid w:val="408262F6"/>
    <w:rsid w:val="41B9630E"/>
    <w:rsid w:val="4200449D"/>
    <w:rsid w:val="423A3BCC"/>
    <w:rsid w:val="424E57D2"/>
    <w:rsid w:val="426A3C06"/>
    <w:rsid w:val="42B26C49"/>
    <w:rsid w:val="42BE6BA7"/>
    <w:rsid w:val="432C28AB"/>
    <w:rsid w:val="433A6FE6"/>
    <w:rsid w:val="43480868"/>
    <w:rsid w:val="4350713C"/>
    <w:rsid w:val="43594161"/>
    <w:rsid w:val="436653E0"/>
    <w:rsid w:val="43C4431A"/>
    <w:rsid w:val="44B951CC"/>
    <w:rsid w:val="44CD14E0"/>
    <w:rsid w:val="44EA03B3"/>
    <w:rsid w:val="44F20B0B"/>
    <w:rsid w:val="451D24AF"/>
    <w:rsid w:val="45261C45"/>
    <w:rsid w:val="452E5F4C"/>
    <w:rsid w:val="453E4460"/>
    <w:rsid w:val="45612018"/>
    <w:rsid w:val="458946E9"/>
    <w:rsid w:val="45A47C0E"/>
    <w:rsid w:val="46394F03"/>
    <w:rsid w:val="46577FD6"/>
    <w:rsid w:val="46C10966"/>
    <w:rsid w:val="46C32E85"/>
    <w:rsid w:val="46D955A7"/>
    <w:rsid w:val="47133957"/>
    <w:rsid w:val="47A07E0C"/>
    <w:rsid w:val="4870272E"/>
    <w:rsid w:val="48FD4B02"/>
    <w:rsid w:val="49DC7715"/>
    <w:rsid w:val="49E56F1D"/>
    <w:rsid w:val="4A023139"/>
    <w:rsid w:val="4A0B1C0D"/>
    <w:rsid w:val="4A7B576F"/>
    <w:rsid w:val="4AC36992"/>
    <w:rsid w:val="4AF561A9"/>
    <w:rsid w:val="4B0F1986"/>
    <w:rsid w:val="4C4A0649"/>
    <w:rsid w:val="4C4A433A"/>
    <w:rsid w:val="4C7E5ECA"/>
    <w:rsid w:val="4C876AA5"/>
    <w:rsid w:val="4CA5628E"/>
    <w:rsid w:val="4CCD41F4"/>
    <w:rsid w:val="4CF654B9"/>
    <w:rsid w:val="4D0E00FB"/>
    <w:rsid w:val="4D176606"/>
    <w:rsid w:val="4D267CC6"/>
    <w:rsid w:val="4DD14294"/>
    <w:rsid w:val="4DEC4FB0"/>
    <w:rsid w:val="4E0572B4"/>
    <w:rsid w:val="4E075D8A"/>
    <w:rsid w:val="4E34661E"/>
    <w:rsid w:val="4E615BC8"/>
    <w:rsid w:val="4EC00FAD"/>
    <w:rsid w:val="4F4F48BB"/>
    <w:rsid w:val="4F7430FE"/>
    <w:rsid w:val="4F9843DC"/>
    <w:rsid w:val="4FC62A8C"/>
    <w:rsid w:val="4FE20F0D"/>
    <w:rsid w:val="4FE51552"/>
    <w:rsid w:val="50504C4B"/>
    <w:rsid w:val="509C6E7C"/>
    <w:rsid w:val="515D57DD"/>
    <w:rsid w:val="5162104E"/>
    <w:rsid w:val="518B3191"/>
    <w:rsid w:val="52F618A2"/>
    <w:rsid w:val="52F7645A"/>
    <w:rsid w:val="53A039CC"/>
    <w:rsid w:val="53A1505A"/>
    <w:rsid w:val="53D37FD9"/>
    <w:rsid w:val="54063E08"/>
    <w:rsid w:val="543437E8"/>
    <w:rsid w:val="54996DF7"/>
    <w:rsid w:val="54F17F05"/>
    <w:rsid w:val="54F73313"/>
    <w:rsid w:val="54F80955"/>
    <w:rsid w:val="555170A7"/>
    <w:rsid w:val="5587536D"/>
    <w:rsid w:val="559B174B"/>
    <w:rsid w:val="55CE0CF4"/>
    <w:rsid w:val="55FF6AC1"/>
    <w:rsid w:val="56680F5A"/>
    <w:rsid w:val="56854D8F"/>
    <w:rsid w:val="56B22A9C"/>
    <w:rsid w:val="57B72A76"/>
    <w:rsid w:val="57C3426C"/>
    <w:rsid w:val="57CE1F93"/>
    <w:rsid w:val="588743D1"/>
    <w:rsid w:val="5887701A"/>
    <w:rsid w:val="59307737"/>
    <w:rsid w:val="5979517E"/>
    <w:rsid w:val="59890B6B"/>
    <w:rsid w:val="59C0439F"/>
    <w:rsid w:val="5A2A460E"/>
    <w:rsid w:val="5A761C4A"/>
    <w:rsid w:val="5ABE2233"/>
    <w:rsid w:val="5BDF5D95"/>
    <w:rsid w:val="5BFE7528"/>
    <w:rsid w:val="5CC35EEE"/>
    <w:rsid w:val="5D0A1E41"/>
    <w:rsid w:val="5D6F1F84"/>
    <w:rsid w:val="5E2467F1"/>
    <w:rsid w:val="5EB22E95"/>
    <w:rsid w:val="5EB2410F"/>
    <w:rsid w:val="5EC41929"/>
    <w:rsid w:val="5EC857E1"/>
    <w:rsid w:val="5F1A2B43"/>
    <w:rsid w:val="5FB837BB"/>
    <w:rsid w:val="5FC922EB"/>
    <w:rsid w:val="5FE56D28"/>
    <w:rsid w:val="60624C48"/>
    <w:rsid w:val="609E41AB"/>
    <w:rsid w:val="60CC405A"/>
    <w:rsid w:val="60F6082E"/>
    <w:rsid w:val="61E215D8"/>
    <w:rsid w:val="621B3775"/>
    <w:rsid w:val="62364782"/>
    <w:rsid w:val="63601FE0"/>
    <w:rsid w:val="6394356A"/>
    <w:rsid w:val="63C61B2C"/>
    <w:rsid w:val="63D40BE9"/>
    <w:rsid w:val="64102431"/>
    <w:rsid w:val="64A5243A"/>
    <w:rsid w:val="64F531DE"/>
    <w:rsid w:val="650103EE"/>
    <w:rsid w:val="65245EDE"/>
    <w:rsid w:val="65373578"/>
    <w:rsid w:val="654A2D0E"/>
    <w:rsid w:val="656A686B"/>
    <w:rsid w:val="657354D8"/>
    <w:rsid w:val="65FD2D91"/>
    <w:rsid w:val="66544484"/>
    <w:rsid w:val="66632867"/>
    <w:rsid w:val="669B5489"/>
    <w:rsid w:val="66D553F4"/>
    <w:rsid w:val="671F124A"/>
    <w:rsid w:val="677A33C6"/>
    <w:rsid w:val="67A14928"/>
    <w:rsid w:val="67CF60DC"/>
    <w:rsid w:val="681F6961"/>
    <w:rsid w:val="68610A2F"/>
    <w:rsid w:val="68805514"/>
    <w:rsid w:val="68A62916"/>
    <w:rsid w:val="68D051AC"/>
    <w:rsid w:val="69316E2F"/>
    <w:rsid w:val="694E2071"/>
    <w:rsid w:val="69766163"/>
    <w:rsid w:val="697A3B33"/>
    <w:rsid w:val="69CD30BF"/>
    <w:rsid w:val="69D44760"/>
    <w:rsid w:val="69EE78DD"/>
    <w:rsid w:val="6A520EC7"/>
    <w:rsid w:val="6AF87E20"/>
    <w:rsid w:val="6B1D0266"/>
    <w:rsid w:val="6B2253C2"/>
    <w:rsid w:val="6B322639"/>
    <w:rsid w:val="6B4355EC"/>
    <w:rsid w:val="6C636C38"/>
    <w:rsid w:val="6DB34098"/>
    <w:rsid w:val="6DB545B6"/>
    <w:rsid w:val="6DCF4F15"/>
    <w:rsid w:val="6DE02FB4"/>
    <w:rsid w:val="6DEF0255"/>
    <w:rsid w:val="6DFD6387"/>
    <w:rsid w:val="6E514CED"/>
    <w:rsid w:val="6EB563D5"/>
    <w:rsid w:val="6ED92677"/>
    <w:rsid w:val="6F225983"/>
    <w:rsid w:val="6F9A00AA"/>
    <w:rsid w:val="6FFC5590"/>
    <w:rsid w:val="706D1DD0"/>
    <w:rsid w:val="70856B87"/>
    <w:rsid w:val="70D527EE"/>
    <w:rsid w:val="70E95452"/>
    <w:rsid w:val="715B5300"/>
    <w:rsid w:val="71A10859"/>
    <w:rsid w:val="71D27F8A"/>
    <w:rsid w:val="71EE7EBF"/>
    <w:rsid w:val="72553024"/>
    <w:rsid w:val="73074FE1"/>
    <w:rsid w:val="73122968"/>
    <w:rsid w:val="731F5D5E"/>
    <w:rsid w:val="73C51AD5"/>
    <w:rsid w:val="741E793C"/>
    <w:rsid w:val="744E4A15"/>
    <w:rsid w:val="745E3944"/>
    <w:rsid w:val="74856C75"/>
    <w:rsid w:val="74B87C23"/>
    <w:rsid w:val="75447AC8"/>
    <w:rsid w:val="75922207"/>
    <w:rsid w:val="7635099D"/>
    <w:rsid w:val="7674276F"/>
    <w:rsid w:val="76BA2B82"/>
    <w:rsid w:val="77547D6D"/>
    <w:rsid w:val="77762421"/>
    <w:rsid w:val="77B56B1F"/>
    <w:rsid w:val="780F09F4"/>
    <w:rsid w:val="788C175F"/>
    <w:rsid w:val="78A90480"/>
    <w:rsid w:val="78F841F5"/>
    <w:rsid w:val="793801E4"/>
    <w:rsid w:val="7A364017"/>
    <w:rsid w:val="7A8265E1"/>
    <w:rsid w:val="7B4A1329"/>
    <w:rsid w:val="7B686D42"/>
    <w:rsid w:val="7B841746"/>
    <w:rsid w:val="7C6C5AC7"/>
    <w:rsid w:val="7CC6544B"/>
    <w:rsid w:val="7D0239FF"/>
    <w:rsid w:val="7D5E40CD"/>
    <w:rsid w:val="7DCD56F2"/>
    <w:rsid w:val="7E577938"/>
    <w:rsid w:val="7F001CE7"/>
    <w:rsid w:val="7F294E83"/>
    <w:rsid w:val="7F2F4F2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widowControl w:val="0"/>
      <w:numPr>
        <w:ilvl w:val="1"/>
        <w:numId w:val="1"/>
      </w:numPr>
      <w:adjustRightInd w:val="0"/>
      <w:snapToGrid w:val="0"/>
      <w:spacing w:before="100" w:beforeAutospacing="1" w:line="360" w:lineRule="auto"/>
      <w:outlineLvl w:val="1"/>
    </w:pPr>
    <w:rPr>
      <w:rFonts w:ascii="黑体" w:hAnsi="Cambria" w:eastAsia="黑体"/>
      <w:bCs/>
      <w:kern w:val="2"/>
      <w:sz w:val="24"/>
      <w:szCs w:val="32"/>
      <w:lang w:val="en-US" w:eastAsia="zh-CN" w:bidi="ar-SA"/>
    </w:rPr>
  </w:style>
  <w:style w:type="character" w:default="1" w:styleId="27">
    <w:name w:val="Default Paragraph Font"/>
    <w:semiHidden/>
    <w:qFormat/>
    <w:uiPriority w:val="0"/>
  </w:style>
  <w:style w:type="table" w:default="1" w:styleId="25">
    <w:name w:val="Normal Table"/>
    <w:semiHidden/>
    <w:uiPriority w:val="0"/>
    <w:tblPr>
      <w:tblCellMar>
        <w:top w:w="0" w:type="dxa"/>
        <w:left w:w="108" w:type="dxa"/>
        <w:bottom w:w="0" w:type="dxa"/>
        <w:right w:w="108" w:type="dxa"/>
      </w:tblCellMar>
    </w:tblPr>
  </w:style>
  <w:style w:type="paragraph" w:styleId="2">
    <w:name w:val="toa heading"/>
    <w:basedOn w:val="1"/>
    <w:next w:val="1"/>
    <w:qFormat/>
    <w:locked/>
    <w:uiPriority w:val="0"/>
    <w:pPr>
      <w:spacing w:before="120"/>
    </w:pPr>
    <w:rPr>
      <w:rFonts w:ascii="Arial" w:hAnsi="Arial" w:cs="Arial"/>
    </w:rPr>
  </w:style>
  <w:style w:type="paragraph" w:customStyle="1" w:styleId="4">
    <w:name w:val="rpt_正文"/>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6">
    <w:name w:val="Normal Indent"/>
    <w:basedOn w:val="1"/>
    <w:next w:val="1"/>
    <w:qFormat/>
    <w:locked/>
    <w:uiPriority w:val="0"/>
    <w:pPr>
      <w:ind w:firstLine="420" w:firstLineChars="200"/>
    </w:pPr>
  </w:style>
  <w:style w:type="paragraph" w:styleId="7">
    <w:name w:val="caption"/>
    <w:basedOn w:val="1"/>
    <w:next w:val="1"/>
    <w:qFormat/>
    <w:locked/>
    <w:uiPriority w:val="0"/>
    <w:pPr>
      <w:spacing w:before="240" w:after="60"/>
      <w:jc w:val="center"/>
    </w:pPr>
    <w:rPr>
      <w:rFonts w:ascii="Arial" w:hAnsi="Arial" w:cs="Arial"/>
      <w:sz w:val="22"/>
      <w:szCs w:val="20"/>
    </w:rPr>
  </w:style>
  <w:style w:type="paragraph" w:styleId="8">
    <w:name w:val="annotation text"/>
    <w:basedOn w:val="1"/>
    <w:link w:val="32"/>
    <w:semiHidden/>
    <w:qFormat/>
    <w:uiPriority w:val="0"/>
    <w:pPr>
      <w:jc w:val="left"/>
    </w:pPr>
    <w:rPr>
      <w:kern w:val="0"/>
      <w:sz w:val="24"/>
      <w:szCs w:val="20"/>
    </w:rPr>
  </w:style>
  <w:style w:type="paragraph" w:styleId="9">
    <w:name w:val="Body Text"/>
    <w:basedOn w:val="1"/>
    <w:next w:val="1"/>
    <w:link w:val="33"/>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34"/>
    <w:uiPriority w:val="0"/>
    <w:pPr>
      <w:spacing w:after="120"/>
      <w:ind w:left="420" w:leftChars="200"/>
    </w:pPr>
    <w:rPr>
      <w:kern w:val="0"/>
      <w:sz w:val="24"/>
      <w:szCs w:val="20"/>
    </w:rPr>
  </w:style>
  <w:style w:type="paragraph" w:styleId="11">
    <w:name w:val="Plain Text"/>
    <w:basedOn w:val="1"/>
    <w:qFormat/>
    <w:locked/>
    <w:uiPriority w:val="0"/>
    <w:rPr>
      <w:rFonts w:ascii="宋体" w:hAnsi="Courier New"/>
      <w:sz w:val="28"/>
    </w:rPr>
  </w:style>
  <w:style w:type="paragraph" w:styleId="12">
    <w:name w:val="Date"/>
    <w:basedOn w:val="1"/>
    <w:next w:val="1"/>
    <w:link w:val="35"/>
    <w:uiPriority w:val="0"/>
    <w:pPr>
      <w:ind w:left="100" w:leftChars="2500"/>
    </w:pPr>
    <w:rPr>
      <w:kern w:val="0"/>
      <w:sz w:val="24"/>
      <w:szCs w:val="20"/>
    </w:rPr>
  </w:style>
  <w:style w:type="paragraph" w:styleId="13">
    <w:name w:val="Body Text Indent 2"/>
    <w:basedOn w:val="1"/>
    <w:next w:val="14"/>
    <w:unhideWhenUsed/>
    <w:qFormat/>
    <w:locked/>
    <w:uiPriority w:val="99"/>
    <w:pPr>
      <w:spacing w:after="120" w:line="480" w:lineRule="auto"/>
      <w:ind w:left="420" w:leftChars="200"/>
    </w:pPr>
    <w:rPr>
      <w:rFonts w:ascii="Times New Roman" w:hAnsi="Times New Roman"/>
      <w:color w:val="auto"/>
      <w:kern w:val="2"/>
      <w:sz w:val="21"/>
      <w:szCs w:val="20"/>
    </w:rPr>
  </w:style>
  <w:style w:type="paragraph" w:customStyle="1" w:styleId="14">
    <w:name w:val="简单回函地址"/>
    <w:basedOn w:val="1"/>
    <w:next w:val="15"/>
    <w:qFormat/>
    <w:uiPriority w:val="0"/>
    <w:pPr>
      <w:widowControl/>
    </w:pPr>
    <w:rPr>
      <w:rFonts w:ascii="宋体" w:hAnsi="宋体" w:cs="宋体"/>
      <w:kern w:val="0"/>
      <w:szCs w:val="20"/>
    </w:rPr>
  </w:style>
  <w:style w:type="paragraph" w:customStyle="1" w:styleId="15">
    <w:name w:val="正文2"/>
    <w:basedOn w:val="10"/>
    <w:next w:val="1"/>
    <w:qFormat/>
    <w:uiPriority w:val="0"/>
    <w:pPr>
      <w:widowControl/>
      <w:spacing w:line="312" w:lineRule="auto"/>
      <w:ind w:firstLine="200" w:firstLineChars="200"/>
    </w:pPr>
    <w:rPr>
      <w:rFonts w:ascii="Times New Roman" w:hAnsi="Times New Roman"/>
      <w:sz w:val="24"/>
    </w:rPr>
  </w:style>
  <w:style w:type="paragraph" w:styleId="16">
    <w:name w:val="Balloon Text"/>
    <w:basedOn w:val="1"/>
    <w:link w:val="36"/>
    <w:semiHidden/>
    <w:uiPriority w:val="0"/>
    <w:rPr>
      <w:kern w:val="0"/>
      <w:sz w:val="18"/>
      <w:szCs w:val="20"/>
    </w:rPr>
  </w:style>
  <w:style w:type="paragraph" w:styleId="17">
    <w:name w:val="footer"/>
    <w:basedOn w:val="1"/>
    <w:link w:val="37"/>
    <w:qFormat/>
    <w:uiPriority w:val="99"/>
    <w:pPr>
      <w:tabs>
        <w:tab w:val="center" w:pos="4153"/>
        <w:tab w:val="right" w:pos="8306"/>
      </w:tabs>
      <w:snapToGrid w:val="0"/>
      <w:jc w:val="left"/>
    </w:pPr>
    <w:rPr>
      <w:kern w:val="0"/>
      <w:sz w:val="18"/>
      <w:szCs w:val="20"/>
    </w:rPr>
  </w:style>
  <w:style w:type="paragraph" w:styleId="18">
    <w:name w:val="header"/>
    <w:basedOn w:val="1"/>
    <w:link w:val="38"/>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39"/>
    <w:pPr>
      <w:tabs>
        <w:tab w:val="right" w:leader="dot" w:pos="8296"/>
      </w:tabs>
    </w:pPr>
    <w:rPr>
      <w:rFonts w:ascii="仿宋_GB2312" w:eastAsia="仿宋_GB2312"/>
      <w:sz w:val="30"/>
      <w:szCs w:val="30"/>
    </w:rPr>
  </w:style>
  <w:style w:type="paragraph" w:styleId="20">
    <w:name w:val="table of figures"/>
    <w:basedOn w:val="1"/>
    <w:next w:val="1"/>
    <w:qFormat/>
    <w:locked/>
    <w:uiPriority w:val="0"/>
    <w:pPr>
      <w:spacing w:line="500" w:lineRule="atLeast"/>
      <w:ind w:firstLine="200" w:firstLineChars="200"/>
      <w:jc w:val="center"/>
    </w:pPr>
    <w:rPr>
      <w:rFonts w:hint="eastAsia" w:ascii="仿宋_GB2312" w:hAnsi="Times New Roman" w:eastAsia="仿宋_GB2312"/>
      <w:bCs/>
      <w:sz w:val="28"/>
    </w:rPr>
  </w:style>
  <w:style w:type="paragraph" w:styleId="21">
    <w:name w:val="Body Text 2"/>
    <w:basedOn w:val="1"/>
    <w:qFormat/>
    <w:locked/>
    <w:uiPriority w:val="99"/>
    <w:pPr>
      <w:widowControl/>
      <w:snapToGrid w:val="0"/>
      <w:spacing w:line="360" w:lineRule="auto"/>
    </w:pPr>
    <w:rPr>
      <w:rFonts w:ascii="宋体"/>
      <w:kern w:val="0"/>
      <w:sz w:val="24"/>
      <w:szCs w:val="20"/>
    </w:rPr>
  </w:style>
  <w:style w:type="paragraph" w:styleId="22">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0"/>
    <w:semiHidden/>
    <w:uiPriority w:val="0"/>
    <w:rPr>
      <w:b/>
      <w:sz w:val="24"/>
      <w:szCs w:val="20"/>
    </w:rPr>
  </w:style>
  <w:style w:type="paragraph" w:styleId="24">
    <w:name w:val="Body Text First Indent 2"/>
    <w:basedOn w:val="10"/>
    <w:next w:val="1"/>
    <w:unhideWhenUsed/>
    <w:qFormat/>
    <w:locked/>
    <w:uiPriority w:val="0"/>
    <w:pPr>
      <w:autoSpaceDE/>
      <w:autoSpaceDN/>
      <w:adjustRightInd/>
      <w:spacing w:after="120" w:line="240" w:lineRule="auto"/>
      <w:ind w:left="420" w:leftChars="200" w:firstLine="420"/>
    </w:pPr>
    <w:rPr>
      <w:rFonts w:ascii="Times New Roman" w:hAnsi="Times New Roman"/>
      <w:color w:val="auto"/>
      <w:kern w:val="2"/>
      <w:sz w:val="21"/>
      <w:szCs w:val="20"/>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locked/>
    <w:uiPriority w:val="22"/>
    <w:rPr>
      <w:b/>
      <w:bCs/>
    </w:rPr>
  </w:style>
  <w:style w:type="character" w:styleId="29">
    <w:name w:val="page number"/>
    <w:basedOn w:val="27"/>
    <w:qFormat/>
    <w:locked/>
    <w:uiPriority w:val="0"/>
  </w:style>
  <w:style w:type="character" w:styleId="30">
    <w:name w:val="Hyperlink"/>
    <w:basedOn w:val="27"/>
    <w:locked/>
    <w:uiPriority w:val="0"/>
    <w:rPr>
      <w:color w:val="0000FF"/>
      <w:u w:val="single"/>
    </w:rPr>
  </w:style>
  <w:style w:type="character" w:styleId="31">
    <w:name w:val="annotation reference"/>
    <w:semiHidden/>
    <w:uiPriority w:val="0"/>
    <w:rPr>
      <w:sz w:val="21"/>
    </w:rPr>
  </w:style>
  <w:style w:type="character" w:customStyle="1" w:styleId="32">
    <w:name w:val="批注文字 Char"/>
    <w:link w:val="8"/>
    <w:qFormat/>
    <w:locked/>
    <w:uiPriority w:val="0"/>
    <w:rPr>
      <w:rFonts w:ascii="Times New Roman" w:hAnsi="Times New Roman" w:eastAsia="宋体"/>
      <w:sz w:val="24"/>
    </w:rPr>
  </w:style>
  <w:style w:type="character" w:customStyle="1" w:styleId="33">
    <w:name w:val="正文文本 Char"/>
    <w:link w:val="9"/>
    <w:qFormat/>
    <w:locked/>
    <w:uiPriority w:val="0"/>
    <w:rPr>
      <w:sz w:val="18"/>
    </w:rPr>
  </w:style>
  <w:style w:type="character" w:customStyle="1" w:styleId="34">
    <w:name w:val="正文文本缩进 Char"/>
    <w:link w:val="10"/>
    <w:semiHidden/>
    <w:qFormat/>
    <w:locked/>
    <w:uiPriority w:val="0"/>
    <w:rPr>
      <w:rFonts w:ascii="Times New Roman" w:hAnsi="Times New Roman" w:eastAsia="宋体"/>
      <w:sz w:val="24"/>
    </w:rPr>
  </w:style>
  <w:style w:type="character" w:customStyle="1" w:styleId="35">
    <w:name w:val="日期 Char"/>
    <w:link w:val="12"/>
    <w:qFormat/>
    <w:locked/>
    <w:uiPriority w:val="0"/>
    <w:rPr>
      <w:rFonts w:ascii="Times New Roman" w:hAnsi="Times New Roman" w:eastAsia="宋体"/>
      <w:sz w:val="24"/>
    </w:rPr>
  </w:style>
  <w:style w:type="character" w:customStyle="1" w:styleId="36">
    <w:name w:val="批注框文本 Char"/>
    <w:link w:val="16"/>
    <w:semiHidden/>
    <w:qFormat/>
    <w:locked/>
    <w:uiPriority w:val="0"/>
    <w:rPr>
      <w:rFonts w:ascii="Times New Roman" w:hAnsi="Times New Roman" w:eastAsia="宋体"/>
      <w:sz w:val="18"/>
    </w:rPr>
  </w:style>
  <w:style w:type="character" w:customStyle="1" w:styleId="37">
    <w:name w:val="页脚 Char"/>
    <w:link w:val="17"/>
    <w:qFormat/>
    <w:locked/>
    <w:uiPriority w:val="99"/>
    <w:rPr>
      <w:sz w:val="18"/>
    </w:rPr>
  </w:style>
  <w:style w:type="character" w:customStyle="1" w:styleId="38">
    <w:name w:val="页眉 Char"/>
    <w:link w:val="18"/>
    <w:qFormat/>
    <w:locked/>
    <w:uiPriority w:val="0"/>
    <w:rPr>
      <w:sz w:val="18"/>
    </w:rPr>
  </w:style>
  <w:style w:type="character" w:customStyle="1" w:styleId="39">
    <w:name w:val="普通(网站) Char"/>
    <w:link w:val="22"/>
    <w:qFormat/>
    <w:locked/>
    <w:uiPriority w:val="0"/>
    <w:rPr>
      <w:rFonts w:ascii="宋体" w:hAnsi="宋体" w:eastAsia="宋体"/>
      <w:sz w:val="24"/>
    </w:rPr>
  </w:style>
  <w:style w:type="character" w:customStyle="1" w:styleId="40">
    <w:name w:val="批注主题 Char"/>
    <w:link w:val="23"/>
    <w:semiHidden/>
    <w:qFormat/>
    <w:locked/>
    <w:uiPriority w:val="0"/>
    <w:rPr>
      <w:rFonts w:ascii="Times New Roman" w:hAnsi="Times New Roman" w:eastAsia="宋体"/>
      <w:b/>
      <w:kern w:val="2"/>
      <w:sz w:val="24"/>
    </w:rPr>
  </w:style>
  <w:style w:type="paragraph" w:customStyle="1" w:styleId="4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2">
    <w:name w:val="日期 字符"/>
    <w:semiHidden/>
    <w:qFormat/>
    <w:uiPriority w:val="0"/>
    <w:rPr>
      <w:rFonts w:ascii="Times New Roman" w:hAnsi="Times New Roman" w:eastAsia="宋体"/>
      <w:sz w:val="24"/>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Cs w:val="20"/>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页脚 字符"/>
    <w:basedOn w:val="27"/>
    <w:qFormat/>
    <w:uiPriority w:val="99"/>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font21"/>
    <w:basedOn w:val="27"/>
    <w:qFormat/>
    <w:uiPriority w:val="0"/>
    <w:rPr>
      <w:rFonts w:hint="eastAsia" w:ascii="宋体" w:hAnsi="宋体" w:eastAsia="宋体" w:cs="宋体"/>
      <w:b/>
      <w:bCs/>
      <w:color w:val="000000"/>
      <w:sz w:val="21"/>
      <w:szCs w:val="21"/>
      <w:u w:val="none"/>
    </w:rPr>
  </w:style>
  <w:style w:type="character" w:customStyle="1" w:styleId="51">
    <w:name w:val="font51"/>
    <w:basedOn w:val="27"/>
    <w:qFormat/>
    <w:uiPriority w:val="0"/>
    <w:rPr>
      <w:rFonts w:hint="eastAsia" w:ascii="宋体" w:hAnsi="宋体" w:eastAsia="宋体" w:cs="宋体"/>
      <w:color w:val="000000"/>
      <w:sz w:val="20"/>
      <w:szCs w:val="20"/>
      <w:u w:val="none"/>
    </w:rPr>
  </w:style>
  <w:style w:type="character" w:customStyle="1" w:styleId="52">
    <w:name w:val="font71"/>
    <w:basedOn w:val="27"/>
    <w:uiPriority w:val="0"/>
    <w:rPr>
      <w:rFonts w:hint="default" w:ascii="Times New Roman" w:hAnsi="Times New Roman" w:cs="Times New Roman"/>
      <w:color w:val="000000"/>
      <w:sz w:val="20"/>
      <w:szCs w:val="20"/>
      <w:u w:val="none"/>
    </w:rPr>
  </w:style>
  <w:style w:type="character" w:customStyle="1" w:styleId="53">
    <w:name w:val="font91"/>
    <w:basedOn w:val="27"/>
    <w:qFormat/>
    <w:uiPriority w:val="0"/>
    <w:rPr>
      <w:rFonts w:hint="eastAsia" w:ascii="宋体" w:hAnsi="宋体" w:eastAsia="宋体" w:cs="宋体"/>
      <w:color w:val="000000"/>
      <w:sz w:val="20"/>
      <w:szCs w:val="20"/>
      <w:u w:val="none"/>
    </w:rPr>
  </w:style>
  <w:style w:type="character" w:customStyle="1" w:styleId="54">
    <w:name w:val="font01"/>
    <w:basedOn w:val="27"/>
    <w:qFormat/>
    <w:uiPriority w:val="0"/>
    <w:rPr>
      <w:rFonts w:hint="default" w:ascii="Times New Roman" w:hAnsi="Times New Roman" w:cs="Times New Roman"/>
      <w:color w:val="000000"/>
      <w:sz w:val="20"/>
      <w:szCs w:val="20"/>
      <w:u w:val="none"/>
    </w:rPr>
  </w:style>
  <w:style w:type="character" w:customStyle="1" w:styleId="55">
    <w:name w:val="font101"/>
    <w:basedOn w:val="27"/>
    <w:qFormat/>
    <w:uiPriority w:val="0"/>
    <w:rPr>
      <w:rFonts w:ascii="宋体" w:hAnsi="宋体" w:eastAsia="宋体" w:cs="宋体"/>
      <w:color w:val="000000"/>
      <w:sz w:val="20"/>
      <w:szCs w:val="20"/>
      <w:u w:val="none"/>
    </w:rPr>
  </w:style>
  <w:style w:type="character" w:customStyle="1" w:styleId="56">
    <w:name w:val="font81"/>
    <w:basedOn w:val="27"/>
    <w:qFormat/>
    <w:uiPriority w:val="0"/>
    <w:rPr>
      <w:rFonts w:hint="eastAsia" w:ascii="宋体" w:hAnsi="宋体" w:eastAsia="宋体" w:cs="宋体"/>
      <w:color w:val="000000"/>
      <w:sz w:val="20"/>
      <w:szCs w:val="20"/>
      <w:u w:val="none"/>
    </w:rPr>
  </w:style>
  <w:style w:type="character" w:customStyle="1" w:styleId="57">
    <w:name w:val="font61"/>
    <w:basedOn w:val="27"/>
    <w:qFormat/>
    <w:uiPriority w:val="0"/>
    <w:rPr>
      <w:rFonts w:hint="default" w:ascii="Times New Roman" w:hAnsi="Times New Roman" w:cs="Times New Roman"/>
      <w:color w:val="000000"/>
      <w:sz w:val="20"/>
      <w:szCs w:val="20"/>
      <w:u w:val="none"/>
    </w:rPr>
  </w:style>
  <w:style w:type="character" w:customStyle="1" w:styleId="58">
    <w:name w:val="font31"/>
    <w:basedOn w:val="27"/>
    <w:qFormat/>
    <w:uiPriority w:val="0"/>
    <w:rPr>
      <w:rFonts w:hint="eastAsia" w:ascii="宋体" w:hAnsi="宋体" w:eastAsia="宋体" w:cs="宋体"/>
      <w:color w:val="000000"/>
      <w:sz w:val="22"/>
      <w:szCs w:val="22"/>
      <w:u w:val="none"/>
    </w:rPr>
  </w:style>
  <w:style w:type="paragraph" w:customStyle="1" w:styleId="59">
    <w:name w:val="样式2"/>
    <w:basedOn w:val="1"/>
    <w:qFormat/>
    <w:uiPriority w:val="0"/>
    <w:pPr>
      <w:adjustRightInd w:val="0"/>
      <w:spacing w:line="288" w:lineRule="auto"/>
      <w:ind w:left="170"/>
      <w:jc w:val="left"/>
    </w:pPr>
    <w:rPr>
      <w:b/>
      <w:kern w:val="0"/>
      <w:sz w:val="24"/>
    </w:rPr>
  </w:style>
  <w:style w:type="paragraph" w:customStyle="1" w:styleId="60">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61">
    <w:name w:val="fontstyle01"/>
    <w:basedOn w:val="27"/>
    <w:qFormat/>
    <w:uiPriority w:val="0"/>
    <w:rPr>
      <w:rFonts w:hint="eastAsia" w:ascii="宋体" w:hAnsi="宋体" w:eastAsia="宋体"/>
      <w:color w:val="000000"/>
      <w:sz w:val="24"/>
      <w:szCs w:val="24"/>
    </w:rPr>
  </w:style>
  <w:style w:type="paragraph" w:customStyle="1" w:styleId="62">
    <w:name w:val="Table Paragraph"/>
    <w:basedOn w:val="1"/>
    <w:qFormat/>
    <w:uiPriority w:val="1"/>
    <w:rPr>
      <w:rFonts w:ascii="宋体" w:hAnsi="宋体" w:eastAsia="宋体" w:cs="宋体"/>
      <w:lang w:val="zh-CN" w:eastAsia="zh-CN" w:bidi="zh-CN"/>
    </w:rPr>
  </w:style>
  <w:style w:type="paragraph" w:customStyle="1" w:styleId="6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64">
    <w:name w:val="正文-欣欣"/>
    <w:basedOn w:val="11"/>
    <w:next w:val="1"/>
    <w:qFormat/>
    <w:uiPriority w:val="0"/>
    <w:pPr>
      <w:adjustRightInd w:val="0"/>
      <w:spacing w:line="360" w:lineRule="auto"/>
      <w:ind w:firstLine="200" w:firstLineChars="200"/>
    </w:pPr>
    <w:rPr>
      <w:rFonts w:cs="Times New Roman"/>
      <w:sz w:val="24"/>
      <w:szCs w:val="30"/>
    </w:rPr>
  </w:style>
  <w:style w:type="character" w:customStyle="1" w:styleId="65">
    <w:name w:val="style7 style11"/>
    <w:basedOn w:val="27"/>
    <w:qFormat/>
    <w:uiPriority w:val="0"/>
    <w:rPr>
      <w:rFonts w:ascii="Times New Roman" w:hAnsi="Times New Roman" w:eastAsia="宋体" w:cs="Times New Roman"/>
    </w:rPr>
  </w:style>
  <w:style w:type="table" w:customStyle="1" w:styleId="66">
    <w:name w:val="Table Normal"/>
    <w:unhideWhenUsed/>
    <w:qFormat/>
    <w:uiPriority w:val="0"/>
    <w:tblPr>
      <w:tblCellMar>
        <w:top w:w="0" w:type="dxa"/>
        <w:left w:w="0" w:type="dxa"/>
        <w:bottom w:w="0" w:type="dxa"/>
        <w:right w:w="0" w:type="dxa"/>
      </w:tblCellMar>
    </w:tblPr>
  </w:style>
  <w:style w:type="paragraph" w:customStyle="1" w:styleId="67">
    <w:name w:val="_Style 377"/>
    <w:basedOn w:val="1"/>
    <w:qFormat/>
    <w:uiPriority w:val="0"/>
    <w:pPr>
      <w:widowControl/>
    </w:pPr>
  </w:style>
  <w:style w:type="paragraph" w:customStyle="1" w:styleId="68">
    <w:name w:val="rpt_表项"/>
    <w:basedOn w:val="1"/>
    <w:qFormat/>
    <w:uiPriority w:val="0"/>
    <w:pPr>
      <w:spacing w:before="60" w:after="60"/>
      <w:jc w:val="center"/>
    </w:pPr>
    <w:rPr>
      <w:rFonts w:cs="宋体"/>
      <w:sz w:val="22"/>
      <w:szCs w:val="20"/>
    </w:rPr>
  </w:style>
  <w:style w:type="paragraph" w:customStyle="1" w:styleId="69">
    <w:name w:val="表头"/>
    <w:basedOn w:val="1"/>
    <w:next w:val="1"/>
    <w:qFormat/>
    <w:uiPriority w:val="0"/>
    <w:pPr>
      <w:tabs>
        <w:tab w:val="left" w:pos="6840"/>
      </w:tabs>
      <w:topLinePunct/>
      <w:snapToGrid w:val="0"/>
      <w:spacing w:line="529" w:lineRule="exact"/>
      <w:jc w:val="center"/>
    </w:pPr>
    <w:rPr>
      <w:rFonts w:ascii="宋体" w:hAnsi="宋体" w:cs="宋体"/>
      <w:b/>
      <w:bCs/>
      <w:kern w:val="24"/>
      <w:sz w:val="24"/>
      <w:szCs w:val="28"/>
    </w:rPr>
  </w:style>
  <w:style w:type="paragraph" w:customStyle="1" w:styleId="70">
    <w:name w:val="标题2"/>
    <w:basedOn w:val="5"/>
    <w:qFormat/>
    <w:uiPriority w:val="0"/>
    <w:pPr>
      <w:keepNext w:val="0"/>
      <w:keepLines w:val="0"/>
      <w:spacing w:before="100" w:after="100" w:line="413" w:lineRule="auto"/>
      <w:ind w:firstLine="589" w:firstLineChars="196"/>
    </w:pPr>
    <w:rPr>
      <w:rFonts w:ascii="华康简标题宋" w:hAnsi="Times New Roman" w:eastAsia="华康简标题宋" w:cs="Times New Roman"/>
      <w:bCs w:val="0"/>
      <w:sz w:val="30"/>
      <w:szCs w:val="20"/>
    </w:rPr>
  </w:style>
  <w:style w:type="paragraph" w:customStyle="1" w:styleId="71">
    <w:name w:val="正文-蓝色"/>
    <w:basedOn w:val="64"/>
    <w:next w:val="1"/>
    <w:qFormat/>
    <w:uiPriority w:val="0"/>
    <w:rPr>
      <w:color w:val="FF0000"/>
      <w:kern w:val="0"/>
      <w:szCs w:val="28"/>
    </w:rPr>
  </w:style>
  <w:style w:type="paragraph" w:customStyle="1" w:styleId="72">
    <w:name w:val="表格内容"/>
    <w:basedOn w:val="6"/>
    <w:next w:val="1"/>
    <w:qFormat/>
    <w:uiPriority w:val="0"/>
    <w:pPr>
      <w:jc w:val="center"/>
    </w:pPr>
    <w:rPr>
      <w:rFonts w:eastAsia="Times New Roman" w:cs="Times New Roman"/>
      <w:kern w:val="0"/>
      <w:sz w:val="20"/>
      <w:szCs w:val="21"/>
    </w:rPr>
  </w:style>
  <w:style w:type="paragraph" w:customStyle="1" w:styleId="73">
    <w:name w:val="报告表格"/>
    <w:basedOn w:val="1"/>
    <w:next w:val="74"/>
    <w:qFormat/>
    <w:uiPriority w:val="0"/>
    <w:pPr>
      <w:autoSpaceDE w:val="0"/>
      <w:autoSpaceDN w:val="0"/>
      <w:adjustRightInd w:val="0"/>
      <w:spacing w:before="40" w:after="40"/>
      <w:jc w:val="center"/>
      <w:textAlignment w:val="bottom"/>
    </w:pPr>
    <w:rPr>
      <w:rFonts w:cs="Times New Roman"/>
      <w:kern w:val="0"/>
      <w:szCs w:val="20"/>
    </w:rPr>
  </w:style>
  <w:style w:type="paragraph" w:customStyle="1" w:styleId="74">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7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6">
    <w:name w:val="Table Grid_0"/>
    <w:basedOn w:val="2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emf"/><Relationship Id="rId27" Type="http://schemas.openxmlformats.org/officeDocument/2006/relationships/oleObject" Target="embeddings/oleObject2.bin"/><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emf"/><Relationship Id="rId22" Type="http://schemas.openxmlformats.org/officeDocument/2006/relationships/oleObject" Target="embeddings/oleObject1.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110</Pages>
  <Words>64988</Words>
  <Characters>72910</Characters>
  <Lines>13</Lines>
  <Paragraphs>3</Paragraphs>
  <TotalTime>21</TotalTime>
  <ScaleCrop>false</ScaleCrop>
  <LinksUpToDate>false</LinksUpToDate>
  <CharactersWithSpaces>73829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idiot</cp:lastModifiedBy>
  <cp:lastPrinted>2020-12-29T02:43:00Z</cp:lastPrinted>
  <dcterms:modified xsi:type="dcterms:W3CDTF">2023-05-30T06:28:32Z</dcterms:modified>
  <dc:title>建设项目环境影响报告表（污染影响类）</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F2DB959176824DE590FD96D0642931E8_13</vt:lpwstr>
  </property>
</Properties>
</file>