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2003-2010___5.vsd" ContentType="application/vnd.visio"/>
  <Override PartName="/word/embeddings/Microsoft_Visio___1.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6.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eastAsia="宋体"/>
          <w:snapToGrid w:val="0"/>
          <w:color w:val="auto"/>
          <w:sz w:val="24"/>
          <w:szCs w:val="21"/>
        </w:rPr>
      </w:pPr>
      <w:r>
        <w:rPr>
          <w:rFonts w:eastAsia="宋体"/>
          <w:snapToGrid w:val="0"/>
          <w:color w:val="auto"/>
          <w:sz w:val="24"/>
          <w:szCs w:val="21"/>
        </w:rPr>
        <w:t>一、建设项目基本情况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34"/>
        <w:gridCol w:w="2753"/>
        <w:gridCol w:w="2164"/>
        <w:gridCol w:w="10"/>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建设项目名称</w:t>
            </w:r>
          </w:p>
        </w:tc>
        <w:tc>
          <w:tcPr>
            <w:tcW w:w="4202" w:type="pct"/>
            <w:gridSpan w:val="4"/>
            <w:vAlign w:val="center"/>
          </w:tcPr>
          <w:p>
            <w:pPr>
              <w:adjustRightInd w:val="0"/>
              <w:snapToGrid w:val="0"/>
              <w:spacing w:line="240" w:lineRule="atLeast"/>
              <w:ind w:firstLine="0" w:firstLineChars="0"/>
              <w:jc w:val="center"/>
              <w:rPr>
                <w:sz w:val="21"/>
                <w:szCs w:val="21"/>
              </w:rPr>
            </w:pPr>
            <w:r>
              <w:rPr>
                <w:rFonts w:hint="eastAsia"/>
                <w:sz w:val="21"/>
                <w:szCs w:val="21"/>
              </w:rPr>
              <w:t>平安7井钻井工程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项目代码</w:t>
            </w:r>
          </w:p>
        </w:tc>
        <w:tc>
          <w:tcPr>
            <w:tcW w:w="4202" w:type="pct"/>
            <w:gridSpan w:val="4"/>
            <w:vAlign w:val="center"/>
          </w:tcPr>
          <w:p>
            <w:pPr>
              <w:adjustRightInd w:val="0"/>
              <w:snapToGrid w:val="0"/>
              <w:spacing w:line="240" w:lineRule="atLeast"/>
              <w:ind w:firstLine="0" w:firstLineChars="0"/>
              <w:jc w:val="center"/>
              <w:rPr>
                <w:sz w:val="21"/>
                <w:szCs w:val="21"/>
                <w:highlight w:val="yellow"/>
              </w:rPr>
            </w:pPr>
            <w:r>
              <w:rPr>
                <w:rFonts w:ascii="宋体" w:hAnsi="宋体"/>
                <w:sz w:val="21"/>
              </w:rPr>
              <w:t>川投资备【</w:t>
            </w:r>
            <w:r>
              <w:rPr>
                <w:rFonts w:ascii="TimesNewRomanPSMT" w:hAnsi="TimesNewRomanPSMT"/>
                <w:sz w:val="21"/>
              </w:rPr>
              <w:t>2402-511702-04-01-110386</w:t>
            </w:r>
            <w:r>
              <w:rPr>
                <w:rFonts w:ascii="宋体" w:hAnsi="宋体"/>
                <w:sz w:val="21"/>
              </w:rPr>
              <w:t>】</w:t>
            </w:r>
            <w:r>
              <w:rPr>
                <w:rFonts w:ascii="TimesNewRomanPSMT" w:hAnsi="TimesNewRomanPSMT"/>
                <w:sz w:val="21"/>
              </w:rPr>
              <w:t>FGQB-0039</w:t>
            </w:r>
            <w:r>
              <w:rPr>
                <w:rFonts w:ascii="宋体" w:hAnsi="宋体"/>
                <w:sz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建设单位联系人</w:t>
            </w:r>
          </w:p>
        </w:tc>
        <w:tc>
          <w:tcPr>
            <w:tcW w:w="1561" w:type="pct"/>
            <w:vAlign w:val="center"/>
          </w:tcPr>
          <w:p>
            <w:pPr>
              <w:adjustRightInd w:val="0"/>
              <w:snapToGrid w:val="0"/>
              <w:spacing w:line="240" w:lineRule="atLeast"/>
              <w:ind w:firstLine="0" w:firstLineChars="0"/>
              <w:jc w:val="center"/>
              <w:rPr>
                <w:sz w:val="21"/>
                <w:szCs w:val="21"/>
              </w:rPr>
            </w:pPr>
            <w:r>
              <w:rPr>
                <w:rFonts w:hint="eastAsia"/>
                <w:sz w:val="21"/>
                <w:szCs w:val="21"/>
              </w:rPr>
              <w:t>黄明洋</w:t>
            </w:r>
          </w:p>
        </w:tc>
        <w:tc>
          <w:tcPr>
            <w:tcW w:w="1232" w:type="pct"/>
            <w:gridSpan w:val="2"/>
            <w:vAlign w:val="center"/>
          </w:tcPr>
          <w:p>
            <w:pPr>
              <w:adjustRightInd w:val="0"/>
              <w:snapToGrid w:val="0"/>
              <w:spacing w:line="240" w:lineRule="atLeast"/>
              <w:ind w:firstLine="0" w:firstLineChars="0"/>
              <w:jc w:val="center"/>
              <w:rPr>
                <w:sz w:val="21"/>
                <w:szCs w:val="21"/>
              </w:rPr>
            </w:pPr>
            <w:r>
              <w:rPr>
                <w:sz w:val="21"/>
                <w:szCs w:val="21"/>
              </w:rPr>
              <w:t>联系方式</w:t>
            </w:r>
          </w:p>
        </w:tc>
        <w:tc>
          <w:tcPr>
            <w:tcW w:w="1409" w:type="pct"/>
            <w:vAlign w:val="center"/>
          </w:tcPr>
          <w:p>
            <w:pPr>
              <w:adjustRightInd w:val="0"/>
              <w:snapToGrid w:val="0"/>
              <w:spacing w:line="240" w:lineRule="atLeast"/>
              <w:ind w:firstLine="0" w:firstLineChars="0"/>
              <w:jc w:val="center"/>
              <w:rPr>
                <w:sz w:val="21"/>
                <w:szCs w:val="21"/>
              </w:rPr>
            </w:pPr>
            <w:r>
              <w:rPr>
                <w:sz w:val="21"/>
                <w:szCs w:val="21"/>
              </w:rPr>
              <w:t>18181117227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建设地点</w:t>
            </w:r>
          </w:p>
        </w:tc>
        <w:tc>
          <w:tcPr>
            <w:tcW w:w="4202" w:type="pct"/>
            <w:gridSpan w:val="4"/>
            <w:vAlign w:val="center"/>
          </w:tcPr>
          <w:p>
            <w:pPr>
              <w:adjustRightInd w:val="0"/>
              <w:snapToGrid w:val="0"/>
              <w:spacing w:line="240" w:lineRule="auto"/>
              <w:ind w:firstLine="420"/>
              <w:jc w:val="center"/>
              <w:rPr>
                <w:snapToGrid w:val="0"/>
                <w:kern w:val="0"/>
                <w:sz w:val="21"/>
                <w:szCs w:val="21"/>
                <w:u w:val="single"/>
              </w:rPr>
            </w:pPr>
            <w:bookmarkStart w:id="0" w:name="OLE_LINK2"/>
            <w:bookmarkStart w:id="1" w:name="OLE_LINK1"/>
            <w:r>
              <w:rPr>
                <w:snapToGrid w:val="0"/>
                <w:kern w:val="0"/>
                <w:sz w:val="21"/>
                <w:szCs w:val="21"/>
                <w:u w:val="single"/>
              </w:rPr>
              <w:t>四川</w:t>
            </w:r>
            <w:r>
              <w:rPr>
                <w:snapToGrid w:val="0"/>
                <w:kern w:val="0"/>
                <w:sz w:val="21"/>
                <w:szCs w:val="21"/>
              </w:rPr>
              <w:t>省（自治区）</w:t>
            </w:r>
            <w:r>
              <w:rPr>
                <w:rFonts w:hint="eastAsia"/>
                <w:snapToGrid w:val="0"/>
                <w:kern w:val="0"/>
                <w:sz w:val="21"/>
                <w:szCs w:val="21"/>
                <w:u w:val="single"/>
              </w:rPr>
              <w:t>达州</w:t>
            </w:r>
            <w:r>
              <w:rPr>
                <w:snapToGrid w:val="0"/>
                <w:kern w:val="0"/>
                <w:sz w:val="21"/>
                <w:szCs w:val="21"/>
              </w:rPr>
              <w:t>市</w:t>
            </w:r>
            <w:r>
              <w:rPr>
                <w:rFonts w:hint="eastAsia"/>
                <w:snapToGrid w:val="0"/>
                <w:kern w:val="0"/>
                <w:sz w:val="21"/>
                <w:szCs w:val="21"/>
                <w:u w:val="single"/>
              </w:rPr>
              <w:t>通川区</w:t>
            </w:r>
            <w:r>
              <w:rPr>
                <w:snapToGrid w:val="0"/>
                <w:kern w:val="0"/>
                <w:sz w:val="21"/>
                <w:szCs w:val="21"/>
              </w:rPr>
              <w:t>（县）</w:t>
            </w:r>
            <w:r>
              <w:rPr>
                <w:rFonts w:hint="eastAsia"/>
                <w:snapToGrid w:val="0"/>
                <w:kern w:val="0"/>
                <w:sz w:val="21"/>
                <w:szCs w:val="21"/>
                <w:u w:val="single"/>
              </w:rPr>
              <w:t>北山镇</w:t>
            </w:r>
            <w:r>
              <w:rPr>
                <w:snapToGrid w:val="0"/>
                <w:kern w:val="0"/>
                <w:sz w:val="21"/>
                <w:szCs w:val="21"/>
              </w:rPr>
              <w:t>（街道）</w:t>
            </w:r>
            <w:bookmarkEnd w:id="0"/>
            <w:bookmarkEnd w:id="1"/>
            <w:r>
              <w:rPr>
                <w:rFonts w:hint="eastAsia"/>
                <w:snapToGrid w:val="0"/>
                <w:kern w:val="0"/>
                <w:sz w:val="21"/>
                <w:szCs w:val="21"/>
                <w:u w:val="single"/>
              </w:rPr>
              <w:t>石龙村2组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地理坐标</w:t>
            </w:r>
          </w:p>
        </w:tc>
        <w:tc>
          <w:tcPr>
            <w:tcW w:w="4202" w:type="pct"/>
            <w:gridSpan w:val="4"/>
            <w:vAlign w:val="center"/>
          </w:tcPr>
          <w:p>
            <w:pPr>
              <w:adjustRightInd w:val="0"/>
              <w:snapToGrid w:val="0"/>
              <w:spacing w:line="240" w:lineRule="auto"/>
              <w:ind w:firstLine="420"/>
              <w:jc w:val="center"/>
              <w:rPr>
                <w:snapToGrid w:val="0"/>
                <w:kern w:val="0"/>
                <w:sz w:val="21"/>
                <w:szCs w:val="21"/>
              </w:rPr>
            </w:pPr>
            <w:r>
              <w:rPr>
                <w:snapToGrid w:val="0"/>
                <w:kern w:val="0"/>
                <w:sz w:val="21"/>
                <w:szCs w:val="21"/>
              </w:rPr>
              <w:t>（</w:t>
            </w:r>
            <w:r>
              <w:rPr>
                <w:snapToGrid w:val="0"/>
                <w:kern w:val="0"/>
                <w:sz w:val="21"/>
                <w:szCs w:val="21"/>
                <w:u w:val="single"/>
              </w:rPr>
              <w:t>107</w:t>
            </w:r>
            <w:r>
              <w:rPr>
                <w:snapToGrid w:val="0"/>
                <w:kern w:val="0"/>
                <w:sz w:val="21"/>
                <w:szCs w:val="21"/>
              </w:rPr>
              <w:t>度</w:t>
            </w:r>
            <w:r>
              <w:rPr>
                <w:snapToGrid w:val="0"/>
                <w:kern w:val="0"/>
                <w:sz w:val="21"/>
                <w:szCs w:val="21"/>
                <w:u w:val="single"/>
              </w:rPr>
              <w:t>19</w:t>
            </w:r>
            <w:r>
              <w:rPr>
                <w:snapToGrid w:val="0"/>
                <w:kern w:val="0"/>
                <w:sz w:val="21"/>
                <w:szCs w:val="21"/>
              </w:rPr>
              <w:t>分</w:t>
            </w:r>
            <w:r>
              <w:rPr>
                <w:snapToGrid w:val="0"/>
                <w:kern w:val="0"/>
                <w:sz w:val="21"/>
                <w:szCs w:val="21"/>
                <w:u w:val="single"/>
              </w:rPr>
              <w:t>50.457</w:t>
            </w:r>
            <w:r>
              <w:rPr>
                <w:snapToGrid w:val="0"/>
                <w:kern w:val="0"/>
                <w:sz w:val="21"/>
                <w:szCs w:val="21"/>
              </w:rPr>
              <w:t>秒，</w:t>
            </w:r>
            <w:r>
              <w:rPr>
                <w:snapToGrid w:val="0"/>
                <w:kern w:val="0"/>
                <w:sz w:val="21"/>
                <w:szCs w:val="21"/>
                <w:u w:val="single"/>
              </w:rPr>
              <w:t>31</w:t>
            </w:r>
            <w:r>
              <w:rPr>
                <w:snapToGrid w:val="0"/>
                <w:kern w:val="0"/>
                <w:sz w:val="21"/>
                <w:szCs w:val="21"/>
              </w:rPr>
              <w:t>度</w:t>
            </w:r>
            <w:r>
              <w:rPr>
                <w:snapToGrid w:val="0"/>
                <w:kern w:val="0"/>
                <w:sz w:val="21"/>
                <w:szCs w:val="21"/>
                <w:u w:val="single"/>
              </w:rPr>
              <w:t>28</w:t>
            </w:r>
            <w:r>
              <w:rPr>
                <w:snapToGrid w:val="0"/>
                <w:kern w:val="0"/>
                <w:sz w:val="21"/>
                <w:szCs w:val="21"/>
              </w:rPr>
              <w:t>分</w:t>
            </w:r>
            <w:r>
              <w:rPr>
                <w:snapToGrid w:val="0"/>
                <w:kern w:val="0"/>
                <w:sz w:val="21"/>
                <w:szCs w:val="21"/>
                <w:u w:val="single"/>
              </w:rPr>
              <w:t>55.717</w:t>
            </w:r>
            <w:r>
              <w:rPr>
                <w:snapToGrid w:val="0"/>
                <w:kern w:val="0"/>
                <w:sz w:val="21"/>
                <w:szCs w:val="21"/>
              </w:rPr>
              <w:t>秒）（井口坐标）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建设项目行业类别</w:t>
            </w:r>
          </w:p>
        </w:tc>
        <w:tc>
          <w:tcPr>
            <w:tcW w:w="1561" w:type="pct"/>
            <w:vAlign w:val="center"/>
          </w:tcPr>
          <w:p>
            <w:pPr>
              <w:pStyle w:val="57"/>
            </w:pPr>
            <w:r>
              <w:t>99陆地矿产资源地质勘查（含油气资源勘探）；二氧化碳地质封存</w:t>
            </w:r>
          </w:p>
        </w:tc>
        <w:tc>
          <w:tcPr>
            <w:tcW w:w="1227" w:type="pct"/>
            <w:vAlign w:val="center"/>
          </w:tcPr>
          <w:p>
            <w:pPr>
              <w:pStyle w:val="57"/>
            </w:pPr>
            <w:r>
              <w:t>用地（用海）面积（m</w:t>
            </w:r>
            <w:r>
              <w:rPr>
                <w:vertAlign w:val="superscript"/>
              </w:rPr>
              <w:t>2</w:t>
            </w:r>
            <w:r>
              <w:t>）/长度（km）</w:t>
            </w:r>
          </w:p>
        </w:tc>
        <w:tc>
          <w:tcPr>
            <w:tcW w:w="1414" w:type="pct"/>
            <w:gridSpan w:val="2"/>
            <w:vAlign w:val="center"/>
          </w:tcPr>
          <w:p>
            <w:pPr>
              <w:adjustRightInd w:val="0"/>
              <w:snapToGrid w:val="0"/>
              <w:spacing w:line="240" w:lineRule="atLeast"/>
              <w:ind w:firstLine="0" w:firstLineChars="0"/>
              <w:jc w:val="center"/>
              <w:rPr>
                <w:sz w:val="21"/>
                <w:szCs w:val="21"/>
              </w:rPr>
            </w:pPr>
            <w:r>
              <w:rPr>
                <w:sz w:val="21"/>
                <w:szCs w:val="21"/>
              </w:rPr>
              <w:t>永久占地：0m</w:t>
            </w:r>
            <w:r>
              <w:rPr>
                <w:sz w:val="21"/>
                <w:szCs w:val="21"/>
                <w:vertAlign w:val="superscript"/>
              </w:rPr>
              <w:t>2</w:t>
            </w:r>
          </w:p>
          <w:p>
            <w:pPr>
              <w:adjustRightInd w:val="0"/>
              <w:snapToGrid w:val="0"/>
              <w:spacing w:line="240" w:lineRule="atLeast"/>
              <w:ind w:firstLine="0" w:firstLineChars="0"/>
              <w:jc w:val="center"/>
              <w:rPr>
                <w:sz w:val="21"/>
                <w:szCs w:val="21"/>
                <w:highlight w:val="yellow"/>
              </w:rPr>
            </w:pPr>
            <w:r>
              <w:rPr>
                <w:sz w:val="21"/>
                <w:szCs w:val="21"/>
              </w:rPr>
              <w:t>临时占地：</w:t>
            </w:r>
            <w:r>
              <w:rPr>
                <w:snapToGrid w:val="0"/>
                <w:kern w:val="0"/>
                <w:sz w:val="21"/>
                <w:szCs w:val="21"/>
              </w:rPr>
              <w:t>24390.89</w:t>
            </w:r>
            <w:r>
              <w:rPr>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建设性质</w:t>
            </w:r>
          </w:p>
        </w:tc>
        <w:tc>
          <w:tcPr>
            <w:tcW w:w="1561" w:type="pct"/>
            <w:vAlign w:val="center"/>
          </w:tcPr>
          <w:p>
            <w:pPr>
              <w:adjustRightInd w:val="0"/>
              <w:snapToGrid w:val="0"/>
              <w:spacing w:line="240" w:lineRule="atLeast"/>
              <w:ind w:firstLine="0" w:firstLineChars="0"/>
              <w:rPr>
                <w:sz w:val="21"/>
                <w:szCs w:val="21"/>
              </w:rPr>
            </w:pPr>
            <w:r>
              <w:rPr>
                <w:b/>
                <w:sz w:val="21"/>
                <w:szCs w:val="21"/>
              </w:rPr>
              <w:fldChar w:fldCharType="begin"/>
            </w:r>
            <w:r>
              <w:rPr>
                <w:b/>
                <w:sz w:val="21"/>
                <w:szCs w:val="21"/>
              </w:rPr>
              <w:instrText xml:space="preserve"> eq \o\ac(□,</w:instrText>
            </w:r>
            <w:r>
              <w:rPr>
                <w:b/>
                <w:position w:val="1"/>
                <w:sz w:val="21"/>
                <w:szCs w:val="21"/>
              </w:rPr>
              <w:instrText xml:space="preserve">√</w:instrText>
            </w:r>
            <w:r>
              <w:rPr>
                <w:b/>
                <w:sz w:val="21"/>
                <w:szCs w:val="21"/>
              </w:rPr>
              <w:instrText xml:space="preserve">)</w:instrText>
            </w:r>
            <w:r>
              <w:rPr>
                <w:b/>
                <w:sz w:val="21"/>
                <w:szCs w:val="21"/>
              </w:rPr>
              <w:fldChar w:fldCharType="end"/>
            </w:r>
            <w:r>
              <w:rPr>
                <w:sz w:val="21"/>
                <w:szCs w:val="21"/>
              </w:rPr>
              <w:t>新建（迁建）</w:t>
            </w:r>
          </w:p>
          <w:p>
            <w:pPr>
              <w:adjustRightInd w:val="0"/>
              <w:snapToGrid w:val="0"/>
              <w:spacing w:line="240" w:lineRule="atLeast"/>
              <w:ind w:firstLine="0" w:firstLineChars="0"/>
              <w:jc w:val="left"/>
              <w:rPr>
                <w:sz w:val="21"/>
                <w:szCs w:val="21"/>
              </w:rPr>
            </w:pPr>
            <w:r>
              <w:rPr>
                <w:sz w:val="21"/>
                <w:szCs w:val="21"/>
              </w:rPr>
              <w:t>□改建</w:t>
            </w:r>
          </w:p>
          <w:p>
            <w:pPr>
              <w:adjustRightInd w:val="0"/>
              <w:snapToGrid w:val="0"/>
              <w:spacing w:line="240" w:lineRule="atLeast"/>
              <w:ind w:firstLine="0" w:firstLineChars="0"/>
              <w:jc w:val="left"/>
              <w:rPr>
                <w:sz w:val="21"/>
                <w:szCs w:val="21"/>
              </w:rPr>
            </w:pPr>
            <w:r>
              <w:rPr>
                <w:sz w:val="21"/>
                <w:szCs w:val="21"/>
              </w:rPr>
              <w:t>□扩建</w:t>
            </w:r>
          </w:p>
          <w:p>
            <w:pPr>
              <w:adjustRightInd w:val="0"/>
              <w:snapToGrid w:val="0"/>
              <w:spacing w:line="240" w:lineRule="atLeast"/>
              <w:ind w:firstLine="0" w:firstLineChars="0"/>
              <w:jc w:val="left"/>
              <w:rPr>
                <w:sz w:val="21"/>
                <w:szCs w:val="21"/>
              </w:rPr>
            </w:pPr>
            <w:r>
              <w:rPr>
                <w:sz w:val="21"/>
                <w:szCs w:val="21"/>
              </w:rPr>
              <w:t>□技术改造</w:t>
            </w:r>
          </w:p>
        </w:tc>
        <w:tc>
          <w:tcPr>
            <w:tcW w:w="1227" w:type="pct"/>
            <w:vAlign w:val="center"/>
          </w:tcPr>
          <w:p>
            <w:pPr>
              <w:pStyle w:val="57"/>
            </w:pPr>
            <w:r>
              <w:t>建设项目</w:t>
            </w:r>
          </w:p>
          <w:p>
            <w:pPr>
              <w:pStyle w:val="57"/>
            </w:pPr>
            <w:r>
              <w:t>申报情形</w:t>
            </w:r>
          </w:p>
        </w:tc>
        <w:tc>
          <w:tcPr>
            <w:tcW w:w="1414" w:type="pct"/>
            <w:gridSpan w:val="2"/>
            <w:vAlign w:val="center"/>
          </w:tcPr>
          <w:p>
            <w:pPr>
              <w:adjustRightInd w:val="0"/>
              <w:snapToGrid w:val="0"/>
              <w:spacing w:line="240" w:lineRule="atLeast"/>
              <w:ind w:firstLine="0" w:firstLineChars="0"/>
              <w:jc w:val="left"/>
              <w:rPr>
                <w:sz w:val="21"/>
                <w:szCs w:val="21"/>
              </w:rPr>
            </w:pPr>
            <w:r>
              <w:rPr>
                <w:b/>
                <w:sz w:val="21"/>
                <w:szCs w:val="21"/>
              </w:rPr>
              <w:fldChar w:fldCharType="begin"/>
            </w:r>
            <w:r>
              <w:rPr>
                <w:b/>
                <w:sz w:val="21"/>
                <w:szCs w:val="21"/>
              </w:rPr>
              <w:instrText xml:space="preserve"> eq \o\ac(□,</w:instrText>
            </w:r>
            <w:r>
              <w:rPr>
                <w:b/>
                <w:position w:val="1"/>
                <w:sz w:val="21"/>
                <w:szCs w:val="21"/>
              </w:rPr>
              <w:instrText xml:space="preserve">√</w:instrText>
            </w:r>
            <w:r>
              <w:rPr>
                <w:b/>
                <w:sz w:val="21"/>
                <w:szCs w:val="21"/>
              </w:rPr>
              <w:instrText xml:space="preserve">)</w:instrText>
            </w:r>
            <w:r>
              <w:rPr>
                <w:b/>
                <w:sz w:val="21"/>
                <w:szCs w:val="21"/>
              </w:rPr>
              <w:fldChar w:fldCharType="end"/>
            </w:r>
            <w:r>
              <w:rPr>
                <w:sz w:val="21"/>
                <w:szCs w:val="21"/>
              </w:rPr>
              <w:t>首次申报项目</w:t>
            </w:r>
          </w:p>
          <w:p>
            <w:pPr>
              <w:adjustRightInd w:val="0"/>
              <w:snapToGrid w:val="0"/>
              <w:spacing w:line="240" w:lineRule="atLeast"/>
              <w:ind w:firstLine="0" w:firstLineChars="0"/>
              <w:jc w:val="left"/>
              <w:rPr>
                <w:sz w:val="21"/>
                <w:szCs w:val="21"/>
              </w:rPr>
            </w:pPr>
            <w:r>
              <w:rPr>
                <w:sz w:val="21"/>
                <w:szCs w:val="21"/>
              </w:rPr>
              <w:t>□不予批准后再次申报项目</w:t>
            </w:r>
          </w:p>
          <w:p>
            <w:pPr>
              <w:adjustRightInd w:val="0"/>
              <w:snapToGrid w:val="0"/>
              <w:spacing w:line="240" w:lineRule="atLeast"/>
              <w:ind w:firstLine="0" w:firstLineChars="0"/>
              <w:jc w:val="left"/>
              <w:rPr>
                <w:sz w:val="21"/>
                <w:szCs w:val="21"/>
              </w:rPr>
            </w:pPr>
            <w:r>
              <w:rPr>
                <w:sz w:val="21"/>
                <w:szCs w:val="21"/>
              </w:rPr>
              <w:t>□超五年重新审核项目</w:t>
            </w:r>
          </w:p>
          <w:p>
            <w:pPr>
              <w:adjustRightInd w:val="0"/>
              <w:snapToGrid w:val="0"/>
              <w:spacing w:line="240" w:lineRule="atLeast"/>
              <w:ind w:firstLine="0" w:firstLineChars="0"/>
              <w:rPr>
                <w:sz w:val="21"/>
                <w:szCs w:val="21"/>
              </w:rPr>
            </w:pPr>
            <w:r>
              <w:rPr>
                <w:sz w:val="21"/>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adjustRightInd w:val="0"/>
              <w:snapToGrid w:val="0"/>
              <w:spacing w:line="240" w:lineRule="auto"/>
              <w:ind w:firstLine="0" w:firstLineChars="0"/>
              <w:rPr>
                <w:sz w:val="21"/>
                <w:szCs w:val="21"/>
              </w:rPr>
            </w:pPr>
            <w:r>
              <w:rPr>
                <w:sz w:val="21"/>
                <w:szCs w:val="21"/>
              </w:rPr>
              <w:t>项目审批（核准/备案）部门（选填）</w:t>
            </w:r>
          </w:p>
        </w:tc>
        <w:tc>
          <w:tcPr>
            <w:tcW w:w="1561" w:type="pct"/>
            <w:vAlign w:val="center"/>
          </w:tcPr>
          <w:p>
            <w:pPr>
              <w:adjustRightInd w:val="0"/>
              <w:snapToGrid w:val="0"/>
              <w:spacing w:line="240" w:lineRule="atLeast"/>
              <w:ind w:firstLine="0" w:firstLineChars="0"/>
              <w:jc w:val="center"/>
              <w:rPr>
                <w:sz w:val="21"/>
                <w:szCs w:val="21"/>
                <w:highlight w:val="yellow"/>
              </w:rPr>
            </w:pPr>
            <w:r>
              <w:rPr>
                <w:rFonts w:hint="eastAsia"/>
                <w:sz w:val="21"/>
                <w:szCs w:val="21"/>
              </w:rPr>
              <w:t>通川区发展和改革局</w:t>
            </w:r>
          </w:p>
        </w:tc>
        <w:tc>
          <w:tcPr>
            <w:tcW w:w="1227" w:type="pct"/>
            <w:vAlign w:val="center"/>
          </w:tcPr>
          <w:p>
            <w:pPr>
              <w:pStyle w:val="57"/>
            </w:pPr>
            <w:r>
              <w:t>项目审批（核准/</w:t>
            </w:r>
          </w:p>
          <w:p>
            <w:pPr>
              <w:pStyle w:val="57"/>
            </w:pPr>
            <w:r>
              <w:t>备案）文号（选填）</w:t>
            </w:r>
          </w:p>
        </w:tc>
        <w:tc>
          <w:tcPr>
            <w:tcW w:w="1414" w:type="pct"/>
            <w:gridSpan w:val="2"/>
            <w:vAlign w:val="center"/>
          </w:tcPr>
          <w:p>
            <w:pPr>
              <w:adjustRightInd w:val="0"/>
              <w:snapToGrid w:val="0"/>
              <w:spacing w:line="240" w:lineRule="atLeast"/>
              <w:ind w:firstLine="0" w:firstLineChars="0"/>
              <w:jc w:val="center"/>
              <w:rPr>
                <w:sz w:val="21"/>
                <w:szCs w:val="21"/>
                <w:highlight w:val="yellow"/>
              </w:rPr>
            </w:pPr>
            <w:r>
              <w:rPr>
                <w:rFonts w:ascii="宋体" w:hAnsi="宋体"/>
                <w:sz w:val="21"/>
              </w:rPr>
              <w:t>川投资备【</w:t>
            </w:r>
            <w:r>
              <w:rPr>
                <w:rFonts w:ascii="TimesNewRomanPSMT" w:hAnsi="TimesNewRomanPSMT"/>
                <w:sz w:val="21"/>
              </w:rPr>
              <w:t>2402-511702-04-01-110386</w:t>
            </w:r>
            <w:r>
              <w:rPr>
                <w:rFonts w:ascii="宋体" w:hAnsi="宋体"/>
                <w:sz w:val="21"/>
              </w:rPr>
              <w:t>】</w:t>
            </w:r>
            <w:r>
              <w:rPr>
                <w:rFonts w:ascii="TimesNewRomanPSMT" w:hAnsi="TimesNewRomanPSMT"/>
                <w:sz w:val="21"/>
              </w:rPr>
              <w:t>FGQB-0039</w:t>
            </w:r>
            <w:r>
              <w:rPr>
                <w:rFonts w:ascii="宋体" w:hAnsi="宋体"/>
                <w:sz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adjustRightInd w:val="0"/>
              <w:snapToGrid w:val="0"/>
              <w:spacing w:line="240" w:lineRule="auto"/>
              <w:ind w:firstLine="0" w:firstLineChars="0"/>
              <w:rPr>
                <w:sz w:val="21"/>
                <w:szCs w:val="21"/>
              </w:rPr>
            </w:pPr>
            <w:r>
              <w:rPr>
                <w:sz w:val="21"/>
                <w:szCs w:val="21"/>
              </w:rPr>
              <w:t>总投资（万元）</w:t>
            </w:r>
          </w:p>
        </w:tc>
        <w:tc>
          <w:tcPr>
            <w:tcW w:w="1561" w:type="pct"/>
            <w:vAlign w:val="center"/>
          </w:tcPr>
          <w:p>
            <w:pPr>
              <w:adjustRightInd w:val="0"/>
              <w:snapToGrid w:val="0"/>
              <w:spacing w:line="240" w:lineRule="atLeast"/>
              <w:ind w:firstLine="0" w:firstLineChars="0"/>
              <w:jc w:val="center"/>
              <w:rPr>
                <w:sz w:val="21"/>
                <w:szCs w:val="21"/>
                <w:highlight w:val="yellow"/>
              </w:rPr>
            </w:pPr>
            <w:r>
              <w:rPr>
                <w:sz w:val="21"/>
                <w:szCs w:val="21"/>
              </w:rPr>
              <w:t>7500</w:t>
            </w:r>
          </w:p>
        </w:tc>
        <w:tc>
          <w:tcPr>
            <w:tcW w:w="1227" w:type="pct"/>
            <w:tcMar>
              <w:top w:w="16" w:type="dxa"/>
              <w:left w:w="16" w:type="dxa"/>
              <w:right w:w="16" w:type="dxa"/>
            </w:tcMar>
            <w:vAlign w:val="center"/>
          </w:tcPr>
          <w:p>
            <w:pPr>
              <w:pStyle w:val="57"/>
            </w:pPr>
            <w:r>
              <w:t>环保投资（万元）</w:t>
            </w:r>
          </w:p>
        </w:tc>
        <w:tc>
          <w:tcPr>
            <w:tcW w:w="1414" w:type="pct"/>
            <w:gridSpan w:val="2"/>
            <w:vAlign w:val="center"/>
          </w:tcPr>
          <w:p>
            <w:pPr>
              <w:adjustRightInd w:val="0"/>
              <w:snapToGrid w:val="0"/>
              <w:spacing w:line="240" w:lineRule="atLeast"/>
              <w:ind w:firstLine="0" w:firstLineChars="0"/>
              <w:jc w:val="center"/>
              <w:rPr>
                <w:sz w:val="21"/>
                <w:szCs w:val="21"/>
              </w:rPr>
            </w:pPr>
            <w:r>
              <w:rPr>
                <w:sz w:val="21"/>
                <w:szCs w:val="21"/>
              </w:rPr>
              <w:t>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adjustRightInd w:val="0"/>
              <w:snapToGrid w:val="0"/>
              <w:spacing w:line="240" w:lineRule="auto"/>
              <w:ind w:firstLine="0" w:firstLineChars="0"/>
              <w:rPr>
                <w:sz w:val="21"/>
                <w:szCs w:val="21"/>
              </w:rPr>
            </w:pPr>
            <w:r>
              <w:rPr>
                <w:sz w:val="21"/>
                <w:szCs w:val="21"/>
              </w:rPr>
              <w:t>环保投资占比（%）</w:t>
            </w:r>
          </w:p>
        </w:tc>
        <w:tc>
          <w:tcPr>
            <w:tcW w:w="1561" w:type="pct"/>
            <w:vAlign w:val="center"/>
          </w:tcPr>
          <w:p>
            <w:pPr>
              <w:adjustRightInd w:val="0"/>
              <w:snapToGrid w:val="0"/>
              <w:spacing w:line="240" w:lineRule="atLeast"/>
              <w:ind w:firstLine="0" w:firstLineChars="0"/>
              <w:jc w:val="center"/>
              <w:rPr>
                <w:sz w:val="21"/>
                <w:szCs w:val="21"/>
                <w:highlight w:val="yellow"/>
              </w:rPr>
            </w:pPr>
            <w:r>
              <w:rPr>
                <w:sz w:val="21"/>
                <w:szCs w:val="21"/>
              </w:rPr>
              <w:t>6.1</w:t>
            </w:r>
          </w:p>
        </w:tc>
        <w:tc>
          <w:tcPr>
            <w:tcW w:w="1227" w:type="pct"/>
            <w:tcMar>
              <w:top w:w="16" w:type="dxa"/>
              <w:left w:w="16" w:type="dxa"/>
              <w:right w:w="16" w:type="dxa"/>
            </w:tcMar>
            <w:vAlign w:val="center"/>
          </w:tcPr>
          <w:p>
            <w:pPr>
              <w:pStyle w:val="57"/>
            </w:pPr>
            <w:r>
              <w:t>施工工期</w:t>
            </w:r>
          </w:p>
        </w:tc>
        <w:tc>
          <w:tcPr>
            <w:tcW w:w="1414" w:type="pct"/>
            <w:gridSpan w:val="2"/>
            <w:vAlign w:val="center"/>
          </w:tcPr>
          <w:p>
            <w:pPr>
              <w:adjustRightInd w:val="0"/>
              <w:snapToGrid w:val="0"/>
              <w:spacing w:line="240" w:lineRule="atLeast"/>
              <w:ind w:firstLine="0" w:firstLineChars="0"/>
              <w:jc w:val="center"/>
              <w:rPr>
                <w:sz w:val="21"/>
                <w:szCs w:val="21"/>
              </w:rPr>
            </w:pPr>
            <w:r>
              <w:rPr>
                <w:sz w:val="21"/>
                <w:szCs w:val="21"/>
              </w:rPr>
              <w:t>7个月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adjustRightInd w:val="0"/>
              <w:snapToGrid w:val="0"/>
              <w:spacing w:line="240" w:lineRule="auto"/>
              <w:ind w:firstLine="0" w:firstLineChars="0"/>
              <w:rPr>
                <w:sz w:val="21"/>
                <w:szCs w:val="21"/>
              </w:rPr>
            </w:pPr>
            <w:r>
              <w:rPr>
                <w:sz w:val="21"/>
                <w:szCs w:val="21"/>
              </w:rPr>
              <w:t>是否开工建设</w:t>
            </w:r>
          </w:p>
        </w:tc>
        <w:tc>
          <w:tcPr>
            <w:tcW w:w="4202" w:type="pct"/>
            <w:gridSpan w:val="4"/>
            <w:vAlign w:val="center"/>
          </w:tcPr>
          <w:p>
            <w:pPr>
              <w:adjustRightInd w:val="0"/>
              <w:snapToGrid w:val="0"/>
              <w:spacing w:line="240" w:lineRule="atLeast"/>
              <w:ind w:firstLine="0" w:firstLineChars="0"/>
              <w:jc w:val="left"/>
              <w:rPr>
                <w:sz w:val="21"/>
                <w:szCs w:val="21"/>
              </w:rPr>
            </w:pPr>
            <w:r>
              <w:rPr>
                <w:sz w:val="21"/>
                <w:szCs w:val="21"/>
              </w:rPr>
              <w:fldChar w:fldCharType="begin"/>
            </w:r>
            <w:r>
              <w:rPr>
                <w:sz w:val="21"/>
                <w:szCs w:val="21"/>
              </w:rPr>
              <w:instrText xml:space="preserve"> eq \o\ac(□,</w:instrText>
            </w:r>
            <w:r>
              <w:rPr>
                <w:position w:val="1"/>
                <w:sz w:val="21"/>
                <w:szCs w:val="21"/>
              </w:rPr>
              <w:instrText xml:space="preserve">√</w:instrText>
            </w:r>
            <w:r>
              <w:rPr>
                <w:sz w:val="21"/>
                <w:szCs w:val="21"/>
              </w:rPr>
              <w:instrText xml:space="preserve">)</w:instrText>
            </w:r>
            <w:r>
              <w:rPr>
                <w:sz w:val="21"/>
                <w:szCs w:val="21"/>
              </w:rPr>
              <w:fldChar w:fldCharType="end"/>
            </w:r>
            <w:r>
              <w:rPr>
                <w:sz w:val="21"/>
                <w:szCs w:val="21"/>
              </w:rPr>
              <w:t>否</w:t>
            </w:r>
          </w:p>
          <w:p>
            <w:pPr>
              <w:adjustRightInd w:val="0"/>
              <w:snapToGrid w:val="0"/>
              <w:spacing w:line="240" w:lineRule="atLeast"/>
              <w:ind w:firstLine="0" w:firstLineChars="0"/>
              <w:jc w:val="left"/>
              <w:rPr>
                <w:sz w:val="21"/>
                <w:szCs w:val="21"/>
              </w:rPr>
            </w:pPr>
            <w:r>
              <w:rPr>
                <w:sz w:val="21"/>
                <w:szCs w:val="21"/>
              </w:rPr>
              <w:t>□是：</w:t>
            </w:r>
            <w:r>
              <w:rPr>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0" w:hRule="atLeast"/>
          <w:jc w:val="center"/>
        </w:trPr>
        <w:tc>
          <w:tcPr>
            <w:tcW w:w="798" w:type="pct"/>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 w:val="21"/>
                <w:szCs w:val="21"/>
              </w:rPr>
            </w:pPr>
            <w:r>
              <w:rPr>
                <w:kern w:val="0"/>
                <w:sz w:val="21"/>
                <w:szCs w:val="21"/>
              </w:rPr>
              <w:t>专项评价设置情况</w:t>
            </w:r>
          </w:p>
        </w:tc>
        <w:tc>
          <w:tcPr>
            <w:tcW w:w="4202" w:type="pct"/>
            <w:gridSpan w:val="4"/>
            <w:tcMar>
              <w:top w:w="16" w:type="dxa"/>
              <w:left w:w="16" w:type="dxa"/>
              <w:right w:w="16" w:type="dxa"/>
            </w:tcMar>
            <w:vAlign w:val="center"/>
          </w:tcPr>
          <w:p>
            <w:pPr>
              <w:pStyle w:val="57"/>
              <w:adjustRightInd w:val="0"/>
              <w:snapToGrid w:val="0"/>
              <w:spacing w:line="360" w:lineRule="auto"/>
              <w:ind w:firstLine="420" w:firstLineChars="200"/>
              <w:jc w:val="both"/>
            </w:pPr>
            <w:r>
              <w:t>根据《建设项目环境影响报告表编制技术指南》（生态影响类）（试行）表1中专项评价设置原则要求“根据建设项目特点和涉及的环境敏感区类别，确定专项评价的类别，设置原则参照表1，确有必要的可根据建设项目环境影响程度等实际情况适当调整”，根据表1，项目属于专业技术服务，无专项评价要求。考虑到</w:t>
            </w:r>
            <w:r>
              <w:rPr>
                <w:rFonts w:hint="eastAsia"/>
              </w:rPr>
              <w:t>油气</w:t>
            </w:r>
            <w:r>
              <w:t>勘探可能存在井喷、井漏等环境风险事故，周边存在分散式饮用水源，因此，本次环评设置环境风险、地下水专项评价。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规划情况</w:t>
            </w:r>
          </w:p>
        </w:tc>
        <w:tc>
          <w:tcPr>
            <w:tcW w:w="4202" w:type="pct"/>
            <w:gridSpan w:val="4"/>
            <w:tcMar>
              <w:top w:w="16" w:type="dxa"/>
              <w:left w:w="16" w:type="dxa"/>
              <w:right w:w="16" w:type="dxa"/>
            </w:tcMar>
            <w:vAlign w:val="center"/>
          </w:tcPr>
          <w:p>
            <w:pPr>
              <w:autoSpaceDE w:val="0"/>
              <w:autoSpaceDN w:val="0"/>
              <w:adjustRightInd w:val="0"/>
              <w:snapToGrid w:val="0"/>
              <w:ind w:firstLine="420"/>
              <w:rPr>
                <w:snapToGrid w:val="0"/>
                <w:kern w:val="0"/>
                <w:sz w:val="21"/>
                <w:szCs w:val="21"/>
              </w:rPr>
            </w:pPr>
            <w:r>
              <w:rPr>
                <w:rFonts w:hint="eastAsia"/>
                <w:snapToGrid w:val="0"/>
                <w:kern w:val="0"/>
                <w:sz w:val="21"/>
                <w:szCs w:val="21"/>
              </w:rPr>
              <w:t>《四川省矿产资源总体规划（2021-2025年）</w:t>
            </w:r>
            <w:r>
              <w:rPr>
                <w:rFonts w:hint="eastAsia"/>
                <w:snapToGrid w:val="0"/>
                <w:kern w:val="0"/>
                <w:sz w:val="21"/>
                <w:szCs w:val="21"/>
                <w:lang w:eastAsia="zh-CN"/>
              </w:rPr>
              <w:t>》《</w:t>
            </w:r>
            <w:r>
              <w:rPr>
                <w:rFonts w:hint="eastAsia"/>
                <w:snapToGrid w:val="0"/>
                <w:kern w:val="0"/>
                <w:sz w:val="21"/>
                <w:szCs w:val="21"/>
              </w:rPr>
              <w:t>自然资源部办公厅关于四川省矿产资源总体规划(2021-2025年）的复函》（自然资办函〔2022〕1506号）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规划环境影响评价情况</w:t>
            </w:r>
          </w:p>
        </w:tc>
        <w:tc>
          <w:tcPr>
            <w:tcW w:w="4202" w:type="pct"/>
            <w:gridSpan w:val="4"/>
            <w:tcMar>
              <w:top w:w="16" w:type="dxa"/>
              <w:left w:w="16" w:type="dxa"/>
              <w:right w:w="16" w:type="dxa"/>
            </w:tcMar>
            <w:vAlign w:val="center"/>
          </w:tcPr>
          <w:p>
            <w:pPr>
              <w:adjustRightInd w:val="0"/>
              <w:snapToGrid w:val="0"/>
              <w:ind w:firstLine="420"/>
              <w:rPr>
                <w:rFonts w:ascii="宋体" w:hAnsi="宋体" w:cs="宋体"/>
                <w:snapToGrid w:val="0"/>
                <w:kern w:val="0"/>
                <w:sz w:val="21"/>
                <w:szCs w:val="21"/>
              </w:rPr>
            </w:pPr>
            <w:r>
              <w:rPr>
                <w:rFonts w:hint="eastAsia"/>
                <w:snapToGrid w:val="0"/>
                <w:kern w:val="0"/>
                <w:sz w:val="21"/>
                <w:szCs w:val="21"/>
              </w:rPr>
              <w:t>《四川省矿产资源规划2021-2025年环境影响报告书</w:t>
            </w:r>
            <w:r>
              <w:rPr>
                <w:rFonts w:hint="eastAsia"/>
                <w:snapToGrid w:val="0"/>
                <w:kern w:val="0"/>
                <w:sz w:val="21"/>
                <w:szCs w:val="21"/>
                <w:lang w:eastAsia="zh-CN"/>
              </w:rPr>
              <w:t>》《</w:t>
            </w:r>
            <w:r>
              <w:rPr>
                <w:rFonts w:hint="eastAsia"/>
                <w:snapToGrid w:val="0"/>
                <w:kern w:val="0"/>
                <w:sz w:val="21"/>
                <w:szCs w:val="21"/>
              </w:rPr>
              <w:t>关于&lt;四川省矿产资源总体规划（2021-2025年）环境影响报告书&gt;的审查意见》（环审〔2022〕105号）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pStyle w:val="57"/>
            </w:pPr>
            <w:r>
              <w:t>规划及规划环境影响评价符合性分析</w:t>
            </w:r>
          </w:p>
        </w:tc>
        <w:tc>
          <w:tcPr>
            <w:tcW w:w="4202" w:type="pct"/>
            <w:gridSpan w:val="4"/>
            <w:tcMar>
              <w:top w:w="16" w:type="dxa"/>
              <w:left w:w="16" w:type="dxa"/>
              <w:right w:w="16" w:type="dxa"/>
            </w:tcMar>
            <w:vAlign w:val="center"/>
          </w:tcPr>
          <w:p>
            <w:pPr>
              <w:autoSpaceDE w:val="0"/>
              <w:autoSpaceDN w:val="0"/>
              <w:adjustRightInd w:val="0"/>
              <w:snapToGrid w:val="0"/>
              <w:ind w:firstLine="422"/>
              <w:rPr>
                <w:b/>
                <w:snapToGrid w:val="0"/>
                <w:kern w:val="0"/>
                <w:sz w:val="21"/>
                <w:szCs w:val="21"/>
              </w:rPr>
            </w:pPr>
            <w:r>
              <w:rPr>
                <w:b/>
                <w:snapToGrid w:val="0"/>
                <w:kern w:val="0"/>
                <w:sz w:val="21"/>
                <w:szCs w:val="21"/>
              </w:rPr>
              <w:t>1</w:t>
            </w:r>
            <w:r>
              <w:rPr>
                <w:rFonts w:hint="eastAsia"/>
                <w:b/>
                <w:snapToGrid w:val="0"/>
                <w:kern w:val="0"/>
                <w:sz w:val="21"/>
                <w:szCs w:val="21"/>
              </w:rPr>
              <w:t>、与《四川省矿产资源总体规划（</w:t>
            </w:r>
            <w:r>
              <w:rPr>
                <w:b/>
                <w:snapToGrid w:val="0"/>
                <w:kern w:val="0"/>
                <w:sz w:val="21"/>
                <w:szCs w:val="21"/>
              </w:rPr>
              <w:t>2021-2025</w:t>
            </w:r>
            <w:r>
              <w:rPr>
                <w:rFonts w:hint="eastAsia"/>
                <w:b/>
                <w:snapToGrid w:val="0"/>
                <w:kern w:val="0"/>
                <w:sz w:val="21"/>
                <w:szCs w:val="21"/>
              </w:rPr>
              <w:t>年）》的符合性分析</w:t>
            </w:r>
          </w:p>
          <w:p>
            <w:pPr>
              <w:adjustRightInd w:val="0"/>
              <w:snapToGrid w:val="0"/>
              <w:ind w:left="48" w:leftChars="20" w:right="48" w:rightChars="20" w:firstLine="420"/>
              <w:rPr>
                <w:rFonts w:ascii="宋体" w:hAnsi="宋体" w:cs="宋体"/>
                <w:snapToGrid w:val="0"/>
                <w:kern w:val="0"/>
                <w:sz w:val="21"/>
                <w:szCs w:val="21"/>
              </w:rPr>
            </w:pPr>
            <w:r>
              <w:rPr>
                <w:rFonts w:hint="eastAsia"/>
                <w:snapToGrid w:val="0"/>
                <w:kern w:val="0"/>
                <w:sz w:val="21"/>
                <w:szCs w:val="21"/>
              </w:rPr>
              <w:t>根据《四川省矿产资源总体规划（</w:t>
            </w:r>
            <w:r>
              <w:rPr>
                <w:snapToGrid w:val="0"/>
                <w:kern w:val="0"/>
                <w:sz w:val="21"/>
                <w:szCs w:val="21"/>
              </w:rPr>
              <w:t>2021-2025</w:t>
            </w:r>
            <w:r>
              <w:rPr>
                <w:rFonts w:hint="eastAsia"/>
                <w:snapToGrid w:val="0"/>
                <w:kern w:val="0"/>
                <w:sz w:val="21"/>
                <w:szCs w:val="21"/>
              </w:rPr>
              <w:t>年）》，拟建项目与其符合性分析如下：</w:t>
            </w:r>
          </w:p>
          <w:p>
            <w:pPr>
              <w:spacing w:after="120"/>
              <w:ind w:left="48" w:leftChars="20" w:right="48" w:rightChars="20" w:firstLine="422"/>
              <w:jc w:val="center"/>
              <w:rPr>
                <w:b/>
                <w:snapToGrid w:val="0"/>
                <w:kern w:val="0"/>
                <w:sz w:val="21"/>
                <w:szCs w:val="21"/>
              </w:rPr>
            </w:pPr>
          </w:p>
          <w:p>
            <w:pPr>
              <w:spacing w:after="120"/>
              <w:ind w:left="48" w:leftChars="20" w:right="48" w:rightChars="20" w:firstLine="422"/>
              <w:jc w:val="center"/>
              <w:rPr>
                <w:b/>
                <w:snapToGrid w:val="0"/>
                <w:kern w:val="0"/>
                <w:sz w:val="21"/>
                <w:szCs w:val="21"/>
              </w:rPr>
            </w:pPr>
          </w:p>
          <w:p>
            <w:pPr>
              <w:spacing w:after="120"/>
              <w:ind w:left="48" w:leftChars="20" w:right="48" w:rightChars="20" w:firstLine="422"/>
              <w:jc w:val="center"/>
              <w:rPr>
                <w:b/>
                <w:snapToGrid w:val="0"/>
                <w:kern w:val="0"/>
                <w:sz w:val="21"/>
                <w:szCs w:val="21"/>
              </w:rPr>
            </w:pPr>
          </w:p>
          <w:p>
            <w:pPr>
              <w:ind w:firstLine="422"/>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1-1  </w:t>
            </w:r>
            <w:r>
              <w:rPr>
                <w:rFonts w:hint="eastAsia"/>
                <w:b/>
                <w:snapToGrid w:val="0"/>
                <w:kern w:val="0"/>
                <w:sz w:val="21"/>
                <w:szCs w:val="21"/>
              </w:rPr>
              <w:t>与《四川省矿产资源总体规划（</w:t>
            </w:r>
            <w:r>
              <w:rPr>
                <w:b/>
                <w:snapToGrid w:val="0"/>
                <w:kern w:val="0"/>
                <w:sz w:val="21"/>
                <w:szCs w:val="21"/>
              </w:rPr>
              <w:t>2021-2025</w:t>
            </w:r>
            <w:r>
              <w:rPr>
                <w:rFonts w:hint="eastAsia"/>
                <w:b/>
                <w:snapToGrid w:val="0"/>
                <w:kern w:val="0"/>
                <w:sz w:val="21"/>
                <w:szCs w:val="21"/>
              </w:rPr>
              <w:t>年）》的符合性分析</w:t>
            </w:r>
          </w:p>
          <w:tbl>
            <w:tblPr>
              <w:tblStyle w:val="23"/>
              <w:tblW w:w="48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384"/>
              <w:gridCol w:w="1457"/>
              <w:gridCol w:w="9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2" w:space="0"/>
                    <w:left w:val="single" w:color="auto" w:sz="2"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序号</w:t>
                  </w:r>
                </w:p>
              </w:tc>
              <w:tc>
                <w:tcPr>
                  <w:tcW w:w="5226" w:type="dxa"/>
                  <w:tcBorders>
                    <w:top w:val="single" w:color="auto" w:sz="2"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规划要求</w:t>
                  </w:r>
                </w:p>
              </w:tc>
              <w:tc>
                <w:tcPr>
                  <w:tcW w:w="1652" w:type="dxa"/>
                  <w:tcBorders>
                    <w:top w:val="single" w:color="auto" w:sz="2"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拟建项目情况</w:t>
                  </w:r>
                </w:p>
              </w:tc>
              <w:tc>
                <w:tcPr>
                  <w:tcW w:w="1024" w:type="dxa"/>
                  <w:tcBorders>
                    <w:top w:val="single" w:color="auto" w:sz="2" w:space="0"/>
                    <w:left w:val="single" w:color="auto" w:sz="4" w:space="0"/>
                    <w:bottom w:val="single" w:color="auto" w:sz="4"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snapToGrid w:val="0"/>
                      <w:kern w:val="0"/>
                      <w:sz w:val="21"/>
                      <w:szCs w:val="21"/>
                    </w:rPr>
                    <w:t>1</w:t>
                  </w:r>
                </w:p>
              </w:tc>
              <w:tc>
                <w:tcPr>
                  <w:tcW w:w="522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rPr>
                      <w:snapToGrid w:val="0"/>
                      <w:kern w:val="0"/>
                      <w:sz w:val="21"/>
                      <w:szCs w:val="21"/>
                    </w:rPr>
                  </w:pPr>
                  <w:r>
                    <w:rPr>
                      <w:rFonts w:hint="eastAsia"/>
                      <w:snapToGrid w:val="0"/>
                      <w:kern w:val="0"/>
                      <w:sz w:val="21"/>
                      <w:szCs w:val="21"/>
                    </w:rPr>
                    <w:t>主要矿产资源实现找矿新突破。加大政府性投资勘查项目投入，提高重要矿产资源综合勘查水平，天然气、页岩气、煤炭、煤层气、铁、锰、铜、铅锌、金、锂、稀土、磷、钾盐、石墨、优质玄武岩等主要矿产保障程度进一步提升，新发现和评价战略性矿产资源大中型矿产地</w:t>
                  </w:r>
                  <w:r>
                    <w:rPr>
                      <w:snapToGrid w:val="0"/>
                      <w:kern w:val="0"/>
                      <w:sz w:val="21"/>
                      <w:szCs w:val="21"/>
                    </w:rPr>
                    <w:t>10-15</w:t>
                  </w:r>
                  <w:r>
                    <w:rPr>
                      <w:rFonts w:hint="eastAsia"/>
                      <w:snapToGrid w:val="0"/>
                      <w:kern w:val="0"/>
                      <w:sz w:val="21"/>
                      <w:szCs w:val="21"/>
                    </w:rPr>
                    <w:t>处。有力支撑川渝天然气千亿产能基地、攀西战略资源创新开发试验区和乐山稀土深加工产业发展。</w:t>
                  </w:r>
                </w:p>
              </w:tc>
              <w:tc>
                <w:tcPr>
                  <w:tcW w:w="1652"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本项目为页岩油勘探项目，项目建设有利于矿产资源实现找矿新突破。</w:t>
                  </w:r>
                </w:p>
              </w:tc>
              <w:tc>
                <w:tcPr>
                  <w:tcW w:w="1024"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snapToGrid w:val="0"/>
                      <w:kern w:val="0"/>
                      <w:sz w:val="21"/>
                      <w:szCs w:val="21"/>
                    </w:rPr>
                    <w:t>2</w:t>
                  </w:r>
                </w:p>
              </w:tc>
              <w:tc>
                <w:tcPr>
                  <w:tcW w:w="522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rPr>
                      <w:snapToGrid w:val="0"/>
                      <w:kern w:val="0"/>
                      <w:sz w:val="21"/>
                      <w:szCs w:val="21"/>
                    </w:rPr>
                  </w:pPr>
                  <w:r>
                    <w:rPr>
                      <w:rFonts w:hint="eastAsia"/>
                      <w:snapToGrid w:val="0"/>
                      <w:kern w:val="0"/>
                      <w:sz w:val="21"/>
                      <w:szCs w:val="21"/>
                    </w:rPr>
                    <w:t>川东北能源建材勘查开发区。包括南充、达州、广安、巴中、广元5市，大力发展清洁能源化工、特色矿产品精深加工，推动川东北经济区振兴发展。重点加强达州、广元、广安、巴中地区天然气、页岩油、致密气勘探开发，有序开采巴中、广元石墨矿，促进石墨精深加工产业发展，推进广元天然沥青勘查开发；落实30万吨/年以下煤矿分类处置工作方案；鼓励达州、广安地区加大钾盐勘查开发科研投入，力争取得勘查开发突破；推进水泥原料、玻陶原料和饰面石材开采利用结构调整，进一步提升建材家居等产业矿产品深加工档次，促进玄武岩纤维产业发展。</w:t>
                  </w:r>
                </w:p>
              </w:tc>
              <w:tc>
                <w:tcPr>
                  <w:tcW w:w="1652"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本项目为页岩油勘探项目，位于达州市通川区，属川东北能源建材勘查开发区。</w:t>
                  </w:r>
                </w:p>
              </w:tc>
              <w:tc>
                <w:tcPr>
                  <w:tcW w:w="1024"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snapToGrid w:val="0"/>
                      <w:kern w:val="0"/>
                      <w:sz w:val="21"/>
                      <w:szCs w:val="21"/>
                    </w:rPr>
                    <w:t>3</w:t>
                  </w:r>
                </w:p>
              </w:tc>
              <w:tc>
                <w:tcPr>
                  <w:tcW w:w="522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rPr>
                      <w:snapToGrid w:val="0"/>
                      <w:kern w:val="0"/>
                      <w:sz w:val="21"/>
                      <w:szCs w:val="21"/>
                    </w:rPr>
                  </w:pPr>
                  <w:r>
                    <w:rPr>
                      <w:rFonts w:hint="eastAsia"/>
                      <w:snapToGrid w:val="0"/>
                      <w:kern w:val="0"/>
                      <w:sz w:val="21"/>
                      <w:szCs w:val="21"/>
                    </w:rPr>
                    <w:t>重点勘查矿种：成都平原重点勘查天然气、页岩气、地热、矿泉水、优质玄武岩；川东北重点勘查天然气、页岩油、天然沥青、煤层气、钒、铼、地热、钾盐、石墨；川南重点勘查天然气、页岩气、煤层气；攀西地区重点勘查钒钛磁铁矿（共伴生钴、镍、钪、镓、锗等）、铅、锌、铜、铌、钽、锆、稀土、优质玄武岩、萤石；川西北重点勘查地热、锡、岩金、银、铜、锂、铌、铍、钽。财政投资勘查项目向重点勘查矿种倾斜，鼓励探矿权投放，积极引导各类社会资金投入，争取实现找矿突破。</w:t>
                  </w:r>
                </w:p>
              </w:tc>
              <w:tc>
                <w:tcPr>
                  <w:tcW w:w="1652"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本项目位于达州市通川区，为页岩油勘探项目，属规划中明确的重点勘察矿种</w:t>
                  </w:r>
                </w:p>
              </w:tc>
              <w:tc>
                <w:tcPr>
                  <w:tcW w:w="1024"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snapToGrid w:val="0"/>
                      <w:kern w:val="0"/>
                      <w:sz w:val="21"/>
                      <w:szCs w:val="21"/>
                    </w:rPr>
                    <w:t>4</w:t>
                  </w:r>
                </w:p>
              </w:tc>
              <w:tc>
                <w:tcPr>
                  <w:tcW w:w="522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rPr>
                      <w:snapToGrid w:val="0"/>
                      <w:kern w:val="0"/>
                      <w:sz w:val="21"/>
                      <w:szCs w:val="21"/>
                    </w:rPr>
                  </w:pPr>
                  <w:r>
                    <w:rPr>
                      <w:rFonts w:hint="eastAsia"/>
                      <w:snapToGrid w:val="0"/>
                      <w:kern w:val="0"/>
                      <w:sz w:val="21"/>
                      <w:szCs w:val="21"/>
                    </w:rPr>
                    <w:t>落实国土空间规划布局管控。各级矿产资源规划要严格落实国土空间规划管控要求，自然保护地核心区内只允许已依法设立的铀矿矿业权勘查开采活动，已依法设立油气探矿权可继续勘查，不得从事开采活动，已依法设立的矿泉水、地热采矿权不得扩大生产规模；自然保护地核心区以外的生态保护红线区域，在对生态功能不造成破坏的前提下，允许开展基础地质调查和战略性矿产远景调查等公益性工作、铀矿勘查开采活动、依法设立的油气矿业权、地热和矿泉水采矿权开展有严格限制条件的勘查开采活动，铬、铜、镍、锂、钴、锆、钾盐和（中）重稀土矿产可从事勘查活动，但需根据国家战略需求规定办理采矿权，其它矿种停止任何勘查开采行为；永久基本农田内，应区分战略性矿产和非战略性矿产、油气和非油气矿产、露天和井下开采等情况，在严格保护永久基本农田的原则下，做好矿产资源勘查开发；城镇开发边界内，要统筹考虑矿产资源禀赋状况与城镇建设发展需要，充分论证，协调好矿产开发与城乡建设的空间关系。法律法规对勘查开采活动有其它禁止、限制要求的，应严格遵守相关规定。</w:t>
                  </w:r>
                </w:p>
              </w:tc>
              <w:tc>
                <w:tcPr>
                  <w:tcW w:w="1652"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本项目属页岩油勘探项目，项目位于达州市通川区，项目选址符合达州市“三线一单”管控要求。项目临时占用永久基本农田，施工结束后对临时占用永久基本农田进行复垦复绿，恢复原有土地利用性质</w:t>
                  </w:r>
                </w:p>
              </w:tc>
              <w:tc>
                <w:tcPr>
                  <w:tcW w:w="1024"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tcBorders>
                    <w:top w:val="single" w:color="auto" w:sz="4" w:space="0"/>
                    <w:left w:val="single" w:color="auto" w:sz="2" w:space="0"/>
                    <w:bottom w:val="single" w:color="auto" w:sz="2"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snapToGrid w:val="0"/>
                      <w:kern w:val="0"/>
                      <w:sz w:val="21"/>
                      <w:szCs w:val="21"/>
                    </w:rPr>
                    <w:t>5</w:t>
                  </w:r>
                </w:p>
              </w:tc>
              <w:tc>
                <w:tcPr>
                  <w:tcW w:w="5226" w:type="dxa"/>
                  <w:tcBorders>
                    <w:top w:val="single" w:color="auto" w:sz="4" w:space="0"/>
                    <w:left w:val="single" w:color="auto" w:sz="4" w:space="0"/>
                    <w:bottom w:val="single" w:color="auto" w:sz="2" w:space="0"/>
                    <w:right w:val="single" w:color="auto" w:sz="4" w:space="0"/>
                  </w:tcBorders>
                  <w:vAlign w:val="center"/>
                </w:tcPr>
                <w:p>
                  <w:pPr>
                    <w:widowControl/>
                    <w:tabs>
                      <w:tab w:val="left" w:pos="377"/>
                    </w:tabs>
                    <w:spacing w:line="240" w:lineRule="auto"/>
                    <w:ind w:firstLine="0" w:firstLineChars="0"/>
                    <w:rPr>
                      <w:snapToGrid w:val="0"/>
                      <w:kern w:val="0"/>
                      <w:sz w:val="21"/>
                      <w:szCs w:val="21"/>
                    </w:rPr>
                  </w:pPr>
                  <w:r>
                    <w:rPr>
                      <w:rFonts w:hint="eastAsia"/>
                      <w:snapToGrid w:val="0"/>
                      <w:kern w:val="0"/>
                      <w:sz w:val="21"/>
                      <w:szCs w:val="21"/>
                    </w:rPr>
                    <w:t>提高重要矿产资源供应能力，大力支持天然气、页岩气开采，</w:t>
                  </w:r>
                  <w:r>
                    <w:rPr>
                      <w:snapToGrid w:val="0"/>
                      <w:kern w:val="0"/>
                      <w:sz w:val="21"/>
                      <w:szCs w:val="21"/>
                    </w:rPr>
                    <w:t>2025</w:t>
                  </w:r>
                  <w:r>
                    <w:rPr>
                      <w:rFonts w:hint="eastAsia"/>
                      <w:snapToGrid w:val="0"/>
                      <w:kern w:val="0"/>
                      <w:sz w:val="21"/>
                      <w:szCs w:val="21"/>
                    </w:rPr>
                    <w:t>年底天然气、页岩气年产量分别达到</w:t>
                  </w:r>
                  <w:r>
                    <w:rPr>
                      <w:snapToGrid w:val="0"/>
                      <w:kern w:val="0"/>
                      <w:sz w:val="21"/>
                      <w:szCs w:val="21"/>
                    </w:rPr>
                    <w:t>400</w:t>
                  </w:r>
                  <w:r>
                    <w:rPr>
                      <w:rFonts w:hint="eastAsia"/>
                      <w:snapToGrid w:val="0"/>
                      <w:kern w:val="0"/>
                      <w:sz w:val="21"/>
                      <w:szCs w:val="21"/>
                    </w:rPr>
                    <w:t>、</w:t>
                  </w:r>
                  <w:r>
                    <w:rPr>
                      <w:snapToGrid w:val="0"/>
                      <w:kern w:val="0"/>
                      <w:sz w:val="21"/>
                      <w:szCs w:val="21"/>
                    </w:rPr>
                    <w:t>220</w:t>
                  </w:r>
                  <w:r>
                    <w:rPr>
                      <w:rFonts w:hint="eastAsia"/>
                      <w:snapToGrid w:val="0"/>
                      <w:kern w:val="0"/>
                      <w:sz w:val="21"/>
                      <w:szCs w:val="21"/>
                    </w:rPr>
                    <w:t>亿立方米；到</w:t>
                  </w:r>
                  <w:r>
                    <w:rPr>
                      <w:snapToGrid w:val="0"/>
                      <w:kern w:val="0"/>
                      <w:sz w:val="21"/>
                      <w:szCs w:val="21"/>
                    </w:rPr>
                    <w:t>2035</w:t>
                  </w:r>
                  <w:r>
                    <w:rPr>
                      <w:rFonts w:hint="eastAsia"/>
                      <w:snapToGrid w:val="0"/>
                      <w:kern w:val="0"/>
                      <w:sz w:val="21"/>
                      <w:szCs w:val="21"/>
                    </w:rPr>
                    <w:t>年建成天然气千亿产能基地。深化煤炭供给侧结构性改革，优化煤炭产能结构，提高优质产能比重。优化筠连矿区、古叙矿区开发时序，提升资源勘查工作程度及老矿区深部资源接替勘探，加大煤层气勘查开发，有序推进大中型煤矿建设，保障煤炭稳定供应。推广应用绿色安全开采技术，加大煤炭矿井水回收利用，促进矿区资源综合利用和绿色发展。</w:t>
                  </w:r>
                </w:p>
              </w:tc>
              <w:tc>
                <w:tcPr>
                  <w:tcW w:w="1652" w:type="dxa"/>
                  <w:tcBorders>
                    <w:top w:val="single" w:color="auto" w:sz="4" w:space="0"/>
                    <w:left w:val="single" w:color="auto" w:sz="4" w:space="0"/>
                    <w:bottom w:val="single" w:color="auto" w:sz="2" w:space="0"/>
                    <w:right w:val="single" w:color="auto" w:sz="4"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本项目为页岩油勘探项目，项目建设有利于提高重要矿产资源供应能力</w:t>
                  </w:r>
                </w:p>
              </w:tc>
              <w:tc>
                <w:tcPr>
                  <w:tcW w:w="1024" w:type="dxa"/>
                  <w:tcBorders>
                    <w:top w:val="single" w:color="auto" w:sz="4" w:space="0"/>
                    <w:left w:val="single" w:color="auto" w:sz="4" w:space="0"/>
                    <w:bottom w:val="single" w:color="auto" w:sz="2" w:space="0"/>
                    <w:right w:val="single" w:color="auto" w:sz="2" w:space="0"/>
                  </w:tcBorders>
                  <w:vAlign w:val="center"/>
                </w:tcPr>
                <w:p>
                  <w:pPr>
                    <w:widowControl/>
                    <w:tabs>
                      <w:tab w:val="left" w:pos="377"/>
                    </w:tabs>
                    <w:spacing w:line="240" w:lineRule="auto"/>
                    <w:ind w:firstLine="0" w:firstLineChars="0"/>
                    <w:jc w:val="center"/>
                    <w:rPr>
                      <w:snapToGrid w:val="0"/>
                      <w:kern w:val="0"/>
                      <w:sz w:val="21"/>
                      <w:szCs w:val="21"/>
                    </w:rPr>
                  </w:pPr>
                  <w:r>
                    <w:rPr>
                      <w:rFonts w:hint="eastAsia"/>
                      <w:snapToGrid w:val="0"/>
                      <w:kern w:val="0"/>
                      <w:sz w:val="21"/>
                      <w:szCs w:val="21"/>
                    </w:rPr>
                    <w:t>符合</w:t>
                  </w:r>
                </w:p>
              </w:tc>
            </w:tr>
          </w:tbl>
          <w:p>
            <w:pPr>
              <w:autoSpaceDE w:val="0"/>
              <w:autoSpaceDN w:val="0"/>
              <w:adjustRightInd w:val="0"/>
              <w:snapToGrid w:val="0"/>
              <w:ind w:left="48" w:leftChars="20" w:right="48" w:rightChars="20" w:firstLine="420"/>
              <w:rPr>
                <w:snapToGrid w:val="0"/>
                <w:kern w:val="0"/>
                <w:sz w:val="21"/>
                <w:szCs w:val="21"/>
              </w:rPr>
            </w:pPr>
            <w:r>
              <w:rPr>
                <w:rFonts w:hint="eastAsia"/>
                <w:snapToGrid w:val="0"/>
                <w:kern w:val="0"/>
                <w:sz w:val="21"/>
                <w:szCs w:val="21"/>
              </w:rPr>
              <w:t>综上，本项目建设符合《四川省矿产资源总体规划（</w:t>
            </w:r>
            <w:r>
              <w:rPr>
                <w:snapToGrid w:val="0"/>
                <w:kern w:val="0"/>
                <w:sz w:val="21"/>
                <w:szCs w:val="21"/>
              </w:rPr>
              <w:t>2021-2025</w:t>
            </w:r>
            <w:r>
              <w:rPr>
                <w:rFonts w:hint="eastAsia"/>
                <w:snapToGrid w:val="0"/>
                <w:kern w:val="0"/>
                <w:sz w:val="21"/>
                <w:szCs w:val="21"/>
              </w:rPr>
              <w:t>年）》中相关要求。</w:t>
            </w:r>
          </w:p>
          <w:p>
            <w:pPr>
              <w:autoSpaceDE w:val="0"/>
              <w:autoSpaceDN w:val="0"/>
              <w:adjustRightInd w:val="0"/>
              <w:snapToGrid w:val="0"/>
              <w:ind w:firstLine="422"/>
              <w:rPr>
                <w:b/>
                <w:snapToGrid w:val="0"/>
                <w:kern w:val="0"/>
                <w:sz w:val="21"/>
                <w:szCs w:val="21"/>
              </w:rPr>
            </w:pPr>
            <w:r>
              <w:rPr>
                <w:b/>
                <w:snapToGrid w:val="0"/>
                <w:kern w:val="0"/>
                <w:sz w:val="21"/>
                <w:szCs w:val="21"/>
              </w:rPr>
              <w:t>2</w:t>
            </w:r>
            <w:r>
              <w:rPr>
                <w:rFonts w:hint="eastAsia"/>
                <w:b/>
                <w:snapToGrid w:val="0"/>
                <w:kern w:val="0"/>
                <w:sz w:val="21"/>
                <w:szCs w:val="21"/>
              </w:rPr>
              <w:t>、与《四川省矿产资源规划（</w:t>
            </w:r>
            <w:r>
              <w:rPr>
                <w:b/>
                <w:snapToGrid w:val="0"/>
                <w:kern w:val="0"/>
                <w:sz w:val="21"/>
                <w:szCs w:val="21"/>
              </w:rPr>
              <w:t>2021-2025</w:t>
            </w:r>
            <w:r>
              <w:rPr>
                <w:rFonts w:hint="eastAsia"/>
                <w:b/>
                <w:snapToGrid w:val="0"/>
                <w:kern w:val="0"/>
                <w:sz w:val="21"/>
                <w:szCs w:val="21"/>
              </w:rPr>
              <w:t>年）环境影响报告书》的符合性分析</w:t>
            </w:r>
          </w:p>
          <w:p>
            <w:pPr>
              <w:adjustRightInd w:val="0"/>
              <w:snapToGrid w:val="0"/>
              <w:ind w:firstLine="420"/>
              <w:rPr>
                <w:rFonts w:ascii="宋体" w:hAnsi="宋体" w:cs="宋体"/>
                <w:snapToGrid w:val="0"/>
                <w:kern w:val="0"/>
                <w:sz w:val="21"/>
                <w:szCs w:val="21"/>
              </w:rPr>
            </w:pPr>
            <w:r>
              <w:rPr>
                <w:rFonts w:hint="eastAsia"/>
                <w:snapToGrid w:val="0"/>
                <w:kern w:val="0"/>
                <w:sz w:val="21"/>
                <w:szCs w:val="21"/>
              </w:rPr>
              <w:t>根据《四川省矿产资源规划（</w:t>
            </w:r>
            <w:r>
              <w:rPr>
                <w:snapToGrid w:val="0"/>
                <w:kern w:val="0"/>
                <w:sz w:val="21"/>
                <w:szCs w:val="21"/>
              </w:rPr>
              <w:t>2021-2025</w:t>
            </w:r>
            <w:r>
              <w:rPr>
                <w:rFonts w:hint="eastAsia"/>
                <w:snapToGrid w:val="0"/>
                <w:kern w:val="0"/>
                <w:sz w:val="21"/>
                <w:szCs w:val="21"/>
              </w:rPr>
              <w:t>年）环境影响报告书》，拟建项目与其符合性分析如下：</w:t>
            </w:r>
          </w:p>
          <w:p>
            <w:pPr>
              <w:adjustRightInd w:val="0"/>
              <w:snapToGrid w:val="0"/>
              <w:ind w:firstLine="422"/>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1-2  </w:t>
            </w:r>
            <w:r>
              <w:rPr>
                <w:rFonts w:hint="eastAsia"/>
                <w:b/>
                <w:snapToGrid w:val="0"/>
                <w:kern w:val="0"/>
                <w:sz w:val="21"/>
                <w:szCs w:val="21"/>
              </w:rPr>
              <w:t>与《四川省矿产资源规划（</w:t>
            </w:r>
            <w:r>
              <w:rPr>
                <w:b/>
                <w:snapToGrid w:val="0"/>
                <w:kern w:val="0"/>
                <w:sz w:val="21"/>
                <w:szCs w:val="21"/>
              </w:rPr>
              <w:t>2021-2025</w:t>
            </w:r>
            <w:r>
              <w:rPr>
                <w:rFonts w:hint="eastAsia"/>
                <w:b/>
                <w:snapToGrid w:val="0"/>
                <w:kern w:val="0"/>
                <w:sz w:val="21"/>
                <w:szCs w:val="21"/>
              </w:rPr>
              <w:t>年）环境影响报告书》</w:t>
            </w:r>
          </w:p>
          <w:p>
            <w:pPr>
              <w:adjustRightInd w:val="0"/>
              <w:snapToGrid w:val="0"/>
              <w:ind w:firstLine="422"/>
              <w:jc w:val="center"/>
              <w:rPr>
                <w:b/>
                <w:snapToGrid w:val="0"/>
                <w:kern w:val="0"/>
                <w:sz w:val="21"/>
                <w:szCs w:val="21"/>
              </w:rPr>
            </w:pPr>
            <w:r>
              <w:rPr>
                <w:rFonts w:hint="eastAsia"/>
                <w:b/>
                <w:snapToGrid w:val="0"/>
                <w:kern w:val="0"/>
                <w:sz w:val="21"/>
                <w:szCs w:val="21"/>
              </w:rPr>
              <w:t>的符合性分析</w:t>
            </w:r>
          </w:p>
          <w:tbl>
            <w:tblPr>
              <w:tblStyle w:val="23"/>
              <w:tblW w:w="48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917"/>
              <w:gridCol w:w="1880"/>
              <w:gridCol w:w="89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25" w:type="dxa"/>
                  <w:tcBorders>
                    <w:top w:val="single" w:color="auto" w:sz="2"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序号</w:t>
                  </w:r>
                </w:p>
              </w:tc>
              <w:tc>
                <w:tcPr>
                  <w:tcW w:w="3763" w:type="dxa"/>
                  <w:tcBorders>
                    <w:top w:val="single" w:color="auto" w:sz="2"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规划环评要求</w:t>
                  </w:r>
                </w:p>
              </w:tc>
              <w:tc>
                <w:tcPr>
                  <w:tcW w:w="1806" w:type="dxa"/>
                  <w:tcBorders>
                    <w:top w:val="single" w:color="auto" w:sz="2"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拟建项目情况</w:t>
                  </w:r>
                </w:p>
              </w:tc>
              <w:tc>
                <w:tcPr>
                  <w:tcW w:w="860" w:type="dxa"/>
                  <w:tcBorders>
                    <w:top w:val="single" w:color="auto" w:sz="2"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预防对策和措施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严格“三线一单”管控：</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环境质量底线</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资源利用上线</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实行用水总量控制和定额管理，严格执行水资源开发利用控制红线，严格取水制度，加强污废水无害化处理和资源化再利用，建设节水型社会。</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生态环境准入清单</w:t>
                  </w:r>
                </w:p>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规划应加强空间管控，严格按照《长江经济带战略环境评价四川省“三线一单”编制成果》及四川省各市州长江经济带战略环境评价“三线一单”编制文本中有关矿产资源勘查开发的准入要求，严格矿产资源开采项目准入，推进矿产资源开发利用布局与结构优化调整，落实《关于加快建设绿色矿山的实施意见》（国土资规〔</w:t>
                  </w:r>
                  <w:r>
                    <w:rPr>
                      <w:snapToGrid w:val="0"/>
                      <w:kern w:val="0"/>
                      <w:sz w:val="21"/>
                      <w:szCs w:val="21"/>
                    </w:rPr>
                    <w:t>2017</w:t>
                  </w:r>
                  <w:r>
                    <w:rPr>
                      <w:rFonts w:hint="eastAsia"/>
                      <w:snapToGrid w:val="0"/>
                      <w:kern w:val="0"/>
                      <w:sz w:val="21"/>
                      <w:szCs w:val="21"/>
                    </w:rPr>
                    <w:t>〕</w:t>
                  </w:r>
                  <w:r>
                    <w:rPr>
                      <w:snapToGrid w:val="0"/>
                      <w:kern w:val="0"/>
                      <w:sz w:val="21"/>
                      <w:szCs w:val="21"/>
                    </w:rPr>
                    <w:t>4</w:t>
                  </w:r>
                  <w:r>
                    <w:rPr>
                      <w:rFonts w:hint="eastAsia"/>
                      <w:snapToGrid w:val="0"/>
                      <w:kern w:val="0"/>
                      <w:sz w:val="21"/>
                      <w:szCs w:val="21"/>
                    </w:rPr>
                    <w:t>号）等相关规定和要求，推动矿业绿色发展，实现资源开发利用与环境保护相协调的绿色发展格局。</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highlight w:val="yellow"/>
                    </w:rPr>
                  </w:pPr>
                  <w:r>
                    <w:rPr>
                      <w:rFonts w:hint="eastAsia"/>
                      <w:snapToGrid w:val="0"/>
                      <w:kern w:val="0"/>
                      <w:sz w:val="21"/>
                      <w:szCs w:val="21"/>
                    </w:rPr>
                    <w:t>本项目为页岩油勘探项目，项目选址不涉及环境敏感区，不在生态红线范围内。项目生产废水大部分优先回用，不能回用部分拉运至四川鑫泓废水处理厂作达标处理，施工人员生活污水</w:t>
                  </w:r>
                  <w:r>
                    <w:rPr>
                      <w:rFonts w:cs="Arial"/>
                      <w:snapToGrid w:val="0"/>
                      <w:kern w:val="0"/>
                      <w:sz w:val="21"/>
                      <w:szCs w:val="21"/>
                    </w:rPr>
                    <w:t>集中收集，用于周边农田施肥</w:t>
                  </w:r>
                  <w:r>
                    <w:rPr>
                      <w:rFonts w:hint="eastAsia"/>
                      <w:snapToGrid w:val="0"/>
                      <w:kern w:val="0"/>
                      <w:sz w:val="21"/>
                      <w:szCs w:val="21"/>
                    </w:rPr>
                    <w:t>。项目对井场区域进行分区防渗，防止地下水污染，项目建设不会降低区域环境质量。项目用水来源于附近场镇，不涉及取水。项目建设符合达州市</w:t>
                  </w:r>
                  <w:r>
                    <w:rPr>
                      <w:rFonts w:hint="eastAsia" w:hAnsi="宋体"/>
                      <w:snapToGrid w:val="0"/>
                      <w:kern w:val="0"/>
                      <w:sz w:val="21"/>
                      <w:szCs w:val="21"/>
                    </w:rPr>
                    <w:t>“三线一单”管控要求</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严格开采准入条件，优化开发利用结构</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严格执行规划提出的矿产资源开发准入条件，促进矿产转型升级。限制开采能耗大、污染重的矿产，最大限度减少对环境的破坏。一是加大页岩气、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属于产能过剩、赋存条件差、环境污染重的硫铁矿、芒硝、盐矿、泥炭、石棉等矿产勘查及产能扩大项目，不属于安全生产条件、灾害隐患严重、污染物不能达标排放的矿山，不属于稀土开采</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建立健全监管与风险防控体系</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本项目为页岩油勘探项目，目的层页岩油及伴生气不含硫化氢，建设单位已制定完善的突发环境事件应急预案</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生态影响减缓措施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工程施工区的植被在开挖时，应该保留所有被破坏植被地方的表层土壤，在对临时性占地进行植被恢复时，就使用这些土壤；工程竣工后，应及时撤除施工临时建筑物和收集废弃杂物，整治施工开挖裸露面，清理和再塑施工迹地，植物恢复采取恢复施工前植被的方式，恢复土地原有实用功能。</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项目钻前工程对表土进行剥离保存，用于施工结束后的土地整治和植被恢复</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水污染防控措施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矿山在设计阶段应对生产废水、生活废水进行分析，明确废水处理措施，生产废水应在处理后尽量回用，实在无法回用的可在处理达标后排放，其排污口设置应进行专项论证；生活污水原则上建议采用生化处理工艺，后用于生活区绿化或防尘洒水。露天采矿应加强管理，避免机修废油、含油废弃物、污废水等进入地下水系统，对地下水造成污染。油库（储油间）必须采取防渗处理，防止石油类污染物以渗透方式污染地下水。表水饮用水源地一级保护区和二级保护区禁止矿产资源的勘查和开采。</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项目生产废水优先回用，不能回用部分拉运四川鑫泓废水处理厂作达标处理，施工人员生活污水</w:t>
                  </w:r>
                  <w:r>
                    <w:rPr>
                      <w:rFonts w:cs="Arial"/>
                      <w:snapToGrid w:val="0"/>
                      <w:kern w:val="0"/>
                      <w:sz w:val="21"/>
                      <w:szCs w:val="21"/>
                    </w:rPr>
                    <w:t>集中收集，用于周边农田施肥</w:t>
                  </w:r>
                  <w:r>
                    <w:rPr>
                      <w:rFonts w:hint="eastAsia"/>
                      <w:snapToGrid w:val="0"/>
                      <w:kern w:val="0"/>
                      <w:sz w:val="21"/>
                      <w:szCs w:val="21"/>
                    </w:rPr>
                    <w:t>。项目对井场区域进行分区防渗，防止地下水污染。</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大气污染防控措施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对拟开采天然气田进行细致成分分析，优先开采低含硫量天然气田，高含硫量气田可先划入资源保护区；同时，应制</w:t>
                  </w:r>
                  <w:r>
                    <w:rPr>
                      <w:rFonts w:hint="eastAsia"/>
                      <w:snapToGrid w:val="0"/>
                      <w:kern w:val="0"/>
                      <w:sz w:val="21"/>
                      <w:szCs w:val="21"/>
                      <w:lang w:val="en-US" w:eastAsia="zh-CN"/>
                    </w:rPr>
                    <w:t>定</w:t>
                  </w:r>
                  <w:r>
                    <w:rPr>
                      <w:rFonts w:hint="eastAsia"/>
                      <w:snapToGrid w:val="0"/>
                      <w:kern w:val="0"/>
                      <w:sz w:val="21"/>
                      <w:szCs w:val="21"/>
                    </w:rPr>
                    <w:t>相关政策和措施，引导天然气开采企业开发和采用更高效除硫的末端治理技术，确保</w:t>
                  </w:r>
                  <w:r>
                    <w:rPr>
                      <w:snapToGrid w:val="0"/>
                      <w:kern w:val="0"/>
                      <w:sz w:val="21"/>
                      <w:szCs w:val="21"/>
                    </w:rPr>
                    <w:t>SO</w:t>
                  </w:r>
                  <w:r>
                    <w:rPr>
                      <w:snapToGrid w:val="0"/>
                      <w:kern w:val="0"/>
                      <w:sz w:val="21"/>
                      <w:szCs w:val="21"/>
                      <w:vertAlign w:val="superscript"/>
                    </w:rPr>
                    <w:t>2</w:t>
                  </w:r>
                  <w:r>
                    <w:rPr>
                      <w:rFonts w:hint="eastAsia"/>
                      <w:snapToGrid w:val="0"/>
                      <w:kern w:val="0"/>
                      <w:sz w:val="21"/>
                      <w:szCs w:val="21"/>
                    </w:rPr>
                    <w:t>排放量的逐步减少，以进一步改善大气环境状况。</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项目为页岩油勘探项目，不涉及油气开采。项目不涉及二氧化硫排放，测试放喷施工结束即停止排放，对区域大气环境质量影响轻微</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固体废弃物污染防控措施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各矿山建设时设置表土堆场，将表土首先单独剥离，妥善堆存至表土堆场内，服务期满后用于矿区土地复垦。表土堆存时应采取完善的水土保持措施，防治表土流失。</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项目钻前工程对表土进行剥离保存，用于施工结束后的土地整治和植被恢复。耕植土堆放场采取建设护脚及完善的排水设施防止水土流失</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噪声污染防控措施</w:t>
                  </w:r>
                </w:p>
              </w:tc>
              <w:tc>
                <w:tcPr>
                  <w:tcW w:w="3763"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rFonts w:hint="eastAsia"/>
                      <w:snapToGrid w:val="0"/>
                      <w:kern w:val="0"/>
                      <w:sz w:val="21"/>
                      <w:szCs w:val="21"/>
                    </w:rPr>
                    <w:t>工业场地的选址要尽量远离周边集中居民区，减少对居民点的影响，同时应满足安全距离要求；工业场地总平面设计中，应充分考虑高噪声源的分布和噪声传播途径、声环境敏感目标和防护距离要求，合理布局。选用噪声低、振动小、能耗低的先进施工设备和采矿生产设备；高噪声设备应安放在满足隔声要求的专用设备房内，采用隔声、减震等措施降低噪声污染；合理安排作业时间；合理安排运输路线和运输时间；同时设置绿化带来降低噪音。厂界噪声满足《工业企业厂界噪声排放标准》（</w:t>
                  </w:r>
                  <w:r>
                    <w:rPr>
                      <w:snapToGrid w:val="0"/>
                      <w:kern w:val="0"/>
                      <w:sz w:val="21"/>
                      <w:szCs w:val="21"/>
                    </w:rPr>
                    <w:t>GB12348-2008</w:t>
                  </w:r>
                  <w:r>
                    <w:rPr>
                      <w:rFonts w:hint="eastAsia"/>
                      <w:snapToGrid w:val="0"/>
                      <w:kern w:val="0"/>
                      <w:sz w:val="21"/>
                      <w:szCs w:val="21"/>
                    </w:rPr>
                    <w:t>）排放限值要求，噪声不扰民。</w:t>
                  </w:r>
                </w:p>
              </w:tc>
              <w:tc>
                <w:tcPr>
                  <w:tcW w:w="1806"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项目选址远离周边居民，井口</w:t>
                  </w:r>
                  <w:r>
                    <w:rPr>
                      <w:snapToGrid w:val="0"/>
                      <w:kern w:val="0"/>
                      <w:sz w:val="21"/>
                      <w:szCs w:val="21"/>
                    </w:rPr>
                    <w:t>100m</w:t>
                  </w:r>
                  <w:r>
                    <w:rPr>
                      <w:rFonts w:hint="eastAsia"/>
                      <w:snapToGrid w:val="0"/>
                      <w:kern w:val="0"/>
                      <w:sz w:val="21"/>
                      <w:szCs w:val="21"/>
                    </w:rPr>
                    <w:t>范围内无居民分布，各高噪声设备采取减振、隔声的措施防止噪声扰民。同时对近距离居民采取房屋租赁、功能置换的措施防止扰民</w:t>
                  </w:r>
                </w:p>
              </w:tc>
              <w:tc>
                <w:tcPr>
                  <w:tcW w:w="860"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bl>
          <w:p>
            <w:pPr>
              <w:autoSpaceDE w:val="0"/>
              <w:autoSpaceDN w:val="0"/>
              <w:adjustRightInd w:val="0"/>
              <w:snapToGrid w:val="0"/>
              <w:ind w:left="48" w:leftChars="20" w:right="48" w:rightChars="20" w:firstLine="420"/>
              <w:rPr>
                <w:snapToGrid w:val="0"/>
                <w:kern w:val="0"/>
                <w:sz w:val="21"/>
                <w:szCs w:val="21"/>
              </w:rPr>
            </w:pPr>
            <w:r>
              <w:rPr>
                <w:rFonts w:hint="eastAsia"/>
                <w:snapToGrid w:val="0"/>
                <w:kern w:val="0"/>
                <w:sz w:val="21"/>
                <w:szCs w:val="21"/>
              </w:rPr>
              <w:t>综上，本项目建设符合《四川省矿产资源规划（</w:t>
            </w:r>
            <w:r>
              <w:rPr>
                <w:snapToGrid w:val="0"/>
                <w:kern w:val="0"/>
                <w:sz w:val="21"/>
                <w:szCs w:val="21"/>
              </w:rPr>
              <w:t>2021-2025</w:t>
            </w:r>
            <w:r>
              <w:rPr>
                <w:rFonts w:hint="eastAsia"/>
                <w:snapToGrid w:val="0"/>
                <w:kern w:val="0"/>
                <w:sz w:val="21"/>
                <w:szCs w:val="21"/>
              </w:rPr>
              <w:t>年）环境影响报告书》中相关要求。</w:t>
            </w:r>
          </w:p>
          <w:p>
            <w:pPr>
              <w:autoSpaceDE w:val="0"/>
              <w:autoSpaceDN w:val="0"/>
              <w:adjustRightInd w:val="0"/>
              <w:snapToGrid w:val="0"/>
              <w:ind w:left="48" w:leftChars="20" w:right="48" w:rightChars="20" w:firstLine="422"/>
              <w:rPr>
                <w:b/>
                <w:snapToGrid w:val="0"/>
                <w:kern w:val="0"/>
                <w:sz w:val="21"/>
                <w:szCs w:val="21"/>
              </w:rPr>
            </w:pPr>
            <w:r>
              <w:rPr>
                <w:b/>
                <w:snapToGrid w:val="0"/>
                <w:kern w:val="0"/>
                <w:sz w:val="21"/>
                <w:szCs w:val="21"/>
              </w:rPr>
              <w:t>3</w:t>
            </w:r>
            <w:r>
              <w:rPr>
                <w:rFonts w:hint="eastAsia"/>
                <w:b/>
                <w:snapToGrid w:val="0"/>
                <w:kern w:val="0"/>
                <w:sz w:val="21"/>
                <w:szCs w:val="21"/>
              </w:rPr>
              <w:t>、与《四川省矿产资源规划（</w:t>
            </w:r>
            <w:r>
              <w:rPr>
                <w:b/>
                <w:snapToGrid w:val="0"/>
                <w:kern w:val="0"/>
                <w:sz w:val="21"/>
                <w:szCs w:val="21"/>
              </w:rPr>
              <w:t>2021-2025</w:t>
            </w:r>
            <w:r>
              <w:rPr>
                <w:rFonts w:hint="eastAsia"/>
                <w:b/>
                <w:snapToGrid w:val="0"/>
                <w:kern w:val="0"/>
                <w:sz w:val="21"/>
                <w:szCs w:val="21"/>
              </w:rPr>
              <w:t>年）环境影响报告书》审查意见的符合性分析</w:t>
            </w:r>
          </w:p>
          <w:p>
            <w:pPr>
              <w:adjustRightInd w:val="0"/>
              <w:snapToGrid w:val="0"/>
              <w:ind w:left="48" w:leftChars="20" w:right="48" w:rightChars="20" w:firstLine="420"/>
              <w:rPr>
                <w:rFonts w:ascii="宋体" w:hAnsi="宋体" w:cs="宋体"/>
                <w:snapToGrid w:val="0"/>
                <w:kern w:val="0"/>
                <w:sz w:val="21"/>
                <w:szCs w:val="21"/>
              </w:rPr>
            </w:pPr>
            <w:r>
              <w:rPr>
                <w:rFonts w:hint="eastAsia"/>
                <w:snapToGrid w:val="0"/>
                <w:kern w:val="0"/>
                <w:sz w:val="21"/>
                <w:szCs w:val="21"/>
              </w:rPr>
              <w:t>根据中华人民共和国生态环境部《关于</w:t>
            </w:r>
            <w:r>
              <w:rPr>
                <w:snapToGrid w:val="0"/>
                <w:kern w:val="0"/>
                <w:sz w:val="21"/>
                <w:szCs w:val="21"/>
              </w:rPr>
              <w:t>&lt;</w:t>
            </w:r>
            <w:r>
              <w:rPr>
                <w:rFonts w:hint="eastAsia"/>
                <w:snapToGrid w:val="0"/>
                <w:kern w:val="0"/>
                <w:sz w:val="21"/>
                <w:szCs w:val="21"/>
              </w:rPr>
              <w:t>四川省矿产资源规划（</w:t>
            </w:r>
            <w:r>
              <w:rPr>
                <w:snapToGrid w:val="0"/>
                <w:kern w:val="0"/>
                <w:sz w:val="21"/>
                <w:szCs w:val="21"/>
              </w:rPr>
              <w:t>2021-2025</w:t>
            </w:r>
            <w:r>
              <w:rPr>
                <w:rFonts w:hint="eastAsia"/>
                <w:snapToGrid w:val="0"/>
                <w:kern w:val="0"/>
                <w:sz w:val="21"/>
                <w:szCs w:val="21"/>
              </w:rPr>
              <w:t>年）环境影响报告书</w:t>
            </w:r>
            <w:r>
              <w:rPr>
                <w:snapToGrid w:val="0"/>
                <w:kern w:val="0"/>
                <w:sz w:val="21"/>
                <w:szCs w:val="21"/>
              </w:rPr>
              <w:t>&gt;</w:t>
            </w:r>
            <w:r>
              <w:rPr>
                <w:rFonts w:hint="eastAsia"/>
                <w:snapToGrid w:val="0"/>
                <w:kern w:val="0"/>
                <w:sz w:val="21"/>
                <w:szCs w:val="21"/>
              </w:rPr>
              <w:t>的审查意见》（环审〔</w:t>
            </w:r>
            <w:r>
              <w:rPr>
                <w:snapToGrid w:val="0"/>
                <w:kern w:val="0"/>
                <w:sz w:val="21"/>
                <w:szCs w:val="21"/>
              </w:rPr>
              <w:t>2022</w:t>
            </w:r>
            <w:r>
              <w:rPr>
                <w:rFonts w:hint="eastAsia"/>
                <w:snapToGrid w:val="0"/>
                <w:kern w:val="0"/>
                <w:sz w:val="21"/>
                <w:szCs w:val="21"/>
              </w:rPr>
              <w:t>〕</w:t>
            </w:r>
            <w:r>
              <w:rPr>
                <w:snapToGrid w:val="0"/>
                <w:kern w:val="0"/>
                <w:sz w:val="21"/>
                <w:szCs w:val="21"/>
              </w:rPr>
              <w:t>105</w:t>
            </w:r>
            <w:r>
              <w:rPr>
                <w:rFonts w:hint="eastAsia"/>
                <w:snapToGrid w:val="0"/>
                <w:kern w:val="0"/>
                <w:sz w:val="21"/>
                <w:szCs w:val="21"/>
              </w:rPr>
              <w:t>号），拟建项目与其符合性分析如下：</w:t>
            </w:r>
          </w:p>
          <w:p>
            <w:pPr>
              <w:ind w:firstLine="0" w:firstLineChars="0"/>
              <w:jc w:val="center"/>
              <w:rPr>
                <w:b/>
                <w:snapToGrid w:val="0"/>
                <w:kern w:val="0"/>
                <w:sz w:val="21"/>
                <w:szCs w:val="21"/>
              </w:rPr>
            </w:pPr>
          </w:p>
          <w:p>
            <w:pPr>
              <w:ind w:firstLine="0" w:firstLineChars="0"/>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1-3  </w:t>
            </w:r>
            <w:r>
              <w:rPr>
                <w:rFonts w:hint="eastAsia"/>
                <w:b/>
                <w:snapToGrid w:val="0"/>
                <w:kern w:val="0"/>
                <w:sz w:val="21"/>
                <w:szCs w:val="21"/>
              </w:rPr>
              <w:t>与《四川省矿产资源规划（</w:t>
            </w:r>
            <w:r>
              <w:rPr>
                <w:b/>
                <w:snapToGrid w:val="0"/>
                <w:kern w:val="0"/>
                <w:sz w:val="21"/>
                <w:szCs w:val="21"/>
              </w:rPr>
              <w:t>2021-2025</w:t>
            </w:r>
            <w:r>
              <w:rPr>
                <w:rFonts w:hint="eastAsia"/>
                <w:b/>
                <w:snapToGrid w:val="0"/>
                <w:kern w:val="0"/>
                <w:sz w:val="21"/>
                <w:szCs w:val="21"/>
              </w:rPr>
              <w:t>年）环境影响报告书》</w:t>
            </w:r>
          </w:p>
          <w:p>
            <w:pPr>
              <w:ind w:firstLine="0" w:firstLineChars="0"/>
              <w:jc w:val="center"/>
              <w:rPr>
                <w:b/>
                <w:snapToGrid w:val="0"/>
                <w:kern w:val="0"/>
                <w:sz w:val="21"/>
                <w:szCs w:val="21"/>
              </w:rPr>
            </w:pPr>
            <w:r>
              <w:rPr>
                <w:rFonts w:hint="eastAsia"/>
                <w:b/>
                <w:snapToGrid w:val="0"/>
                <w:kern w:val="0"/>
                <w:sz w:val="21"/>
                <w:szCs w:val="21"/>
              </w:rPr>
              <w:t>审查意见的符合性分析</w:t>
            </w:r>
          </w:p>
          <w:tbl>
            <w:tblPr>
              <w:tblStyle w:val="23"/>
              <w:tblW w:w="48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3673"/>
              <w:gridCol w:w="2204"/>
              <w:gridCol w:w="8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序号</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规划环评审查意见要求</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拟建项目情况</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一</w:t>
                  </w:r>
                  <w:r>
                    <w:rPr>
                      <w:snapToGrid w:val="0"/>
                      <w:kern w:val="0"/>
                      <w:sz w:val="21"/>
                      <w:szCs w:val="21"/>
                    </w:rPr>
                    <w:t>)</w:t>
                  </w:r>
                  <w:r>
                    <w:rPr>
                      <w:rFonts w:hint="eastAsia"/>
                      <w:snapToGrid w:val="0"/>
                      <w:kern w:val="0"/>
                      <w:sz w:val="21"/>
                      <w:szCs w:val="21"/>
                    </w:rPr>
                    <w:t>坚持生态优先，绿色发展。坚持以习近平生态文明思想为指导，严格落实《中华人民共和国长江保护法》，按照“共抓大保护、不搞大开发”的要求，立足于生态系统稳定和生态环境质量改善，处理好生态环境保护与矿产资源开发的关系，合理控制矿产资源开发规模与强度，不得占用依法应当禁止开发的区域，优先避让生态环境敏感区域。结合“十三五”未完成指标任务和“十四五”新要求，进一步强化《规划》的生态环境保护总体要求，将细化后的绿色开发、生态修复等相关目标、指标作为《规划》实施的硬约束。《规划》应严格执行国家矿产资源合理开发利用“三率”</w:t>
                  </w:r>
                  <w:r>
                    <w:rPr>
                      <w:snapToGrid w:val="0"/>
                      <w:kern w:val="0"/>
                      <w:sz w:val="21"/>
                      <w:szCs w:val="21"/>
                    </w:rPr>
                    <w:t>(</w:t>
                  </w:r>
                  <w:r>
                    <w:rPr>
                      <w:rFonts w:hint="eastAsia"/>
                      <w:snapToGrid w:val="0"/>
                      <w:kern w:val="0"/>
                      <w:sz w:val="21"/>
                      <w:szCs w:val="21"/>
                    </w:rPr>
                    <w:t>开采回采率、选矿回收率、综合利用率</w:t>
                  </w:r>
                  <w:r>
                    <w:rPr>
                      <w:snapToGrid w:val="0"/>
                      <w:kern w:val="0"/>
                      <w:sz w:val="21"/>
                      <w:szCs w:val="21"/>
                    </w:rPr>
                    <w:t>)</w:t>
                  </w:r>
                  <w:r>
                    <w:rPr>
                      <w:rFonts w:hint="eastAsia"/>
                      <w:snapToGrid w:val="0"/>
                      <w:kern w:val="0"/>
                      <w:sz w:val="21"/>
                      <w:szCs w:val="21"/>
                    </w:rPr>
                    <w:t>相关要求，推动提升天然气、钒钛磁铁矿、锂矿、稀土开发利用水平，确保天然气回收率不低于</w:t>
                  </w:r>
                  <w:r>
                    <w:rPr>
                      <w:snapToGrid w:val="0"/>
                      <w:kern w:val="0"/>
                      <w:sz w:val="21"/>
                      <w:szCs w:val="21"/>
                    </w:rPr>
                    <w:t>96%</w:t>
                  </w:r>
                  <w:r>
                    <w:rPr>
                      <w:rFonts w:hint="eastAsia"/>
                      <w:snapToGrid w:val="0"/>
                      <w:kern w:val="0"/>
                      <w:sz w:val="21"/>
                      <w:szCs w:val="21"/>
                    </w:rPr>
                    <w:t>，钒钛磁铁矿共伴生钒、钛、铬综合利用率分别达到</w:t>
                  </w:r>
                  <w:r>
                    <w:rPr>
                      <w:snapToGrid w:val="0"/>
                      <w:kern w:val="0"/>
                      <w:sz w:val="21"/>
                      <w:szCs w:val="21"/>
                    </w:rPr>
                    <w:t>64%</w:t>
                  </w:r>
                  <w:r>
                    <w:rPr>
                      <w:rFonts w:hint="eastAsia"/>
                      <w:snapToGrid w:val="0"/>
                      <w:kern w:val="0"/>
                      <w:sz w:val="21"/>
                      <w:szCs w:val="21"/>
                    </w:rPr>
                    <w:t>、</w:t>
                  </w:r>
                  <w:r>
                    <w:rPr>
                      <w:snapToGrid w:val="0"/>
                      <w:kern w:val="0"/>
                      <w:sz w:val="21"/>
                      <w:szCs w:val="21"/>
                    </w:rPr>
                    <w:t>12%</w:t>
                  </w:r>
                  <w:r>
                    <w:rPr>
                      <w:rFonts w:hint="eastAsia"/>
                      <w:snapToGrid w:val="0"/>
                      <w:kern w:val="0"/>
                      <w:sz w:val="21"/>
                      <w:szCs w:val="21"/>
                    </w:rPr>
                    <w:t>、</w:t>
                  </w:r>
                  <w:r>
                    <w:rPr>
                      <w:snapToGrid w:val="0"/>
                      <w:kern w:val="0"/>
                      <w:sz w:val="21"/>
                      <w:szCs w:val="21"/>
                    </w:rPr>
                    <w:t>64%</w:t>
                  </w:r>
                  <w:r>
                    <w:rPr>
                      <w:rFonts w:hint="eastAsia"/>
                      <w:snapToGrid w:val="0"/>
                      <w:kern w:val="0"/>
                      <w:sz w:val="21"/>
                      <w:szCs w:val="21"/>
                    </w:rPr>
                    <w:t>以上，锂矿共伴生钜、锯矿产综合利用率不低于</w:t>
                  </w:r>
                  <w:r>
                    <w:rPr>
                      <w:snapToGrid w:val="0"/>
                      <w:kern w:val="0"/>
                      <w:sz w:val="21"/>
                      <w:szCs w:val="21"/>
                    </w:rPr>
                    <w:t>15%</w:t>
                  </w:r>
                  <w:r>
                    <w:rPr>
                      <w:rFonts w:hint="eastAsia"/>
                      <w:snapToGrid w:val="0"/>
                      <w:kern w:val="0"/>
                      <w:sz w:val="21"/>
                      <w:szCs w:val="21"/>
                    </w:rPr>
                    <w:t>，稀土矿开采回采率不低于</w:t>
                  </w:r>
                  <w:r>
                    <w:rPr>
                      <w:snapToGrid w:val="0"/>
                      <w:kern w:val="0"/>
                      <w:sz w:val="21"/>
                      <w:szCs w:val="21"/>
                    </w:rPr>
                    <w:t>67%</w:t>
                  </w:r>
                  <w:r>
                    <w:rPr>
                      <w:rFonts w:hint="eastAsia"/>
                      <w:snapToGrid w:val="0"/>
                      <w:kern w:val="0"/>
                      <w:sz w:val="21"/>
                      <w:szCs w:val="21"/>
                    </w:rPr>
                    <w:t>。合理确定布局、规模、结构和开发时序，加快结构调整和转型升级，采取严格的生态保护和修复措施，确保优化后的《规划》符合绿色发展要求，推动生态环境保护与矿产资源开发目标同步实现，助力筑牢长江、黄河上游重要生态屏障。</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本项目为页岩油勘探项目，不涉及油气开采，项目选址不涉及生态环境敏感区域，不在禁止开发区域内。项目施工期结束后对临时用地进行生态恢复，复垦复绿。</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二</w:t>
                  </w:r>
                  <w:r>
                    <w:rPr>
                      <w:snapToGrid w:val="0"/>
                      <w:kern w:val="0"/>
                      <w:sz w:val="21"/>
                      <w:szCs w:val="21"/>
                    </w:rPr>
                    <w:t>)</w:t>
                  </w:r>
                  <w:r>
                    <w:rPr>
                      <w:rFonts w:hint="eastAsia"/>
                      <w:snapToGrid w:val="0"/>
                      <w:kern w:val="0"/>
                      <w:sz w:val="21"/>
                      <w:szCs w:val="21"/>
                    </w:rPr>
                    <w:t>严格保护生态空间，优化《规划》布局。将生态保护红线作为保障和维护区域生态安全的底线，进一步优化矿业权设置和空间布局，依法依规对生态空间实施严格保护。针对与生态保护红线存在空间重叠的勘查规划区块</w:t>
                  </w:r>
                  <w:r>
                    <w:rPr>
                      <w:snapToGrid w:val="0"/>
                      <w:kern w:val="0"/>
                      <w:sz w:val="21"/>
                      <w:szCs w:val="21"/>
                    </w:rPr>
                    <w:t>KQ51000000040</w:t>
                  </w:r>
                  <w:r>
                    <w:rPr>
                      <w:rFonts w:hint="eastAsia"/>
                      <w:snapToGrid w:val="0"/>
                      <w:kern w:val="0"/>
                      <w:sz w:val="21"/>
                      <w:szCs w:val="21"/>
                    </w:rPr>
                    <w:t>、开采规划区块</w:t>
                  </w:r>
                  <w:r>
                    <w:rPr>
                      <w:snapToGrid w:val="0"/>
                      <w:kern w:val="0"/>
                      <w:sz w:val="21"/>
                      <w:szCs w:val="21"/>
                    </w:rPr>
                    <w:t>CQ51000000004</w:t>
                  </w:r>
                  <w:r>
                    <w:rPr>
                      <w:rFonts w:hint="eastAsia"/>
                      <w:snapToGrid w:val="0"/>
                      <w:kern w:val="0"/>
                      <w:sz w:val="21"/>
                      <w:szCs w:val="21"/>
                    </w:rPr>
                    <w:t>、</w:t>
                  </w:r>
                  <w:r>
                    <w:rPr>
                      <w:snapToGrid w:val="0"/>
                      <w:kern w:val="0"/>
                      <w:sz w:val="21"/>
                      <w:szCs w:val="21"/>
                    </w:rPr>
                    <w:t>CQ51000000025</w:t>
                  </w:r>
                  <w:r>
                    <w:rPr>
                      <w:rFonts w:hint="eastAsia"/>
                      <w:snapToGrid w:val="0"/>
                      <w:kern w:val="0"/>
                      <w:sz w:val="21"/>
                      <w:szCs w:val="21"/>
                    </w:rPr>
                    <w:t>等，进一步优化布局，确保满足生态保护红线管控要求。针对与自然保护区、饮用水水源保护区、森林公园、湿地公园、风景名胜区等存在空间局部重叠的―</w:t>
                  </w:r>
                  <w:r>
                    <w:rPr>
                      <w:snapToGrid w:val="0"/>
                      <w:kern w:val="0"/>
                      <w:sz w:val="21"/>
                      <w:szCs w:val="21"/>
                    </w:rPr>
                    <w:t>KQ51000000005</w:t>
                  </w:r>
                  <w:r>
                    <w:rPr>
                      <w:rFonts w:hint="eastAsia"/>
                      <w:snapToGrid w:val="0"/>
                      <w:kern w:val="0"/>
                      <w:sz w:val="21"/>
                      <w:szCs w:val="21"/>
                    </w:rPr>
                    <w:t>等</w:t>
                  </w:r>
                  <w:r>
                    <w:rPr>
                      <w:snapToGrid w:val="0"/>
                      <w:kern w:val="0"/>
                      <w:sz w:val="21"/>
                      <w:szCs w:val="21"/>
                    </w:rPr>
                    <w:t>5</w:t>
                  </w:r>
                  <w:r>
                    <w:rPr>
                      <w:rFonts w:hint="eastAsia"/>
                      <w:snapToGrid w:val="0"/>
                      <w:kern w:val="0"/>
                      <w:sz w:val="21"/>
                      <w:szCs w:val="21"/>
                    </w:rPr>
                    <w:t>个勘查规划区块、</w:t>
                  </w:r>
                  <w:r>
                    <w:rPr>
                      <w:snapToGrid w:val="0"/>
                      <w:kern w:val="0"/>
                      <w:sz w:val="21"/>
                      <w:szCs w:val="21"/>
                    </w:rPr>
                    <w:t>CQ51000000004</w:t>
                  </w:r>
                  <w:r>
                    <w:rPr>
                      <w:rFonts w:hint="eastAsia"/>
                      <w:snapToGrid w:val="0"/>
                      <w:kern w:val="0"/>
                      <w:sz w:val="21"/>
                      <w:szCs w:val="21"/>
                    </w:rPr>
                    <w:t>等</w:t>
                  </w:r>
                  <w:r>
                    <w:rPr>
                      <w:snapToGrid w:val="0"/>
                      <w:kern w:val="0"/>
                      <w:sz w:val="21"/>
                      <w:szCs w:val="21"/>
                    </w:rPr>
                    <w:t>3</w:t>
                  </w:r>
                  <w:r>
                    <w:rPr>
                      <w:rFonts w:hint="eastAsia"/>
                      <w:snapToGrid w:val="0"/>
                      <w:kern w:val="0"/>
                      <w:sz w:val="21"/>
                      <w:szCs w:val="21"/>
                    </w:rPr>
                    <w:t>个开采规划区块、</w:t>
                  </w:r>
                  <w:r>
                    <w:rPr>
                      <w:snapToGrid w:val="0"/>
                      <w:kern w:val="0"/>
                      <w:sz w:val="21"/>
                      <w:szCs w:val="21"/>
                    </w:rPr>
                    <w:t>KZ51000000002</w:t>
                  </w:r>
                  <w:r>
                    <w:rPr>
                      <w:rFonts w:hint="eastAsia"/>
                      <w:snapToGrid w:val="0"/>
                      <w:kern w:val="0"/>
                      <w:sz w:val="21"/>
                      <w:szCs w:val="21"/>
                    </w:rPr>
                    <w:t>等</w:t>
                  </w:r>
                  <w:r>
                    <w:rPr>
                      <w:snapToGrid w:val="0"/>
                      <w:kern w:val="0"/>
                      <w:sz w:val="21"/>
                      <w:szCs w:val="21"/>
                    </w:rPr>
                    <w:t>9</w:t>
                  </w:r>
                  <w:r>
                    <w:rPr>
                      <w:rFonts w:hint="eastAsia"/>
                      <w:snapToGrid w:val="0"/>
                      <w:kern w:val="0"/>
                      <w:sz w:val="21"/>
                      <w:szCs w:val="21"/>
                    </w:rPr>
                    <w:t>个规划重点勘查区、</w:t>
                  </w:r>
                  <w:r>
                    <w:rPr>
                      <w:snapToGrid w:val="0"/>
                      <w:kern w:val="0"/>
                      <w:sz w:val="21"/>
                      <w:szCs w:val="21"/>
                    </w:rPr>
                    <w:t>CZ51000000001</w:t>
                  </w:r>
                  <w:r>
                    <w:rPr>
                      <w:rFonts w:hint="eastAsia"/>
                      <w:snapToGrid w:val="0"/>
                      <w:kern w:val="0"/>
                      <w:sz w:val="21"/>
                      <w:szCs w:val="21"/>
                    </w:rPr>
                    <w:t>等</w:t>
                  </w:r>
                  <w:r>
                    <w:rPr>
                      <w:snapToGrid w:val="0"/>
                      <w:kern w:val="0"/>
                      <w:sz w:val="21"/>
                      <w:szCs w:val="21"/>
                    </w:rPr>
                    <w:t>4</w:t>
                  </w:r>
                  <w:r>
                    <w:rPr>
                      <w:rFonts w:hint="eastAsia"/>
                      <w:snapToGrid w:val="0"/>
                      <w:kern w:val="0"/>
                      <w:sz w:val="21"/>
                      <w:szCs w:val="21"/>
                    </w:rPr>
                    <w:t>个重点开采区、</w:t>
                  </w:r>
                  <w:r>
                    <w:rPr>
                      <w:snapToGrid w:val="0"/>
                      <w:kern w:val="0"/>
                      <w:sz w:val="21"/>
                      <w:szCs w:val="21"/>
                    </w:rPr>
                    <w:t>GK51000000001</w:t>
                  </w:r>
                  <w:r>
                    <w:rPr>
                      <w:rFonts w:hint="eastAsia"/>
                      <w:snapToGrid w:val="0"/>
                      <w:kern w:val="0"/>
                      <w:sz w:val="21"/>
                      <w:szCs w:val="21"/>
                    </w:rPr>
                    <w:t>等</w:t>
                  </w:r>
                  <w:r>
                    <w:rPr>
                      <w:snapToGrid w:val="0"/>
                      <w:kern w:val="0"/>
                      <w:sz w:val="21"/>
                      <w:szCs w:val="21"/>
                    </w:rPr>
                    <w:t>7</w:t>
                  </w:r>
                  <w:r>
                    <w:rPr>
                      <w:rFonts w:hint="eastAsia"/>
                      <w:snapToGrid w:val="0"/>
                      <w:kern w:val="0"/>
                      <w:sz w:val="21"/>
                      <w:szCs w:val="21"/>
                    </w:rPr>
                    <w:t>个国家规划矿区、</w:t>
                  </w:r>
                  <w:r>
                    <w:rPr>
                      <w:snapToGrid w:val="0"/>
                      <w:kern w:val="0"/>
                      <w:sz w:val="21"/>
                      <w:szCs w:val="21"/>
                    </w:rPr>
                    <w:t>NY51000000001</w:t>
                  </w:r>
                  <w:r>
                    <w:rPr>
                      <w:rFonts w:hint="eastAsia"/>
                      <w:snapToGrid w:val="0"/>
                      <w:kern w:val="0"/>
                      <w:sz w:val="21"/>
                      <w:szCs w:val="21"/>
                    </w:rPr>
                    <w:t>等</w:t>
                  </w:r>
                  <w:r>
                    <w:rPr>
                      <w:snapToGrid w:val="0"/>
                      <w:kern w:val="0"/>
                      <w:sz w:val="21"/>
                      <w:szCs w:val="21"/>
                    </w:rPr>
                    <w:t>8</w:t>
                  </w:r>
                  <w:r>
                    <w:rPr>
                      <w:rFonts w:hint="eastAsia"/>
                      <w:snapToGrid w:val="0"/>
                      <w:kern w:val="0"/>
                      <w:sz w:val="21"/>
                      <w:szCs w:val="21"/>
                    </w:rPr>
                    <w:t>个能源资源基地、</w:t>
                  </w:r>
                  <w:r>
                    <w:rPr>
                      <w:snapToGrid w:val="0"/>
                      <w:kern w:val="0"/>
                      <w:sz w:val="21"/>
                      <w:szCs w:val="21"/>
                    </w:rPr>
                    <w:t>ZB51000000002</w:t>
                  </w:r>
                  <w:r>
                    <w:rPr>
                      <w:rFonts w:hint="eastAsia"/>
                      <w:snapToGrid w:val="0"/>
                      <w:kern w:val="0"/>
                      <w:sz w:val="21"/>
                      <w:szCs w:val="21"/>
                    </w:rPr>
                    <w:t>等</w:t>
                  </w:r>
                  <w:r>
                    <w:rPr>
                      <w:snapToGrid w:val="0"/>
                      <w:kern w:val="0"/>
                      <w:sz w:val="21"/>
                      <w:szCs w:val="21"/>
                    </w:rPr>
                    <w:t>3</w:t>
                  </w:r>
                  <w:r>
                    <w:rPr>
                      <w:rFonts w:hint="eastAsia"/>
                      <w:snapToGrid w:val="0"/>
                      <w:kern w:val="0"/>
                      <w:sz w:val="21"/>
                      <w:szCs w:val="21"/>
                    </w:rPr>
                    <w:t>个战略性矿产储备区，进一步优化布局，确保满足相关生态环境敏感区管控要求。落实《报告书》提出的位于一般生态空间的</w:t>
                  </w:r>
                  <w:r>
                    <w:rPr>
                      <w:snapToGrid w:val="0"/>
                      <w:kern w:val="0"/>
                      <w:sz w:val="21"/>
                      <w:szCs w:val="21"/>
                    </w:rPr>
                    <w:t>22</w:t>
                  </w:r>
                  <w:r>
                    <w:rPr>
                      <w:rFonts w:hint="eastAsia"/>
                      <w:snapToGrid w:val="0"/>
                      <w:kern w:val="0"/>
                      <w:sz w:val="21"/>
                      <w:szCs w:val="21"/>
                    </w:rPr>
                    <w:t>个已设采矿权保留区块、</w:t>
                  </w:r>
                  <w:r>
                    <w:rPr>
                      <w:snapToGrid w:val="0"/>
                      <w:kern w:val="0"/>
                      <w:sz w:val="21"/>
                      <w:szCs w:val="21"/>
                    </w:rPr>
                    <w:t>34</w:t>
                  </w:r>
                  <w:r>
                    <w:rPr>
                      <w:rFonts w:hint="eastAsia"/>
                      <w:snapToGrid w:val="0"/>
                      <w:kern w:val="0"/>
                      <w:sz w:val="21"/>
                      <w:szCs w:val="21"/>
                    </w:rPr>
                    <w:t>个勘查规划区块的管控要求，进一步优化布局，依法依规妥善处置，严格控制采矿、探矿活动范围和强度。</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本项目为页岩油勘探项目，项目选址不占用生态保护红线，不涉及自然保护区、森林公园、湿地公园、风景名胜区，项目选址不在饮用水水源保护区范围内</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三</w:t>
                  </w:r>
                  <w:r>
                    <w:rPr>
                      <w:snapToGrid w:val="0"/>
                      <w:kern w:val="0"/>
                      <w:sz w:val="21"/>
                      <w:szCs w:val="21"/>
                    </w:rPr>
                    <w:t>)</w:t>
                  </w:r>
                  <w:r>
                    <w:rPr>
                      <w:rFonts w:hint="eastAsia"/>
                      <w:snapToGrid w:val="0"/>
                      <w:kern w:val="0"/>
                      <w:sz w:val="21"/>
                      <w:szCs w:val="21"/>
                    </w:rPr>
                    <w:t>严格产业准入，合理控制矿山开采种类和规模。严格落实《规划》目标和准入要求，重点矿种新设矿山执行最低开采规模要求，进一步控制矿山总数，提高大中型矿山比例，加大低效产能压减、无效产能腾退力度，逐步稳妥关闭退出安全隐患突出、生态环境问题明显、违法违规问题多的“小弱散”矿山和未达到最低生产规模的矿山。坚持“先立后破”和保障能源安全要求，加快资源整合和技术改造煤矿建设进度，促进煤矿低碳转型发展。禁止开采高硫、高灰、高砷、高氟煤炭和石棉、砂金、湿地泥炭、可耕地砖瓦用粘土等矿产，限制开发难选冶的赤铁矿、菱铁矿以及对生态环境影响较大的硫铁矿等矿产。严格尾矿库的新建和管理，确保符合相关要求。</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涉及油气开采，不属于安全隐患突出、生态环境问题明显、违法违规问题多的“小弱散”矿山和未达到最低生产规模的矿山。不属于禁止开采的高硫、高灰、高砷、高氟煤炭和石棉、砂金、湿地泥炭、可耕地砖瓦用粘土等矿产和限制开发的难选冶的赤铁矿、菱铁矿以及对生态环境影响较大的硫铁矿等矿产</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4</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四）严格环境准入，保护区域生态功能。按照四川省生态环境分区管控方案、生态环境保护规划等新要求，与一般生态空间存在空间重叠的勘查规划区块、开采规划区块，应按照一般生态空间管控要求，严格控制勘查、开采活动范围和强度，严格落实绿色勘查、绿色开采及矿山生态保护修复相关要求，确保生态系统结构稳定和生态功能不退化。严格控制涉及生物多样性保护优先区域、国家重点生态功能区、水土流失重点防治区等具有重要生态功能的区域矿产开采活动，并采取严格有针对性</w:t>
                  </w:r>
                  <w:r>
                    <w:rPr>
                      <w:rFonts w:hint="eastAsia"/>
                      <w:snapToGrid w:val="0"/>
                      <w:kern w:val="0"/>
                      <w:sz w:val="21"/>
                      <w:szCs w:val="21"/>
                      <w:lang w:val="en-US" w:eastAsia="zh-CN"/>
                    </w:rPr>
                    <w:t>地</w:t>
                  </w:r>
                  <w:r>
                    <w:rPr>
                      <w:rFonts w:hint="eastAsia"/>
                      <w:snapToGrid w:val="0"/>
                      <w:kern w:val="0"/>
                      <w:sz w:val="21"/>
                      <w:szCs w:val="21"/>
                    </w:rPr>
                    <w:t>保护措施，防止对区域生态功能产生不良环境影响。</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涉及油气开采，项目涉及的环境管控单元为“YS5117022320001通川区大气环境布局敏感重点管控区”、“YS5117023210004长滩河-通川区-控制单元”、“ZH51170220004通川区要素重点管控单元”，根据后文分析可知，项目符合各环境管控单元管控要求。项目不涉及油气开采，项目施工期间各污染物均可得到有效治理，施工结束后对临时用地进行复垦复绿，项目建设不会降低区域生态系统结构稳定性，不会导致区域生态功能退化</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5</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五）加强矿山生态修复和环境治理。结合区域生态环境质量改善目标和主要生态环境问题，分区域、分矿种确定矿山生态修复和环境治理总体要求，将规划任务分解细化到具体矿区、矿山，确保“十四五”规划期矿山生态修复治理面积不小于</w:t>
                  </w:r>
                  <w:r>
                    <w:rPr>
                      <w:snapToGrid w:val="0"/>
                      <w:kern w:val="0"/>
                      <w:sz w:val="21"/>
                      <w:szCs w:val="21"/>
                    </w:rPr>
                    <w:t>2000</w:t>
                  </w:r>
                  <w:r>
                    <w:rPr>
                      <w:rFonts w:hint="eastAsia"/>
                      <w:snapToGrid w:val="0"/>
                      <w:kern w:val="0"/>
                      <w:sz w:val="21"/>
                      <w:szCs w:val="21"/>
                    </w:rPr>
                    <w:t>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涉及油气开采，不涉及矿山建设及矿山关闭，不属于可能造成重金属污染等环境问题的攀西地区磷矿、铅锌矿、钒钛磁铁矿、稀土等矿区。项目位于达州市通川区，不属于阿坝州及川南喀斯特地貌发育地区。项目拟采取分区防渗措施防止地下水污染</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2"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snapToGrid w:val="0"/>
                      <w:kern w:val="0"/>
                      <w:sz w:val="21"/>
                      <w:szCs w:val="21"/>
                    </w:rPr>
                    <w:t>6</w:t>
                  </w:r>
                </w:p>
              </w:tc>
              <w:tc>
                <w:tcPr>
                  <w:tcW w:w="3928"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rPr>
                      <w:snapToGrid w:val="0"/>
                      <w:kern w:val="0"/>
                      <w:sz w:val="21"/>
                      <w:szCs w:val="21"/>
                    </w:rPr>
                  </w:pPr>
                  <w:r>
                    <w:rPr>
                      <w:snapToGrid w:val="0"/>
                      <w:kern w:val="0"/>
                      <w:sz w:val="21"/>
                      <w:szCs w:val="21"/>
                    </w:rPr>
                    <w:t>(</w:t>
                  </w:r>
                  <w:r>
                    <w:rPr>
                      <w:rFonts w:hint="eastAsia"/>
                      <w:snapToGrid w:val="0"/>
                      <w:kern w:val="0"/>
                      <w:sz w:val="21"/>
                      <w:szCs w:val="21"/>
                    </w:rPr>
                    <w:t>六</w:t>
                  </w:r>
                  <w:r>
                    <w:rPr>
                      <w:snapToGrid w:val="0"/>
                      <w:kern w:val="0"/>
                      <w:sz w:val="21"/>
                      <w:szCs w:val="21"/>
                    </w:rPr>
                    <w:t>)</w:t>
                  </w:r>
                  <w:r>
                    <w:rPr>
                      <w:rFonts w:hint="eastAsia"/>
                      <w:snapToGrid w:val="0"/>
                      <w:kern w:val="0"/>
                      <w:sz w:val="21"/>
                      <w:szCs w:val="21"/>
                    </w:rPr>
                    <w:t>加强生态环境保护监测和预警。结合生态保护、饮用水水源保护区及水环境功能区水质保护及改善要求、土壤污染防治目标等，推进重点矿区建立生态、地表水、地下水、土壤等环境要素的长期监测监控体系，在用尾矿库</w:t>
                  </w:r>
                  <w:r>
                    <w:rPr>
                      <w:snapToGrid w:val="0"/>
                      <w:kern w:val="0"/>
                      <w:sz w:val="21"/>
                      <w:szCs w:val="21"/>
                    </w:rPr>
                    <w:t>100%</w:t>
                  </w:r>
                  <w:r>
                    <w:rPr>
                      <w:rFonts w:hint="eastAsia"/>
                      <w:snapToGrid w:val="0"/>
                      <w:kern w:val="0"/>
                      <w:sz w:val="21"/>
                      <w:szCs w:val="21"/>
                    </w:rPr>
                    <w:t>安装在线监测装置，明确责任主体、强化资金保障。组织开展主要矿种集中开采区域生态修复效果评估，并根据监测和评估结果增加或优化必要的保护措施。针对地表水环境及土壤环境累积影响、地下水环境质量下降、生态退化等情形，建立预警机制。</w:t>
                  </w:r>
                </w:p>
              </w:tc>
              <w:tc>
                <w:tcPr>
                  <w:tcW w:w="2225" w:type="dxa"/>
                  <w:tcBorders>
                    <w:top w:val="single" w:color="auto" w:sz="4" w:space="0"/>
                    <w:left w:val="single" w:color="auto" w:sz="4" w:space="0"/>
                    <w:bottom w:val="single" w:color="auto" w:sz="4" w:space="0"/>
                    <w:right w:val="single" w:color="auto" w:sz="4"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本项目为页岩油勘探项目，不涉及油气开采。项目选址不在饮用水水源保护区范围内，评价针对钻井施工可能造成的地下水、土壤污染根据相关规范提出了监测计划</w:t>
                  </w:r>
                </w:p>
              </w:tc>
              <w:tc>
                <w:tcPr>
                  <w:tcW w:w="941" w:type="dxa"/>
                  <w:tcBorders>
                    <w:top w:val="single" w:color="auto" w:sz="4" w:space="0"/>
                    <w:left w:val="single" w:color="auto" w:sz="4" w:space="0"/>
                    <w:bottom w:val="single" w:color="auto" w:sz="4" w:space="0"/>
                    <w:right w:val="single" w:color="auto" w:sz="2" w:space="0"/>
                  </w:tcBorders>
                  <w:vAlign w:val="center"/>
                </w:tcPr>
                <w:p>
                  <w:pPr>
                    <w:widowControl/>
                    <w:tabs>
                      <w:tab w:val="left" w:pos="377"/>
                    </w:tabs>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bl>
          <w:p>
            <w:pPr>
              <w:autoSpaceDE w:val="0"/>
              <w:autoSpaceDN w:val="0"/>
              <w:adjustRightInd w:val="0"/>
              <w:snapToGrid w:val="0"/>
              <w:ind w:firstLine="420"/>
              <w:jc w:val="left"/>
              <w:rPr>
                <w:kern w:val="0"/>
                <w:sz w:val="21"/>
                <w:szCs w:val="21"/>
              </w:rPr>
            </w:pPr>
            <w:r>
              <w:rPr>
                <w:rFonts w:hint="eastAsia"/>
                <w:snapToGrid w:val="0"/>
                <w:kern w:val="0"/>
                <w:sz w:val="21"/>
                <w:szCs w:val="21"/>
              </w:rPr>
              <w:t>综上，本项目建设符合《关于</w:t>
            </w:r>
            <w:r>
              <w:rPr>
                <w:snapToGrid w:val="0"/>
                <w:kern w:val="0"/>
                <w:sz w:val="21"/>
                <w:szCs w:val="21"/>
              </w:rPr>
              <w:t>&lt;</w:t>
            </w:r>
            <w:r>
              <w:rPr>
                <w:rFonts w:hint="eastAsia"/>
                <w:snapToGrid w:val="0"/>
                <w:kern w:val="0"/>
                <w:sz w:val="21"/>
                <w:szCs w:val="21"/>
              </w:rPr>
              <w:t>四川省矿产资源规划（</w:t>
            </w:r>
            <w:r>
              <w:rPr>
                <w:snapToGrid w:val="0"/>
                <w:kern w:val="0"/>
                <w:sz w:val="21"/>
                <w:szCs w:val="21"/>
              </w:rPr>
              <w:t>2021-2025</w:t>
            </w:r>
            <w:r>
              <w:rPr>
                <w:rFonts w:hint="eastAsia"/>
                <w:snapToGrid w:val="0"/>
                <w:kern w:val="0"/>
                <w:sz w:val="21"/>
                <w:szCs w:val="21"/>
              </w:rPr>
              <w:t>年）环境影响报告书</w:t>
            </w:r>
            <w:r>
              <w:rPr>
                <w:snapToGrid w:val="0"/>
                <w:kern w:val="0"/>
                <w:sz w:val="21"/>
                <w:szCs w:val="21"/>
              </w:rPr>
              <w:t>&gt;</w:t>
            </w:r>
            <w:r>
              <w:rPr>
                <w:rFonts w:hint="eastAsia"/>
                <w:snapToGrid w:val="0"/>
                <w:kern w:val="0"/>
                <w:sz w:val="21"/>
                <w:szCs w:val="21"/>
              </w:rPr>
              <w:t>的审查意见》（环审〔</w:t>
            </w:r>
            <w:r>
              <w:rPr>
                <w:snapToGrid w:val="0"/>
                <w:kern w:val="0"/>
                <w:sz w:val="21"/>
                <w:szCs w:val="21"/>
              </w:rPr>
              <w:t>2022</w:t>
            </w:r>
            <w:r>
              <w:rPr>
                <w:rFonts w:hint="eastAsia"/>
                <w:snapToGrid w:val="0"/>
                <w:kern w:val="0"/>
                <w:sz w:val="21"/>
                <w:szCs w:val="21"/>
              </w:rPr>
              <w:t>〕</w:t>
            </w:r>
            <w:r>
              <w:rPr>
                <w:snapToGrid w:val="0"/>
                <w:kern w:val="0"/>
                <w:sz w:val="21"/>
                <w:szCs w:val="21"/>
              </w:rPr>
              <w:t>105</w:t>
            </w:r>
            <w:r>
              <w:rPr>
                <w:rFonts w:hint="eastAsia"/>
                <w:snapToGrid w:val="0"/>
                <w:kern w:val="0"/>
                <w:sz w:val="21"/>
                <w:szCs w:val="21"/>
              </w:rPr>
              <w:t>号）环境影响报告书》中相关要求。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8" w:type="pct"/>
            <w:tcMar>
              <w:top w:w="16" w:type="dxa"/>
              <w:left w:w="16" w:type="dxa"/>
              <w:right w:w="16" w:type="dxa"/>
            </w:tcMar>
            <w:vAlign w:val="center"/>
          </w:tcPr>
          <w:p>
            <w:pPr>
              <w:autoSpaceDE w:val="0"/>
              <w:autoSpaceDN w:val="0"/>
              <w:adjustRightInd w:val="0"/>
              <w:snapToGrid w:val="0"/>
              <w:ind w:firstLine="0" w:firstLineChars="0"/>
              <w:jc w:val="center"/>
              <w:rPr>
                <w:kern w:val="0"/>
                <w:sz w:val="21"/>
                <w:szCs w:val="21"/>
              </w:rPr>
            </w:pPr>
            <w:bookmarkStart w:id="2" w:name="_Hlk56690880"/>
            <w:r>
              <w:rPr>
                <w:kern w:val="0"/>
                <w:sz w:val="21"/>
                <w:szCs w:val="21"/>
              </w:rPr>
              <w:t>其他符合性分析</w:t>
            </w:r>
            <w:bookmarkEnd w:id="2"/>
          </w:p>
        </w:tc>
        <w:tc>
          <w:tcPr>
            <w:tcW w:w="4202" w:type="pct"/>
            <w:gridSpan w:val="4"/>
            <w:tcMar>
              <w:top w:w="16" w:type="dxa"/>
              <w:left w:w="16" w:type="dxa"/>
              <w:right w:w="16" w:type="dxa"/>
            </w:tcMar>
            <w:vAlign w:val="center"/>
          </w:tcPr>
          <w:p>
            <w:pPr>
              <w:autoSpaceDE w:val="0"/>
              <w:autoSpaceDN w:val="0"/>
              <w:adjustRightInd w:val="0"/>
              <w:snapToGrid w:val="0"/>
              <w:ind w:firstLine="422"/>
              <w:rPr>
                <w:b/>
                <w:snapToGrid w:val="0"/>
                <w:kern w:val="0"/>
                <w:sz w:val="21"/>
                <w:szCs w:val="21"/>
              </w:rPr>
            </w:pPr>
            <w:r>
              <w:rPr>
                <w:rFonts w:hAnsi="宋体"/>
                <w:b/>
                <w:snapToGrid w:val="0"/>
                <w:kern w:val="0"/>
                <w:sz w:val="21"/>
                <w:szCs w:val="21"/>
              </w:rPr>
              <w:t>4、与</w:t>
            </w:r>
            <w:r>
              <w:rPr>
                <w:b/>
                <w:snapToGrid w:val="0"/>
                <w:kern w:val="0"/>
                <w:sz w:val="21"/>
                <w:szCs w:val="21"/>
              </w:rPr>
              <w:t>“</w:t>
            </w:r>
            <w:r>
              <w:rPr>
                <w:rFonts w:hAnsi="宋体"/>
                <w:b/>
                <w:snapToGrid w:val="0"/>
                <w:kern w:val="0"/>
                <w:sz w:val="21"/>
                <w:szCs w:val="21"/>
              </w:rPr>
              <w:t>三线一单</w:t>
            </w:r>
            <w:r>
              <w:rPr>
                <w:b/>
                <w:snapToGrid w:val="0"/>
                <w:kern w:val="0"/>
                <w:sz w:val="21"/>
                <w:szCs w:val="21"/>
              </w:rPr>
              <w:t>”</w:t>
            </w:r>
            <w:r>
              <w:rPr>
                <w:rFonts w:hAnsi="宋体"/>
                <w:b/>
                <w:snapToGrid w:val="0"/>
                <w:kern w:val="0"/>
                <w:sz w:val="21"/>
                <w:szCs w:val="21"/>
              </w:rPr>
              <w:t>的符合性分析</w:t>
            </w:r>
          </w:p>
          <w:p>
            <w:pPr>
              <w:autoSpaceDE w:val="0"/>
              <w:autoSpaceDN w:val="0"/>
              <w:adjustRightInd w:val="0"/>
              <w:snapToGrid w:val="0"/>
              <w:ind w:firstLine="422"/>
              <w:rPr>
                <w:rFonts w:hAnsi="宋体"/>
                <w:b/>
                <w:snapToGrid w:val="0"/>
                <w:kern w:val="0"/>
                <w:sz w:val="21"/>
                <w:szCs w:val="21"/>
              </w:rPr>
            </w:pPr>
            <w:r>
              <w:rPr>
                <w:rFonts w:hint="eastAsia" w:hAnsi="宋体"/>
                <w:b/>
                <w:snapToGrid w:val="0"/>
                <w:kern w:val="0"/>
                <w:sz w:val="21"/>
                <w:szCs w:val="21"/>
              </w:rPr>
              <w:t>（1）生态保护红线</w:t>
            </w:r>
          </w:p>
          <w:p>
            <w:pPr>
              <w:autoSpaceDE w:val="0"/>
              <w:autoSpaceDN w:val="0"/>
              <w:adjustRightInd w:val="0"/>
              <w:snapToGrid w:val="0"/>
              <w:ind w:firstLine="420"/>
              <w:jc w:val="left"/>
              <w:rPr>
                <w:snapToGrid w:val="0"/>
                <w:kern w:val="0"/>
                <w:sz w:val="21"/>
                <w:szCs w:val="21"/>
              </w:rPr>
            </w:pPr>
            <w:r>
              <w:rPr>
                <w:rFonts w:hint="eastAsia" w:hAnsi="宋体"/>
                <w:snapToGrid w:val="0"/>
                <w:kern w:val="0"/>
                <w:sz w:val="21"/>
                <w:szCs w:val="21"/>
              </w:rPr>
              <w:t>根据《达州市人民政府关于落实生态保护红线、环境质量底线、资源利用上线制定生态环境准入清单实施生态环境分区管控的通知》（达市府发〔2021〕17号）</w:t>
            </w:r>
            <w:r>
              <w:rPr>
                <w:rFonts w:hAnsi="宋体"/>
                <w:snapToGrid w:val="0"/>
                <w:kern w:val="0"/>
                <w:sz w:val="21"/>
                <w:szCs w:val="21"/>
              </w:rPr>
              <w:t>，</w:t>
            </w:r>
            <w:r>
              <w:rPr>
                <w:rFonts w:hint="eastAsia" w:hAnsi="宋体"/>
                <w:snapToGrid w:val="0"/>
                <w:kern w:val="0"/>
                <w:sz w:val="21"/>
                <w:szCs w:val="21"/>
              </w:rPr>
              <w:t>拟建项目</w:t>
            </w:r>
            <w:r>
              <w:rPr>
                <w:rFonts w:hAnsi="宋体"/>
                <w:snapToGrid w:val="0"/>
                <w:kern w:val="0"/>
                <w:sz w:val="21"/>
                <w:szCs w:val="21"/>
              </w:rPr>
              <w:t>未处于</w:t>
            </w:r>
            <w:r>
              <w:rPr>
                <w:rFonts w:hint="eastAsia" w:hAnsi="宋体"/>
                <w:snapToGrid w:val="0"/>
                <w:kern w:val="0"/>
                <w:sz w:val="21"/>
                <w:szCs w:val="21"/>
              </w:rPr>
              <w:t>达州市</w:t>
            </w:r>
            <w:r>
              <w:rPr>
                <w:rFonts w:hAnsi="宋体"/>
                <w:snapToGrid w:val="0"/>
                <w:kern w:val="0"/>
                <w:sz w:val="21"/>
                <w:szCs w:val="21"/>
              </w:rPr>
              <w:t>生态保护红线分布范围内，满足生态保护红线要求</w:t>
            </w:r>
            <w:r>
              <w:rPr>
                <w:rFonts w:hint="eastAsia"/>
                <w:snapToGrid w:val="0"/>
                <w:kern w:val="0"/>
                <w:sz w:val="21"/>
                <w:szCs w:val="21"/>
              </w:rPr>
              <w:t>。</w:t>
            </w:r>
          </w:p>
          <w:p>
            <w:pPr>
              <w:autoSpaceDE w:val="0"/>
              <w:autoSpaceDN w:val="0"/>
              <w:adjustRightInd w:val="0"/>
              <w:snapToGrid w:val="0"/>
              <w:ind w:firstLine="0" w:firstLineChars="0"/>
              <w:jc w:val="center"/>
              <w:rPr>
                <w:snapToGrid w:val="0"/>
                <w:kern w:val="0"/>
                <w:sz w:val="21"/>
                <w:szCs w:val="21"/>
              </w:rPr>
            </w:pPr>
            <w:r>
              <w:rPr>
                <w:snapToGrid w:val="0"/>
                <w:kern w:val="0"/>
                <w:sz w:val="21"/>
                <w:szCs w:val="21"/>
              </w:rPr>
              <w:pict>
                <v:shape id="线形标注 1 14" o:spid="_x0000_s1026" o:spt="47" type="#_x0000_t47" style="position:absolute;left:0pt;margin-left:48.8pt;margin-top:87.3pt;height:22pt;width:75.55pt;z-index:25166131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" adj="20974,38400,14736,21815">
                  <v:path arrowok="t"/>
                  <v:fill on="t" focussize="0,0"/>
                  <v:stroke weight="1pt" color="#FF0000" joinstyle="miter"/>
                  <v:imagedata o:title=""/>
                  <o:lock v:ext="edit"/>
                  <o:callout minusx="t" minusy="t"/>
                  <v:textbox>
                    <w:txbxContent>
                      <w:p>
                        <w:pPr>
                          <w:ind w:firstLine="0" w:firstLineChars="0"/>
                          <w:jc w:val="center"/>
                          <w:rPr>
                            <w:color w:val="FF0000"/>
                          </w:rPr>
                        </w:pPr>
                        <w:r>
                          <w:rPr>
                            <w:rFonts w:hint="eastAsia"/>
                            <w:color w:val="FF0000"/>
                          </w:rPr>
                          <w:t>项目</w:t>
                        </w:r>
                        <w:r>
                          <w:rPr>
                            <w:color w:val="FF0000"/>
                          </w:rPr>
                          <w:t>所在地</w:t>
                        </w:r>
                      </w:p>
                    </w:txbxContent>
                  </v:textbox>
                </v:shape>
              </w:pict>
            </w:r>
            <w:r>
              <w:rPr>
                <w:snapToGrid w:val="0"/>
                <w:kern w:val="0"/>
                <w:sz w:val="21"/>
                <w:szCs w:val="21"/>
              </w:rPr>
              <w:pict>
                <v:shape id="椭圆 9" o:spid="_x0000_s1037" o:spt="3" type="#_x0000_t3" style="position:absolute;left:0pt;flip:x;margin-left:120.85pt;margin-top:125.45pt;height:2.8pt;width:2.8pt;z-index:251662336;v-text-anchor:middle;mso-width-relative:margin;mso-height-relative:margin;"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">
                  <v:path/>
                  <v:fill on="t" focussize="0,0"/>
                  <v:stroke weight="1pt" color="#FF0000" joinstyle="miter"/>
                  <v:imagedata o:title=""/>
                  <o:lock v:ext="edit"/>
                </v:shape>
              </w:pict>
            </w:r>
            <w:r>
              <w:rPr>
                <w:snapToGrid w:val="0"/>
                <w:kern w:val="0"/>
                <w:sz w:val="21"/>
                <w:szCs w:val="21"/>
              </w:rPr>
              <w:drawing>
                <wp:inline distT="0" distB="0" distL="0" distR="0">
                  <wp:extent cx="4679315" cy="3167380"/>
                  <wp:effectExtent l="0" t="0" r="6985" b="0"/>
                  <wp:docPr id="18" name="图片 18" descr="G:\公司\1环评\2024\大庆油田\平安7井\7资料\达州市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公司\1环评\2024\大庆油田\平安7井\7资料\达州市生态保护红线.jpg"/>
                          <pic:cNvPicPr>
                            <a:picLocks noChangeAspect="1" noChangeArrowheads="1"/>
                          </pic:cNvPicPr>
                        </pic:nvPicPr>
                        <pic:blipFill>
                          <a:blip r:embed="rId12" cstate="print">
                            <a:extLst>
                              <a:ext uri="{28A0092B-C50C-407E-A947-70E740481C1C}">
                                <a14:useLocalDpi xmlns:a14="http://schemas.microsoft.com/office/drawing/2010/main" val="0"/>
                              </a:ext>
                            </a:extLst>
                          </a:blip>
                          <a:srcRect b="4022"/>
                          <a:stretch>
                            <a:fillRect/>
                          </a:stretch>
                        </pic:blipFill>
                        <pic:spPr>
                          <a:xfrm>
                            <a:off x="0" y="0"/>
                            <a:ext cx="4680000" cy="3168207"/>
                          </a:xfrm>
                          <a:prstGeom prst="rect">
                            <a:avLst/>
                          </a:prstGeom>
                          <a:noFill/>
                          <a:ln>
                            <a:noFill/>
                          </a:ln>
                        </pic:spPr>
                      </pic:pic>
                    </a:graphicData>
                  </a:graphic>
                </wp:inline>
              </w:drawing>
            </w:r>
          </w:p>
          <w:p>
            <w:pPr>
              <w:autoSpaceDE w:val="0"/>
              <w:autoSpaceDN w:val="0"/>
              <w:adjustRightInd w:val="0"/>
              <w:snapToGrid w:val="0"/>
              <w:ind w:firstLine="422"/>
              <w:jc w:val="center"/>
              <w:rPr>
                <w:b/>
                <w:snapToGrid w:val="0"/>
                <w:kern w:val="0"/>
                <w:sz w:val="21"/>
                <w:szCs w:val="21"/>
              </w:rPr>
            </w:pPr>
            <w:r>
              <w:rPr>
                <w:rFonts w:hint="eastAsia"/>
                <w:b/>
                <w:snapToGrid w:val="0"/>
                <w:kern w:val="0"/>
                <w:sz w:val="21"/>
                <w:szCs w:val="21"/>
              </w:rPr>
              <w:t xml:space="preserve">图1-1 </w:t>
            </w:r>
            <w:r>
              <w:rPr>
                <w:b/>
                <w:snapToGrid w:val="0"/>
                <w:kern w:val="0"/>
                <w:sz w:val="21"/>
                <w:szCs w:val="21"/>
              </w:rPr>
              <w:t xml:space="preserve"> </w:t>
            </w:r>
            <w:r>
              <w:rPr>
                <w:rFonts w:hint="eastAsia"/>
                <w:b/>
                <w:snapToGrid w:val="0"/>
                <w:kern w:val="0"/>
                <w:sz w:val="21"/>
                <w:szCs w:val="21"/>
              </w:rPr>
              <w:t>达州市生态保护红线图</w:t>
            </w:r>
          </w:p>
          <w:p>
            <w:pPr>
              <w:autoSpaceDE w:val="0"/>
              <w:autoSpaceDN w:val="0"/>
              <w:adjustRightInd w:val="0"/>
              <w:snapToGrid w:val="0"/>
              <w:ind w:firstLine="422"/>
              <w:rPr>
                <w:rFonts w:hAnsi="宋体"/>
                <w:b/>
                <w:snapToGrid w:val="0"/>
                <w:kern w:val="0"/>
                <w:sz w:val="21"/>
                <w:szCs w:val="21"/>
              </w:rPr>
            </w:pPr>
            <w:r>
              <w:rPr>
                <w:rFonts w:hint="eastAsia" w:hAnsi="宋体"/>
                <w:b/>
                <w:snapToGrid w:val="0"/>
                <w:kern w:val="0"/>
                <w:sz w:val="21"/>
                <w:szCs w:val="21"/>
              </w:rPr>
              <w:t>（</w:t>
            </w:r>
            <w:r>
              <w:rPr>
                <w:rFonts w:hAnsi="宋体"/>
                <w:b/>
                <w:snapToGrid w:val="0"/>
                <w:kern w:val="0"/>
                <w:sz w:val="21"/>
                <w:szCs w:val="21"/>
              </w:rPr>
              <w:t>2</w:t>
            </w:r>
            <w:r>
              <w:rPr>
                <w:rFonts w:hint="eastAsia" w:hAnsi="宋体"/>
                <w:b/>
                <w:snapToGrid w:val="0"/>
                <w:kern w:val="0"/>
                <w:sz w:val="21"/>
                <w:szCs w:val="21"/>
              </w:rPr>
              <w:t>）环境管控单元</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根据《达州市人民政府关于落实生态保护红线、环境质量底线、资源利用上线制定生态环境准入清单实施生态环境分区管控的通知》（达市府发〔2021〕17号），达州市全市行政区划从生态环境保护角度划分为优先保护、重点管控和一般管控三类环境管控单元。</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1．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2．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3．一般管控单元。除优先保护单元和重点管控单元之外的其他区域，全市共划分一般管控单元7个。执行区域生态环境保护的基本要求，重点加强农业、生活等领域污染治理。</w:t>
            </w:r>
          </w:p>
          <w:p>
            <w:pPr>
              <w:autoSpaceDE w:val="0"/>
              <w:autoSpaceDN w:val="0"/>
              <w:adjustRightInd w:val="0"/>
              <w:snapToGrid w:val="0"/>
              <w:ind w:firstLine="0" w:firstLineChars="0"/>
              <w:jc w:val="center"/>
              <w:rPr>
                <w:snapToGrid w:val="0"/>
                <w:kern w:val="0"/>
                <w:sz w:val="21"/>
                <w:szCs w:val="21"/>
              </w:rPr>
            </w:pPr>
            <w:r>
              <w:rPr>
                <w:snapToGrid w:val="0"/>
                <w:kern w:val="0"/>
                <w:sz w:val="21"/>
                <w:szCs w:val="21"/>
              </w:rPr>
              <w:pict>
                <v:shape id="椭圆 15" o:spid="_x0000_s1036" o:spt="3" type="#_x0000_t3" style="position:absolute;left:0pt;flip:x;margin-left:134.55pt;margin-top:123pt;height:2.8pt;width:2.8pt;z-index:251659264;v-text-anchor:middle;mso-width-relative:margin;mso-height-relative:margin;"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">
                  <v:path/>
                  <v:fill on="t" focussize="0,0"/>
                  <v:stroke weight="1pt" color="#FF0000" joinstyle="miter"/>
                  <v:imagedata o:title=""/>
                  <o:lock v:ext="edit"/>
                </v:shape>
              </w:pict>
            </w:r>
            <w:r>
              <w:rPr>
                <w:snapToGrid w:val="0"/>
                <w:kern w:val="0"/>
                <w:sz w:val="21"/>
                <w:szCs w:val="21"/>
              </w:rPr>
              <w:pict>
                <v:shape id="线形标注 1 30" o:spid="_x0000_s1027" o:spt="47" type="#_x0000_t47" style="position:absolute;left:0pt;margin-left:187.8pt;margin-top:91.25pt;height:22pt;width:68.9pt;z-index:25166028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" adj="-16078,31583,33,8939">
                  <v:path arrowok="t"/>
                  <v:fill on="t" focussize="0,0"/>
                  <v:stroke weight="1pt" color="#FF0000" joinstyle="miter"/>
                  <v:imagedata o:title=""/>
                  <o:lock v:ext="edit"/>
                  <o:callout minusy="t"/>
                  <v:textbox>
                    <w:txbxContent>
                      <w:p>
                        <w:pPr>
                          <w:ind w:firstLine="480"/>
                          <w:jc w:val="center"/>
                          <w:rPr>
                            <w:color w:val="FF0000"/>
                          </w:rPr>
                        </w:pPr>
                        <w:r>
                          <w:rPr>
                            <w:rFonts w:hint="eastAsia"/>
                            <w:color w:val="FF0000"/>
                          </w:rPr>
                          <w:t>项目</w:t>
                        </w:r>
                        <w:r>
                          <w:rPr>
                            <w:color w:val="FF0000"/>
                          </w:rPr>
                          <w:t>所在地</w:t>
                        </w:r>
                      </w:p>
                    </w:txbxContent>
                  </v:textbox>
                </v:shape>
              </w:pict>
            </w:r>
            <w:r>
              <w:rPr>
                <w:snapToGrid w:val="0"/>
                <w:kern w:val="0"/>
                <w:sz w:val="21"/>
                <w:szCs w:val="21"/>
              </w:rPr>
              <w:drawing>
                <wp:inline distT="0" distB="0" distL="0" distR="0">
                  <wp:extent cx="4679950" cy="3311525"/>
                  <wp:effectExtent l="0" t="0" r="6350" b="3175"/>
                  <wp:docPr id="19" name="图片 19" descr="G:\环评手册\6三线一单\四川省\达州市\达州市环境管控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环评手册\6三线一单\四川省\达州市\达州市环境管控单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0000" cy="3312075"/>
                          </a:xfrm>
                          <a:prstGeom prst="rect">
                            <a:avLst/>
                          </a:prstGeom>
                          <a:noFill/>
                          <a:ln>
                            <a:noFill/>
                          </a:ln>
                        </pic:spPr>
                      </pic:pic>
                    </a:graphicData>
                  </a:graphic>
                </wp:inline>
              </w:drawing>
            </w:r>
          </w:p>
          <w:p>
            <w:pPr>
              <w:autoSpaceDE w:val="0"/>
              <w:autoSpaceDN w:val="0"/>
              <w:adjustRightInd w:val="0"/>
              <w:snapToGrid w:val="0"/>
              <w:ind w:firstLine="422"/>
              <w:jc w:val="center"/>
              <w:rPr>
                <w:b/>
                <w:snapToGrid w:val="0"/>
                <w:kern w:val="0"/>
                <w:sz w:val="21"/>
                <w:szCs w:val="21"/>
              </w:rPr>
            </w:pPr>
            <w:r>
              <w:rPr>
                <w:b/>
                <w:snapToGrid w:val="0"/>
                <w:kern w:val="0"/>
                <w:sz w:val="21"/>
                <w:szCs w:val="21"/>
              </w:rPr>
              <w:t xml:space="preserve">图1-2  </w:t>
            </w:r>
            <w:r>
              <w:rPr>
                <w:rFonts w:hint="eastAsia"/>
                <w:b/>
                <w:snapToGrid w:val="0"/>
                <w:kern w:val="0"/>
                <w:sz w:val="21"/>
                <w:szCs w:val="21"/>
              </w:rPr>
              <w:t>达州市</w:t>
            </w:r>
            <w:r>
              <w:rPr>
                <w:b/>
                <w:snapToGrid w:val="0"/>
                <w:kern w:val="0"/>
                <w:sz w:val="21"/>
                <w:szCs w:val="21"/>
              </w:rPr>
              <w:t>环境管控单元分布图</w:t>
            </w:r>
          </w:p>
          <w:p>
            <w:pPr>
              <w:autoSpaceDE w:val="0"/>
              <w:autoSpaceDN w:val="0"/>
              <w:adjustRightInd w:val="0"/>
              <w:snapToGrid w:val="0"/>
              <w:ind w:firstLine="420"/>
              <w:rPr>
                <w:bCs/>
                <w:snapToGrid w:val="0"/>
                <w:kern w:val="0"/>
                <w:sz w:val="21"/>
                <w:szCs w:val="21"/>
              </w:rPr>
            </w:pPr>
            <w:r>
              <w:rPr>
                <w:rFonts w:hint="eastAsia"/>
                <w:bCs/>
                <w:snapToGrid w:val="0"/>
                <w:kern w:val="0"/>
                <w:sz w:val="21"/>
                <w:szCs w:val="21"/>
              </w:rPr>
              <w:t>拟建项目位于</w:t>
            </w:r>
            <w:r>
              <w:rPr>
                <w:rFonts w:hint="eastAsia" w:cs="Arial"/>
                <w:snapToGrid w:val="0"/>
                <w:kern w:val="0"/>
                <w:sz w:val="21"/>
                <w:szCs w:val="21"/>
              </w:rPr>
              <w:t>四川省达州市通川区北山镇石龙村2组</w:t>
            </w:r>
            <w:r>
              <w:rPr>
                <w:rFonts w:hint="eastAsia" w:hAnsi="宋体"/>
                <w:snapToGrid w:val="0"/>
                <w:kern w:val="0"/>
                <w:sz w:val="21"/>
                <w:szCs w:val="21"/>
              </w:rPr>
              <w:t>，</w:t>
            </w:r>
            <w:r>
              <w:rPr>
                <w:rFonts w:hint="eastAsia"/>
                <w:bCs/>
                <w:snapToGrid w:val="0"/>
                <w:kern w:val="0"/>
                <w:sz w:val="21"/>
                <w:szCs w:val="21"/>
              </w:rPr>
              <w:t>属于达州市环境综合管控单元要素重点管控单元。</w:t>
            </w:r>
            <w:r>
              <w:rPr>
                <w:rFonts w:hint="eastAsia" w:hAnsi="宋体"/>
                <w:snapToGrid w:val="0"/>
                <w:kern w:val="0"/>
                <w:sz w:val="21"/>
                <w:szCs w:val="21"/>
              </w:rPr>
              <w:t>根据《达州市人民政府关于落实生态保护红线、环境质量底线、资源利用上线制定生态环境准入清单实施生态环境分区管控的通知》（达市府发〔2021〕17号）</w:t>
            </w:r>
            <w:r>
              <w:rPr>
                <w:rFonts w:hint="eastAsia"/>
                <w:bCs/>
                <w:snapToGrid w:val="0"/>
                <w:kern w:val="0"/>
                <w:sz w:val="21"/>
                <w:szCs w:val="21"/>
              </w:rPr>
              <w:t>中相关内容并结合四川政务服务网“三线一单”符合性分析系统，本项目涉及</w:t>
            </w:r>
            <w:r>
              <w:rPr>
                <w:bCs/>
                <w:snapToGrid w:val="0"/>
                <w:kern w:val="0"/>
                <w:sz w:val="21"/>
                <w:szCs w:val="21"/>
              </w:rPr>
              <w:t>3</w:t>
            </w:r>
            <w:r>
              <w:rPr>
                <w:rFonts w:hint="eastAsia"/>
                <w:bCs/>
                <w:snapToGrid w:val="0"/>
                <w:kern w:val="0"/>
                <w:sz w:val="21"/>
                <w:szCs w:val="21"/>
              </w:rPr>
              <w:t>个环境管控单元具体如下：</w:t>
            </w:r>
          </w:p>
          <w:p>
            <w:pPr>
              <w:autoSpaceDE w:val="0"/>
              <w:autoSpaceDN w:val="0"/>
              <w:adjustRightInd w:val="0"/>
              <w:snapToGrid w:val="0"/>
              <w:ind w:firstLine="422"/>
              <w:jc w:val="center"/>
              <w:rPr>
                <w:b/>
                <w:snapToGrid w:val="0"/>
                <w:kern w:val="0"/>
                <w:sz w:val="21"/>
                <w:szCs w:val="21"/>
              </w:rPr>
            </w:pPr>
            <w:r>
              <w:rPr>
                <w:b/>
                <w:snapToGrid w:val="0"/>
                <w:kern w:val="0"/>
                <w:sz w:val="21"/>
                <w:szCs w:val="21"/>
              </w:rPr>
              <w:t>表1-4  本项目涉及环境管控单元表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459"/>
              <w:gridCol w:w="956"/>
              <w:gridCol w:w="956"/>
              <w:gridCol w:w="1006"/>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227"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环境管控单元编码</w:t>
                  </w:r>
                </w:p>
              </w:tc>
              <w:tc>
                <w:tcPr>
                  <w:tcW w:w="951"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环境管控单元名称</w:t>
                  </w:r>
                </w:p>
              </w:tc>
              <w:tc>
                <w:tcPr>
                  <w:tcW w:w="623"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所属市（州）</w:t>
                  </w:r>
                </w:p>
              </w:tc>
              <w:tc>
                <w:tcPr>
                  <w:tcW w:w="623"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所属区县</w:t>
                  </w:r>
                </w:p>
              </w:tc>
              <w:tc>
                <w:tcPr>
                  <w:tcW w:w="656"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准入清单类型</w:t>
                  </w:r>
                </w:p>
              </w:tc>
              <w:tc>
                <w:tcPr>
                  <w:tcW w:w="920" w:type="pct"/>
                  <w:vAlign w:val="center"/>
                </w:tcPr>
                <w:p>
                  <w:pPr>
                    <w:widowControl/>
                    <w:adjustRightInd w:val="0"/>
                    <w:snapToGrid w:val="0"/>
                    <w:spacing w:line="240" w:lineRule="auto"/>
                    <w:ind w:firstLine="0" w:firstLineChars="0"/>
                    <w:jc w:val="center"/>
                    <w:rPr>
                      <w:b/>
                      <w:bCs/>
                      <w:snapToGrid w:val="0"/>
                      <w:kern w:val="0"/>
                      <w:sz w:val="21"/>
                      <w:szCs w:val="21"/>
                    </w:rPr>
                  </w:pPr>
                  <w:r>
                    <w:rPr>
                      <w:b/>
                      <w:bCs/>
                      <w:snapToGrid w:val="0"/>
                      <w:kern w:val="0"/>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227" w:type="pct"/>
                  <w:vAlign w:val="center"/>
                </w:tcPr>
                <w:p>
                  <w:pPr>
                    <w:pStyle w:val="81"/>
                    <w:widowControl/>
                    <w:spacing w:line="240" w:lineRule="auto"/>
                    <w:ind w:firstLine="0" w:firstLineChars="0"/>
                    <w:jc w:val="center"/>
                    <w:rPr>
                      <w:rFonts w:eastAsia="宋体"/>
                      <w:sz w:val="21"/>
                    </w:rPr>
                  </w:pPr>
                  <w:r>
                    <w:rPr>
                      <w:rFonts w:eastAsia="宋体"/>
                      <w:sz w:val="21"/>
                    </w:rPr>
                    <w:t>YS5117022320001</w:t>
                  </w:r>
                </w:p>
              </w:tc>
              <w:tc>
                <w:tcPr>
                  <w:tcW w:w="951" w:type="pct"/>
                  <w:vAlign w:val="center"/>
                </w:tcPr>
                <w:p>
                  <w:pPr>
                    <w:pStyle w:val="81"/>
                    <w:widowControl/>
                    <w:spacing w:line="240" w:lineRule="auto"/>
                    <w:ind w:firstLine="0" w:firstLineChars="0"/>
                    <w:jc w:val="center"/>
                    <w:rPr>
                      <w:rFonts w:eastAsia="宋体"/>
                      <w:sz w:val="21"/>
                    </w:rPr>
                  </w:pPr>
                  <w:r>
                    <w:rPr>
                      <w:rFonts w:eastAsia="宋体"/>
                      <w:sz w:val="21"/>
                    </w:rPr>
                    <w:t>通川区大气环境布局敏感重点管控区</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达州市</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通川区</w:t>
                  </w:r>
                </w:p>
              </w:tc>
              <w:tc>
                <w:tcPr>
                  <w:tcW w:w="656" w:type="pct"/>
                  <w:vAlign w:val="center"/>
                </w:tcPr>
                <w:p>
                  <w:pPr>
                    <w:pStyle w:val="81"/>
                    <w:widowControl/>
                    <w:spacing w:line="240" w:lineRule="auto"/>
                    <w:ind w:firstLine="0" w:firstLineChars="0"/>
                    <w:jc w:val="center"/>
                    <w:rPr>
                      <w:rFonts w:eastAsia="宋体"/>
                      <w:sz w:val="21"/>
                    </w:rPr>
                  </w:pPr>
                  <w:r>
                    <w:rPr>
                      <w:rFonts w:eastAsia="宋体"/>
                      <w:sz w:val="21"/>
                    </w:rPr>
                    <w:t>大气环境管控分区</w:t>
                  </w:r>
                </w:p>
              </w:tc>
              <w:tc>
                <w:tcPr>
                  <w:tcW w:w="920" w:type="pct"/>
                  <w:vAlign w:val="center"/>
                </w:tcPr>
                <w:p>
                  <w:pPr>
                    <w:pStyle w:val="81"/>
                    <w:widowControl/>
                    <w:spacing w:line="240" w:lineRule="auto"/>
                    <w:ind w:firstLine="0" w:firstLineChars="0"/>
                    <w:jc w:val="center"/>
                    <w:rPr>
                      <w:rFonts w:eastAsia="宋体"/>
                      <w:sz w:val="21"/>
                    </w:rPr>
                  </w:pPr>
                  <w:r>
                    <w:rPr>
                      <w:rFonts w:eastAsia="宋体"/>
                      <w:sz w:val="21"/>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227" w:type="pct"/>
                  <w:vAlign w:val="center"/>
                </w:tcPr>
                <w:p>
                  <w:pPr>
                    <w:pStyle w:val="81"/>
                    <w:widowControl/>
                    <w:spacing w:line="240" w:lineRule="auto"/>
                    <w:ind w:firstLine="0" w:firstLineChars="0"/>
                    <w:jc w:val="center"/>
                    <w:rPr>
                      <w:rFonts w:eastAsia="宋体"/>
                      <w:sz w:val="21"/>
                    </w:rPr>
                  </w:pPr>
                  <w:r>
                    <w:rPr>
                      <w:rFonts w:eastAsia="宋体"/>
                      <w:sz w:val="21"/>
                    </w:rPr>
                    <w:t>YS5117023210004</w:t>
                  </w:r>
                </w:p>
              </w:tc>
              <w:tc>
                <w:tcPr>
                  <w:tcW w:w="951" w:type="pct"/>
                  <w:vAlign w:val="center"/>
                </w:tcPr>
                <w:p>
                  <w:pPr>
                    <w:pStyle w:val="81"/>
                    <w:widowControl/>
                    <w:spacing w:line="240" w:lineRule="auto"/>
                    <w:ind w:firstLine="0" w:firstLineChars="0"/>
                    <w:jc w:val="center"/>
                    <w:rPr>
                      <w:rFonts w:eastAsia="宋体"/>
                      <w:sz w:val="21"/>
                    </w:rPr>
                  </w:pPr>
                  <w:r>
                    <w:rPr>
                      <w:rFonts w:eastAsia="宋体"/>
                      <w:sz w:val="21"/>
                    </w:rPr>
                    <w:t>长滩河-通川区-控制单元</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达州市</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通川区</w:t>
                  </w:r>
                </w:p>
              </w:tc>
              <w:tc>
                <w:tcPr>
                  <w:tcW w:w="656" w:type="pct"/>
                  <w:vAlign w:val="center"/>
                </w:tcPr>
                <w:p>
                  <w:pPr>
                    <w:pStyle w:val="81"/>
                    <w:widowControl/>
                    <w:spacing w:line="240" w:lineRule="auto"/>
                    <w:ind w:firstLine="0" w:firstLineChars="0"/>
                    <w:jc w:val="center"/>
                    <w:rPr>
                      <w:rFonts w:eastAsia="宋体"/>
                      <w:sz w:val="21"/>
                    </w:rPr>
                  </w:pPr>
                  <w:r>
                    <w:rPr>
                      <w:rFonts w:eastAsia="宋体"/>
                      <w:sz w:val="21"/>
                    </w:rPr>
                    <w:t>水环境管控分区</w:t>
                  </w:r>
                </w:p>
              </w:tc>
              <w:tc>
                <w:tcPr>
                  <w:tcW w:w="920" w:type="pct"/>
                  <w:vAlign w:val="center"/>
                </w:tcPr>
                <w:p>
                  <w:pPr>
                    <w:pStyle w:val="81"/>
                    <w:widowControl/>
                    <w:spacing w:line="240" w:lineRule="auto"/>
                    <w:ind w:firstLine="0" w:firstLineChars="0"/>
                    <w:jc w:val="center"/>
                    <w:rPr>
                      <w:rFonts w:eastAsia="宋体"/>
                      <w:sz w:val="21"/>
                    </w:rPr>
                  </w:pPr>
                  <w:r>
                    <w:rPr>
                      <w:rFonts w:eastAsia="宋体"/>
                      <w:sz w:val="21"/>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227" w:type="pct"/>
                  <w:vAlign w:val="center"/>
                </w:tcPr>
                <w:p>
                  <w:pPr>
                    <w:pStyle w:val="81"/>
                    <w:widowControl/>
                    <w:spacing w:line="240" w:lineRule="auto"/>
                    <w:ind w:firstLine="0" w:firstLineChars="0"/>
                    <w:jc w:val="center"/>
                    <w:rPr>
                      <w:rFonts w:eastAsia="宋体"/>
                      <w:sz w:val="21"/>
                    </w:rPr>
                  </w:pPr>
                  <w:r>
                    <w:rPr>
                      <w:rFonts w:eastAsia="宋体"/>
                      <w:sz w:val="21"/>
                    </w:rPr>
                    <w:t>ZH51170220004</w:t>
                  </w:r>
                </w:p>
              </w:tc>
              <w:tc>
                <w:tcPr>
                  <w:tcW w:w="951" w:type="pct"/>
                  <w:vAlign w:val="center"/>
                </w:tcPr>
                <w:p>
                  <w:pPr>
                    <w:pStyle w:val="81"/>
                    <w:widowControl/>
                    <w:spacing w:line="240" w:lineRule="auto"/>
                    <w:ind w:firstLine="0" w:firstLineChars="0"/>
                    <w:jc w:val="center"/>
                    <w:rPr>
                      <w:rFonts w:eastAsia="宋体"/>
                      <w:sz w:val="21"/>
                    </w:rPr>
                  </w:pPr>
                  <w:r>
                    <w:rPr>
                      <w:rFonts w:eastAsia="宋体"/>
                      <w:sz w:val="21"/>
                    </w:rPr>
                    <w:t>通川区要素重点管控单元</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达州市</w:t>
                  </w:r>
                </w:p>
              </w:tc>
              <w:tc>
                <w:tcPr>
                  <w:tcW w:w="623" w:type="pct"/>
                  <w:vAlign w:val="center"/>
                </w:tcPr>
                <w:p>
                  <w:pPr>
                    <w:pStyle w:val="81"/>
                    <w:widowControl/>
                    <w:spacing w:line="240" w:lineRule="auto"/>
                    <w:ind w:firstLine="0" w:firstLineChars="0"/>
                    <w:jc w:val="center"/>
                    <w:rPr>
                      <w:rFonts w:eastAsia="宋体"/>
                      <w:sz w:val="21"/>
                    </w:rPr>
                  </w:pPr>
                  <w:r>
                    <w:rPr>
                      <w:rFonts w:eastAsia="宋体"/>
                      <w:sz w:val="21"/>
                    </w:rPr>
                    <w:t>通川区</w:t>
                  </w:r>
                </w:p>
              </w:tc>
              <w:tc>
                <w:tcPr>
                  <w:tcW w:w="656" w:type="pct"/>
                  <w:vAlign w:val="center"/>
                </w:tcPr>
                <w:p>
                  <w:pPr>
                    <w:pStyle w:val="81"/>
                    <w:widowControl/>
                    <w:spacing w:line="240" w:lineRule="auto"/>
                    <w:ind w:firstLine="0" w:firstLineChars="0"/>
                    <w:jc w:val="center"/>
                    <w:rPr>
                      <w:rFonts w:eastAsia="宋体"/>
                      <w:sz w:val="21"/>
                    </w:rPr>
                  </w:pPr>
                  <w:r>
                    <w:rPr>
                      <w:rFonts w:eastAsia="宋体"/>
                      <w:sz w:val="21"/>
                    </w:rPr>
                    <w:t>环境管控单元</w:t>
                  </w:r>
                </w:p>
              </w:tc>
              <w:tc>
                <w:tcPr>
                  <w:tcW w:w="920" w:type="pct"/>
                  <w:vAlign w:val="center"/>
                </w:tcPr>
                <w:p>
                  <w:pPr>
                    <w:pStyle w:val="81"/>
                    <w:widowControl/>
                    <w:spacing w:line="240" w:lineRule="auto"/>
                    <w:ind w:firstLine="0" w:firstLineChars="0"/>
                    <w:jc w:val="center"/>
                    <w:rPr>
                      <w:rFonts w:eastAsia="宋体"/>
                      <w:sz w:val="21"/>
                    </w:rPr>
                  </w:pPr>
                  <w:r>
                    <w:rPr>
                      <w:rFonts w:eastAsia="宋体"/>
                      <w:sz w:val="21"/>
                    </w:rPr>
                    <w:t>环境综合管控单元要素重点管控单元</w:t>
                  </w:r>
                </w:p>
              </w:tc>
            </w:tr>
          </w:tbl>
          <w:p>
            <w:pPr>
              <w:autoSpaceDE w:val="0"/>
              <w:autoSpaceDN w:val="0"/>
              <w:adjustRightInd w:val="0"/>
              <w:snapToGrid w:val="0"/>
              <w:ind w:firstLine="420"/>
              <w:rPr>
                <w:snapToGrid w:val="0"/>
                <w:kern w:val="0"/>
                <w:sz w:val="21"/>
                <w:szCs w:val="21"/>
              </w:rPr>
            </w:pPr>
            <w:r>
              <w:rPr>
                <w:snapToGrid w:val="0"/>
                <w:kern w:val="0"/>
                <w:sz w:val="21"/>
                <w:szCs w:val="21"/>
              </w:rPr>
              <w:t>本项目为生态影响类项目。按照四川省生态环境局《关于印发&lt;产业园区规划环评“三线一单”符合性分析技术要点（试行）&gt;和&lt;项目环评“三线一单”符合性分析技术要点（试行）&gt;的通知》中要求，“三线一单”分析应明确项目所属环境管控单元，并说明该单元的基本情况，对于生态类建设项目，重点分析与生态保护红线、生态空间和自然保护地的位置关系，并从空间约束布局、污染物排放管控、环境风险防控、资源开发效率四个纬度论述符合性。</w:t>
            </w:r>
          </w:p>
          <w:p>
            <w:pPr>
              <w:autoSpaceDE w:val="0"/>
              <w:autoSpaceDN w:val="0"/>
              <w:adjustRightInd w:val="0"/>
              <w:snapToGrid w:val="0"/>
              <w:ind w:firstLine="420"/>
              <w:rPr>
                <w:snapToGrid w:val="0"/>
                <w:kern w:val="0"/>
                <w:sz w:val="21"/>
                <w:szCs w:val="21"/>
              </w:rPr>
            </w:pPr>
            <w:r>
              <w:rPr>
                <w:snapToGrid w:val="0"/>
                <w:kern w:val="0"/>
                <w:sz w:val="21"/>
                <w:szCs w:val="21"/>
              </w:rPr>
              <w:t>本项目属生态类建设项目，项目位于“</w:t>
            </w:r>
            <w:r>
              <w:rPr>
                <w:rFonts w:hint="eastAsia" w:ascii="宋体" w:hAnsi="宋体"/>
                <w:sz w:val="21"/>
                <w:szCs w:val="21"/>
              </w:rPr>
              <w:t>通川区要素重点管控单元</w:t>
            </w:r>
            <w:r>
              <w:rPr>
                <w:snapToGrid w:val="0"/>
                <w:kern w:val="0"/>
                <w:sz w:val="21"/>
                <w:szCs w:val="21"/>
              </w:rPr>
              <w:t>”（环境管控单元编码</w:t>
            </w:r>
            <w:r>
              <w:rPr>
                <w:sz w:val="21"/>
                <w:szCs w:val="21"/>
              </w:rPr>
              <w:t>ZH51170220004</w:t>
            </w:r>
            <w:r>
              <w:rPr>
                <w:snapToGrid w:val="0"/>
                <w:kern w:val="0"/>
                <w:sz w:val="21"/>
                <w:szCs w:val="21"/>
              </w:rPr>
              <w:t>）内，项目不在生态保护红线和自然保护地范围内。</w:t>
            </w:r>
          </w:p>
          <w:p>
            <w:pPr>
              <w:wordWrap w:val="0"/>
              <w:autoSpaceDE w:val="0"/>
              <w:autoSpaceDN w:val="0"/>
              <w:adjustRightInd w:val="0"/>
              <w:snapToGrid w:val="0"/>
              <w:ind w:firstLine="420"/>
              <w:rPr>
                <w:bCs/>
                <w:sz w:val="21"/>
                <w:szCs w:val="21"/>
              </w:rPr>
            </w:pPr>
            <w:r>
              <w:rPr>
                <w:snapToGrid w:val="0"/>
                <w:kern w:val="0"/>
                <w:sz w:val="21"/>
                <w:szCs w:val="21"/>
              </w:rPr>
              <w:t>根据</w:t>
            </w:r>
            <w:r>
              <w:rPr>
                <w:rFonts w:hint="eastAsia" w:hAnsi="宋体"/>
                <w:snapToGrid w:val="0"/>
                <w:kern w:val="0"/>
                <w:sz w:val="21"/>
                <w:szCs w:val="21"/>
              </w:rPr>
              <w:t>《达州市人民政府关于落实生态保护红线、环境质量底线、资源利用上线制定生态环境准入清单实施生态环境分区管控的通知》（达市府发〔2021〕17号）及四川省政务网“四川省“三线一单”符合性分析报告”</w:t>
            </w:r>
            <w:r>
              <w:rPr>
                <w:snapToGrid w:val="0"/>
                <w:kern w:val="0"/>
                <w:sz w:val="21"/>
                <w:szCs w:val="21"/>
              </w:rPr>
              <w:t>中相关内容，项目与</w:t>
            </w:r>
            <w:r>
              <w:rPr>
                <w:rFonts w:hint="eastAsia"/>
                <w:snapToGrid w:val="0"/>
                <w:kern w:val="0"/>
                <w:sz w:val="21"/>
                <w:szCs w:val="21"/>
              </w:rPr>
              <w:t>达州市</w:t>
            </w:r>
            <w:r>
              <w:rPr>
                <w:snapToGrid w:val="0"/>
                <w:kern w:val="0"/>
                <w:sz w:val="21"/>
                <w:szCs w:val="21"/>
              </w:rPr>
              <w:t>“三线一单”相关要求的符合性分析见表1-5。</w:t>
            </w:r>
          </w:p>
          <w:p>
            <w:pPr>
              <w:wordWrap w:val="0"/>
              <w:autoSpaceDE w:val="0"/>
              <w:autoSpaceDN w:val="0"/>
              <w:adjustRightInd w:val="0"/>
              <w:snapToGrid w:val="0"/>
              <w:ind w:firstLine="420"/>
              <w:rPr>
                <w:bCs/>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kern w:val="0"/>
                <w:sz w:val="21"/>
                <w:szCs w:val="21"/>
              </w:rPr>
            </w:pPr>
          </w:p>
          <w:p>
            <w:pPr>
              <w:wordWrap w:val="0"/>
              <w:autoSpaceDE w:val="0"/>
              <w:autoSpaceDN w:val="0"/>
              <w:adjustRightInd w:val="0"/>
              <w:snapToGrid w:val="0"/>
              <w:ind w:firstLine="420"/>
              <w:rPr>
                <w:rFonts w:hint="eastAsia"/>
                <w:kern w:val="0"/>
                <w:sz w:val="21"/>
                <w:szCs w:val="21"/>
              </w:rPr>
            </w:pPr>
          </w:p>
        </w:tc>
      </w:tr>
    </w:tbl>
    <w:p>
      <w:pPr>
        <w:ind w:firstLine="420"/>
        <w:outlineLvl w:val="0"/>
        <w:rPr>
          <w:sz w:val="21"/>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1077" w:gutter="0"/>
          <w:cols w:space="720" w:num="1"/>
          <w:docGrid w:linePitch="312" w:charSpace="0"/>
        </w:sectPr>
      </w:pPr>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8"/>
        <w:gridCol w:w="13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trPr>
        <w:tc>
          <w:tcPr>
            <w:tcW w:w="353" w:type="pct"/>
            <w:tcBorders>
              <w:top w:val="single" w:color="auto" w:sz="8" w:space="0"/>
              <w:left w:val="single" w:color="auto" w:sz="8" w:space="0"/>
              <w:bottom w:val="single" w:color="auto" w:sz="4" w:space="0"/>
              <w:right w:val="single" w:color="auto" w:sz="4" w:space="0"/>
            </w:tcBorders>
            <w:tcMar>
              <w:top w:w="16" w:type="dxa"/>
              <w:left w:w="16" w:type="dxa"/>
              <w:right w:w="16" w:type="dxa"/>
            </w:tcMar>
            <w:vAlign w:val="center"/>
          </w:tcPr>
          <w:p>
            <w:pPr>
              <w:adjustRightInd w:val="0"/>
              <w:snapToGrid w:val="0"/>
              <w:spacing w:line="240" w:lineRule="auto"/>
              <w:ind w:firstLine="0" w:firstLineChars="0"/>
              <w:jc w:val="center"/>
              <w:rPr>
                <w:kern w:val="0"/>
                <w:sz w:val="21"/>
                <w:szCs w:val="21"/>
              </w:rPr>
            </w:pPr>
            <w:r>
              <w:rPr>
                <w:kern w:val="0"/>
                <w:sz w:val="21"/>
                <w:szCs w:val="21"/>
              </w:rPr>
              <w:t>其他符合性分析</w:t>
            </w:r>
          </w:p>
        </w:tc>
        <w:tc>
          <w:tcPr>
            <w:tcW w:w="4647" w:type="pct"/>
            <w:tcBorders>
              <w:top w:val="single" w:color="auto" w:sz="8" w:space="0"/>
              <w:left w:val="single" w:color="auto" w:sz="4" w:space="0"/>
              <w:bottom w:val="single" w:color="auto" w:sz="4" w:space="0"/>
              <w:right w:val="single" w:color="auto" w:sz="8" w:space="0"/>
            </w:tcBorders>
            <w:tcMar>
              <w:top w:w="16" w:type="dxa"/>
              <w:left w:w="16" w:type="dxa"/>
              <w:right w:w="16" w:type="dxa"/>
            </w:tcMar>
            <w:vAlign w:val="center"/>
          </w:tcPr>
          <w:p>
            <w:pPr>
              <w:autoSpaceDE w:val="0"/>
              <w:autoSpaceDN w:val="0"/>
              <w:adjustRightInd w:val="0"/>
              <w:snapToGrid w:val="0"/>
              <w:ind w:firstLine="0" w:firstLineChars="0"/>
              <w:jc w:val="center"/>
              <w:rPr>
                <w:b/>
                <w:kern w:val="0"/>
                <w:sz w:val="21"/>
                <w:szCs w:val="21"/>
              </w:rPr>
            </w:pPr>
            <w:r>
              <w:rPr>
                <w:rFonts w:hint="eastAsia"/>
                <w:b/>
                <w:kern w:val="0"/>
                <w:sz w:val="21"/>
                <w:szCs w:val="21"/>
              </w:rPr>
              <w:t>表1-</w:t>
            </w:r>
            <w:r>
              <w:rPr>
                <w:b/>
                <w:kern w:val="0"/>
                <w:sz w:val="21"/>
                <w:szCs w:val="21"/>
              </w:rPr>
              <w:t xml:space="preserve">5  </w:t>
            </w:r>
            <w:r>
              <w:rPr>
                <w:rFonts w:hint="eastAsia"/>
                <w:b/>
                <w:kern w:val="0"/>
                <w:sz w:val="21"/>
                <w:szCs w:val="21"/>
              </w:rPr>
              <w:t>项目与达州市“三线一单”相关要求的符合性分析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846"/>
              <w:gridCol w:w="682"/>
              <w:gridCol w:w="1450"/>
              <w:gridCol w:w="4607"/>
              <w:gridCol w:w="2026"/>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1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snapToGrid w:val="0"/>
                      <w:kern w:val="0"/>
                      <w:sz w:val="21"/>
                      <w:szCs w:val="21"/>
                    </w:rPr>
                  </w:pPr>
                  <w:r>
                    <w:rPr>
                      <w:b/>
                      <w:bCs/>
                      <w:snapToGrid w:val="0"/>
                      <w:kern w:val="0"/>
                      <w:sz w:val="21"/>
                      <w:szCs w:val="21"/>
                    </w:rPr>
                    <w:t>“三线一单”的具体要求</w:t>
                  </w:r>
                </w:p>
              </w:tc>
              <w:tc>
                <w:tcPr>
                  <w:tcW w:w="2018"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本项目情况</w:t>
                  </w:r>
                </w:p>
              </w:tc>
              <w:tc>
                <w:tcPr>
                  <w:tcW w:w="127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类别</w:t>
                  </w:r>
                </w:p>
              </w:tc>
              <w:tc>
                <w:tcPr>
                  <w:tcW w:w="6035" w:type="dxa"/>
                  <w:gridSpan w:val="2"/>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对应管控要求</w:t>
                  </w:r>
                </w:p>
              </w:tc>
              <w:tc>
                <w:tcPr>
                  <w:tcW w:w="2018"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p>
              </w:tc>
              <w:tc>
                <w:tcPr>
                  <w:tcW w:w="127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2060" w:type="dxa"/>
                  <w:vMerge w:val="restart"/>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管控单元名称：</w:t>
                  </w:r>
                  <w:r>
                    <w:rPr>
                      <w:rFonts w:eastAsia="宋体"/>
                      <w:sz w:val="21"/>
                    </w:rPr>
                    <w:t>通川区要素重点管控单元</w:t>
                  </w:r>
                  <w:r>
                    <w:rPr>
                      <w:rFonts w:eastAsia="宋体"/>
                      <w:snapToGrid w:val="0"/>
                      <w:kern w:val="0"/>
                      <w:sz w:val="21"/>
                    </w:rPr>
                    <w:t>；管控单元编码：</w:t>
                  </w:r>
                  <w:r>
                    <w:rPr>
                      <w:rFonts w:eastAsia="宋体"/>
                      <w:sz w:val="21"/>
                    </w:rPr>
                    <w:t>ZH51170220004</w:t>
                  </w:r>
                  <w:r>
                    <w:rPr>
                      <w:rFonts w:eastAsia="宋体"/>
                      <w:snapToGrid w:val="0"/>
                      <w:kern w:val="0"/>
                      <w:sz w:val="21"/>
                    </w:rPr>
                    <w:t>；管控分类：</w:t>
                  </w:r>
                  <w:r>
                    <w:rPr>
                      <w:rFonts w:eastAsia="宋体"/>
                      <w:sz w:val="21"/>
                    </w:rPr>
                    <w:t>环境综合管控单元要素重点管控单元</w:t>
                  </w:r>
                </w:p>
              </w:tc>
              <w:tc>
                <w:tcPr>
                  <w:tcW w:w="843"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sz w:val="21"/>
                      <w:szCs w:val="21"/>
                    </w:rPr>
                    <w:t>达州市</w:t>
                  </w:r>
                  <w:r>
                    <w:rPr>
                      <w:bCs/>
                      <w:snapToGrid w:val="0"/>
                      <w:kern w:val="0"/>
                      <w:sz w:val="21"/>
                      <w:szCs w:val="21"/>
                    </w:rPr>
                    <w:t>普适性清单</w:t>
                  </w: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空间布局约束</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禁止开发建设活动的要求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-禁止在法律法规规定的禁采区内新建矿山；禁止土法采、选、冶严重污染环境的矿产资源。</w:t>
                  </w:r>
                </w:p>
                <w:p>
                  <w:pPr>
                    <w:pStyle w:val="82"/>
                    <w:adjustRightInd w:val="0"/>
                    <w:snapToGrid w:val="0"/>
                    <w:spacing w:line="240" w:lineRule="auto"/>
                    <w:ind w:firstLine="0" w:firstLineChars="0"/>
                    <w:rPr>
                      <w:rFonts w:eastAsia="宋体"/>
                      <w:kern w:val="0"/>
                      <w:sz w:val="21"/>
                    </w:rPr>
                  </w:pPr>
                  <w:r>
                    <w:rPr>
                      <w:rFonts w:eastAsia="宋体"/>
                      <w:kern w:val="0"/>
                      <w:sz w:val="21"/>
                    </w:rPr>
                    <w:t>-禁止在长江干流岸线三公里范围内和重要支流岸线一公里范围内新建、改建、扩建尾矿库、冶炼渣库、磷石膏库，以提升安全、生态环境保护水平为目的的改建除外。</w:t>
                  </w:r>
                </w:p>
                <w:p>
                  <w:pPr>
                    <w:pStyle w:val="82"/>
                    <w:adjustRightInd w:val="0"/>
                    <w:snapToGrid w:val="0"/>
                    <w:spacing w:line="240" w:lineRule="auto"/>
                    <w:ind w:firstLine="0" w:firstLineChars="0"/>
                    <w:rPr>
                      <w:rFonts w:eastAsia="宋体"/>
                      <w:kern w:val="0"/>
                      <w:sz w:val="21"/>
                    </w:rPr>
                  </w:pPr>
                  <w:r>
                    <w:rPr>
                      <w:rFonts w:eastAsia="宋体"/>
                      <w:kern w:val="0"/>
                      <w:sz w:val="21"/>
                    </w:rPr>
                    <w:t>-涉及永久基本农田的区域，除法律规定的重点建设项目选址确实无法避让外，其他任何建设不得占用。</w:t>
                  </w:r>
                </w:p>
                <w:p>
                  <w:pPr>
                    <w:pStyle w:val="82"/>
                    <w:adjustRightInd w:val="0"/>
                    <w:snapToGrid w:val="0"/>
                    <w:spacing w:line="240" w:lineRule="auto"/>
                    <w:ind w:firstLine="0" w:firstLineChars="0"/>
                    <w:rPr>
                      <w:rFonts w:eastAsia="宋体"/>
                      <w:kern w:val="0"/>
                      <w:sz w:val="21"/>
                    </w:rPr>
                  </w:pPr>
                  <w:r>
                    <w:rPr>
                      <w:rFonts w:eastAsia="宋体"/>
                      <w:kern w:val="0"/>
                      <w:sz w:val="21"/>
                    </w:rPr>
                    <w:t>-禁止在长江流域河湖管理范围内倾倒、填埋、堆放、弃置、处理固体废物。</w:t>
                  </w:r>
                </w:p>
                <w:p>
                  <w:pPr>
                    <w:pStyle w:val="82"/>
                    <w:adjustRightInd w:val="0"/>
                    <w:snapToGrid w:val="0"/>
                    <w:spacing w:line="240" w:lineRule="auto"/>
                    <w:ind w:firstLine="0" w:firstLineChars="0"/>
                    <w:rPr>
                      <w:rFonts w:eastAsia="宋体"/>
                      <w:bCs/>
                      <w:snapToGrid w:val="0"/>
                      <w:kern w:val="0"/>
                      <w:sz w:val="21"/>
                    </w:rPr>
                  </w:pPr>
                  <w:r>
                    <w:rPr>
                      <w:rFonts w:eastAsia="宋体"/>
                      <w:kern w:val="0"/>
                      <w:sz w:val="21"/>
                    </w:rPr>
                    <w:t>-禁止在永久基本农田集中区域和其他需要特别保护的区域选址建设尾矿库、冶炼渣库、磷石膏库。</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ind w:firstLine="420"/>
                  </w:pPr>
                  <w:r>
                    <w:t>本项目为页岩油勘探项目，项目不在通川区禁采区内，不涉及土法采选矿产，不属于</w:t>
                  </w:r>
                  <w:r>
                    <w:rPr>
                      <w:rStyle w:val="63"/>
                      <w:rFonts w:hint="default" w:ascii="Times New Roman" w:hAnsi="Times New Roman"/>
                      <w:color w:val="auto"/>
                      <w:sz w:val="21"/>
                      <w:szCs w:val="21"/>
                    </w:rPr>
                    <w:t>尾矿库、冶炼渣库、磷石膏库；项目实施的固体废物均可得到妥善处置，不涉及在长江流域河湖管理范围内倾倒、填埋、堆放、弃置、处理固体废物；项目为重点建设的油气勘探项目，项目临时占用永久基本农田，项目部分占地临时占用永久基本农田，符合</w:t>
                  </w:r>
                  <w:r>
                    <w:rPr>
                      <w:bCs/>
                    </w:rPr>
                    <w:t>《四川省自然资源厅关于解决油气勘探开发用地问题的复函》（川自然资函[2019]197号）、</w:t>
                  </w:r>
                  <w:r>
                    <w:t>《自然资源部农业农村部关于加强和改进永久保护农田保护工作的通知》（自然资规[2019]1号）等法律法规要求</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限制开发建设活动的要求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-水环境农业污染重点管控区：（1）稳步推进建制镇污水处理设施建设，适当预留发展空间，宜集中则集中，宜分散则分散。农村生活污水处理设施排水执行《农村生活污水处理设施水污染物排放标准》（DB</w:t>
                  </w:r>
                  <w:r>
                    <w:rPr>
                      <w:rFonts w:eastAsia="宋体"/>
                      <w:sz w:val="21"/>
                    </w:rPr>
                    <w:t>/</w:t>
                  </w:r>
                  <w:r>
                    <w:rPr>
                      <w:rFonts w:eastAsia="宋体"/>
                      <w:kern w:val="0"/>
                      <w:sz w:val="21"/>
                    </w:rPr>
                    <w:t>51 2626-2019）要求。（2）深入推进化肥减量增效。鼓励以循环利用与生态净化相结合的方式控制种植业污染，农企合作推进测土配方施肥。（3）严格项目引入政策，严控新建造纸、屠宰、用排水量大的农副产品加工企业等以水污染为主的企业。</w:t>
                  </w:r>
                </w:p>
                <w:p>
                  <w:pPr>
                    <w:pStyle w:val="82"/>
                    <w:adjustRightInd w:val="0"/>
                    <w:snapToGrid w:val="0"/>
                    <w:spacing w:line="240" w:lineRule="auto"/>
                    <w:ind w:firstLine="0" w:firstLineChars="0"/>
                    <w:rPr>
                      <w:rFonts w:eastAsia="宋体"/>
                      <w:kern w:val="0"/>
                      <w:sz w:val="21"/>
                    </w:rPr>
                  </w:pPr>
                  <w:r>
                    <w:rPr>
                      <w:rFonts w:eastAsia="宋体"/>
                      <w:kern w:val="0"/>
                      <w:sz w:val="21"/>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82"/>
                    <w:adjustRightInd w:val="0"/>
                    <w:snapToGrid w:val="0"/>
                    <w:spacing w:line="240" w:lineRule="auto"/>
                    <w:ind w:firstLine="0" w:firstLineChars="0"/>
                    <w:rPr>
                      <w:rFonts w:eastAsia="宋体"/>
                      <w:kern w:val="0"/>
                      <w:sz w:val="21"/>
                    </w:rPr>
                  </w:pPr>
                  <w:r>
                    <w:rPr>
                      <w:rFonts w:eastAsia="宋体"/>
                      <w:kern w:val="0"/>
                      <w:sz w:val="21"/>
                    </w:rPr>
                    <w:t>-大气环境弱扩散区谨慎布局垃圾发电、危废焚烧等以大气污染为主的企业；</w:t>
                  </w:r>
                </w:p>
                <w:p>
                  <w:pPr>
                    <w:pStyle w:val="82"/>
                    <w:adjustRightInd w:val="0"/>
                    <w:snapToGrid w:val="0"/>
                    <w:spacing w:line="240" w:lineRule="auto"/>
                    <w:ind w:firstLine="0" w:firstLineChars="0"/>
                    <w:rPr>
                      <w:rFonts w:eastAsia="宋体"/>
                      <w:kern w:val="0"/>
                      <w:sz w:val="21"/>
                    </w:rPr>
                  </w:pPr>
                  <w:r>
                    <w:rPr>
                      <w:rFonts w:eastAsia="宋体"/>
                      <w:kern w:val="0"/>
                      <w:sz w:val="21"/>
                    </w:rPr>
                    <w:t>-布局敏感区、弱扩散区严格项目引入政策，严控新建水泥厂、危废焚烧、砖瓦厂、陶瓷厂、混凝土及制品等以大气污染为主的企业。</w:t>
                  </w:r>
                </w:p>
                <w:p>
                  <w:pPr>
                    <w:pStyle w:val="82"/>
                    <w:adjustRightInd w:val="0"/>
                    <w:snapToGrid w:val="0"/>
                    <w:spacing w:line="240" w:lineRule="auto"/>
                    <w:ind w:firstLine="0" w:firstLineChars="0"/>
                    <w:rPr>
                      <w:rFonts w:eastAsia="宋体"/>
                      <w:kern w:val="0"/>
                      <w:sz w:val="21"/>
                    </w:rPr>
                  </w:pPr>
                  <w:r>
                    <w:rPr>
                      <w:rFonts w:eastAsia="宋体"/>
                      <w:kern w:val="0"/>
                      <w:sz w:val="21"/>
                    </w:rPr>
                    <w:t>-按照相关要求严控水泥新增产能。</w:t>
                  </w:r>
                </w:p>
                <w:p>
                  <w:pPr>
                    <w:pStyle w:val="82"/>
                    <w:adjustRightInd w:val="0"/>
                    <w:snapToGrid w:val="0"/>
                    <w:spacing w:line="240" w:lineRule="auto"/>
                    <w:ind w:firstLine="0" w:firstLineChars="0"/>
                    <w:rPr>
                      <w:rFonts w:eastAsia="宋体"/>
                      <w:kern w:val="0"/>
                      <w:sz w:val="21"/>
                    </w:rPr>
                  </w:pPr>
                  <w:r>
                    <w:rPr>
                      <w:rFonts w:eastAsia="宋体"/>
                      <w:kern w:val="0"/>
                      <w:sz w:val="21"/>
                    </w:rPr>
                    <w:t>-严控在长江及主要支流岸线1公里范围内新建石油化工、煤化工、涉磷、造纸、印染、制革等项目。</w:t>
                  </w:r>
                </w:p>
                <w:p>
                  <w:pPr>
                    <w:pStyle w:val="82"/>
                    <w:adjustRightInd w:val="0"/>
                    <w:snapToGrid w:val="0"/>
                    <w:spacing w:line="240" w:lineRule="auto"/>
                    <w:ind w:firstLine="0" w:firstLineChars="0"/>
                    <w:rPr>
                      <w:rFonts w:eastAsia="宋体"/>
                      <w:snapToGrid w:val="0"/>
                      <w:kern w:val="0"/>
                      <w:sz w:val="21"/>
                    </w:rPr>
                  </w:pPr>
                  <w:r>
                    <w:rPr>
                      <w:rFonts w:eastAsia="宋体"/>
                      <w:kern w:val="0"/>
                      <w:sz w:val="21"/>
                    </w:rPr>
                    <w:t>-现有工业企业不得新增污染物排放。</w:t>
                  </w:r>
                </w:p>
              </w:tc>
              <w:tc>
                <w:tcPr>
                  <w:tcW w:w="2018" w:type="dxa"/>
                  <w:tcBorders>
                    <w:left w:val="single" w:color="auto" w:sz="4" w:space="0"/>
                    <w:right w:val="single" w:color="auto" w:sz="4" w:space="0"/>
                  </w:tcBorders>
                  <w:shd w:val="clear" w:color="auto" w:fill="auto"/>
                  <w:vAlign w:val="center"/>
                </w:tcPr>
                <w:p>
                  <w:pPr>
                    <w:pStyle w:val="83"/>
                    <w:snapToGrid w:val="0"/>
                    <w:ind w:firstLine="420"/>
                  </w:pPr>
                  <w:r>
                    <w:t>项目选址不涉及水环境农业污染重点管控区、大气环境布局敏感重点管控区；项目为页岩油勘探项目，不属于垃圾发电、危废焚烧、水泥厂、砖瓦厂、陶瓷厂、混凝土及制品等行业，不属于石油化工、煤化工、涉磷、造纸、印染、制革行业</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不符合空间布局要求活动的退出要求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全面取缔禁养区内规模化畜禽养殖场。                                                                       -现有工业企业限期有序退城入园。</w:t>
                  </w:r>
                </w:p>
                <w:p>
                  <w:pPr>
                    <w:pStyle w:val="82"/>
                    <w:adjustRightInd w:val="0"/>
                    <w:snapToGrid w:val="0"/>
                    <w:spacing w:line="240" w:lineRule="auto"/>
                    <w:ind w:firstLine="0" w:firstLineChars="0"/>
                    <w:rPr>
                      <w:rFonts w:eastAsia="宋体"/>
                      <w:kern w:val="0"/>
                      <w:sz w:val="21"/>
                    </w:rPr>
                  </w:pPr>
                  <w:r>
                    <w:rPr>
                      <w:rFonts w:eastAsia="宋体"/>
                      <w:kern w:val="0"/>
                      <w:sz w:val="21"/>
                    </w:rPr>
                    <w:t>不断优化长江经济带化工行业空间布局，有效控制化工污染。推进化工企业搬迁入园，加强化工园区基础设施建设。</w:t>
                  </w:r>
                </w:p>
                <w:p>
                  <w:pPr>
                    <w:pStyle w:val="82"/>
                    <w:adjustRightInd w:val="0"/>
                    <w:snapToGrid w:val="0"/>
                    <w:spacing w:line="240" w:lineRule="auto"/>
                    <w:ind w:firstLine="0" w:firstLineChars="0"/>
                    <w:rPr>
                      <w:rFonts w:eastAsia="宋体"/>
                      <w:kern w:val="0"/>
                      <w:sz w:val="21"/>
                    </w:rPr>
                  </w:pPr>
                  <w:r>
                    <w:rPr>
                      <w:rFonts w:eastAsia="宋体"/>
                      <w:kern w:val="0"/>
                      <w:sz w:val="21"/>
                    </w:rPr>
                    <w:t>2025年全面完成全域内“散乱污”企业整治工作。</w:t>
                  </w:r>
                </w:p>
                <w:p>
                  <w:pPr>
                    <w:pStyle w:val="82"/>
                    <w:adjustRightInd w:val="0"/>
                    <w:snapToGrid w:val="0"/>
                    <w:spacing w:line="240" w:lineRule="auto"/>
                    <w:ind w:firstLine="0" w:firstLineChars="0"/>
                    <w:rPr>
                      <w:rFonts w:eastAsia="宋体"/>
                      <w:kern w:val="0"/>
                      <w:sz w:val="21"/>
                    </w:rPr>
                  </w:pPr>
                  <w:r>
                    <w:rPr>
                      <w:rFonts w:eastAsia="宋体"/>
                      <w:kern w:val="0"/>
                      <w:sz w:val="21"/>
                    </w:rPr>
                    <w:t>针对现有水泥企业，强化污染治理和污染物减排，依法依规整治或搬迁。</w:t>
                  </w:r>
                </w:p>
                <w:p>
                  <w:pPr>
                    <w:pStyle w:val="82"/>
                    <w:adjustRightInd w:val="0"/>
                    <w:snapToGrid w:val="0"/>
                    <w:spacing w:line="240" w:lineRule="auto"/>
                    <w:ind w:firstLine="0" w:firstLineChars="0"/>
                    <w:rPr>
                      <w:rStyle w:val="63"/>
                      <w:rFonts w:hint="default" w:ascii="Times New Roman" w:hAnsi="Times New Roman"/>
                      <w:snapToGrid w:val="0"/>
                      <w:color w:val="auto"/>
                      <w:kern w:val="0"/>
                      <w:sz w:val="21"/>
                      <w:szCs w:val="21"/>
                    </w:rPr>
                  </w:pPr>
                  <w:r>
                    <w:rPr>
                      <w:rFonts w:eastAsia="宋体"/>
                      <w:kern w:val="0"/>
                      <w:sz w:val="21"/>
                    </w:rPr>
                    <w:t>对违反资源环境法律法规、规划，污染环境、破坏生态、乱采滥挖的露天矿山，依法予以关闭；对污染治理不规范的露天矿山，依法责令停产整治。对责任主体灭失的露天矿山，加强修复绿化、减尘抑尘。加强矸石山治理。关闭不合理开发的小矿山。在全市范围深入开展集中整治“散乱污”工业企业，对不符合产业政策和规划布局的，一律责令停产、限期搬迁或关停；</w:t>
                  </w:r>
                </w:p>
              </w:tc>
              <w:tc>
                <w:tcPr>
                  <w:tcW w:w="2018" w:type="dxa"/>
                  <w:tcBorders>
                    <w:left w:val="single" w:color="auto" w:sz="4" w:space="0"/>
                    <w:right w:val="single" w:color="auto" w:sz="4" w:space="0"/>
                  </w:tcBorders>
                  <w:shd w:val="clear" w:color="auto" w:fill="auto"/>
                  <w:vAlign w:val="center"/>
                </w:tcPr>
                <w:p>
                  <w:pPr>
                    <w:pStyle w:val="83"/>
                    <w:snapToGrid w:val="0"/>
                    <w:ind w:firstLine="420"/>
                  </w:pPr>
                  <w:r>
                    <w:t>本项目为页岩油勘探项目，不属于规模化养殖场，不属于化工项目，不属于水泥行业，不涉及露天采矿</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其他空间布局约束要求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允许开发建设活动的要求：在不损害生态系统功能的前提下，适度发展旅游、农林牧产品生产和加工、生态农业、休闲农业等产业。</w:t>
                  </w:r>
                </w:p>
                <w:p>
                  <w:pPr>
                    <w:pStyle w:val="82"/>
                    <w:adjustRightInd w:val="0"/>
                    <w:snapToGrid w:val="0"/>
                    <w:spacing w:line="240" w:lineRule="auto"/>
                    <w:ind w:firstLine="0" w:firstLineChars="0"/>
                    <w:rPr>
                      <w:rFonts w:eastAsia="宋体"/>
                      <w:kern w:val="0"/>
                      <w:sz w:val="21"/>
                    </w:rPr>
                  </w:pPr>
                  <w:r>
                    <w:rPr>
                      <w:rFonts w:eastAsia="宋体"/>
                      <w:kern w:val="0"/>
                      <w:sz w:val="21"/>
                    </w:rPr>
                    <w:t>除保护区外开展林下</w:t>
                  </w:r>
                  <w:r>
                    <w:rPr>
                      <w:rFonts w:hint="eastAsia" w:eastAsia="宋体"/>
                      <w:kern w:val="0"/>
                      <w:sz w:val="21"/>
                      <w:lang w:val="en-US" w:eastAsia="zh-CN"/>
                    </w:rPr>
                    <w:t>种植</w:t>
                  </w:r>
                  <w:r>
                    <w:rPr>
                      <w:rFonts w:eastAsia="宋体"/>
                      <w:kern w:val="0"/>
                      <w:sz w:val="21"/>
                    </w:rPr>
                    <w:t>养殖业。</w:t>
                  </w:r>
                </w:p>
                <w:p>
                  <w:pPr>
                    <w:widowControl/>
                    <w:adjustRightInd w:val="0"/>
                    <w:snapToGrid w:val="0"/>
                    <w:spacing w:line="240" w:lineRule="auto"/>
                    <w:ind w:firstLine="0" w:firstLineChars="0"/>
                    <w:rPr>
                      <w:rStyle w:val="63"/>
                      <w:rFonts w:hint="default" w:ascii="Times New Roman" w:hAnsi="Times New Roman"/>
                      <w:snapToGrid w:val="0"/>
                      <w:color w:val="auto"/>
                      <w:kern w:val="0"/>
                      <w:sz w:val="21"/>
                      <w:szCs w:val="21"/>
                    </w:rPr>
                  </w:pPr>
                  <w:r>
                    <w:rPr>
                      <w:kern w:val="0"/>
                      <w:sz w:val="21"/>
                      <w:szCs w:val="21"/>
                    </w:rPr>
                    <w:t>新建矿山全部达到绿色矿山建设要求，生产矿山加快改造升级，逐步达到要求。</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pPr>
                  <w:r>
                    <w:t>本项目为页岩油勘探项目，不属于旅游、农林牧产品生产和加工、生态农业、休闲农业等产业，不属于新建矿山</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污染物排放管控</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允许排放量要求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现有源提标升级改造</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加快现有乡镇污水处理设施升级改造，按要求达《城镇污水处理厂污染物排放标准》一级A标后排放。</w:t>
                  </w:r>
                </w:p>
                <w:p>
                  <w:pPr>
                    <w:pStyle w:val="82"/>
                    <w:adjustRightInd w:val="0"/>
                    <w:snapToGrid w:val="0"/>
                    <w:spacing w:line="240" w:lineRule="auto"/>
                    <w:ind w:firstLine="0" w:firstLineChars="0"/>
                    <w:rPr>
                      <w:rFonts w:eastAsia="宋体"/>
                      <w:kern w:val="0"/>
                      <w:sz w:val="21"/>
                    </w:rPr>
                  </w:pPr>
                  <w:r>
                    <w:rPr>
                      <w:rFonts w:eastAsia="宋体"/>
                      <w:kern w:val="0"/>
                      <w:sz w:val="21"/>
                    </w:rPr>
                    <w:t>-在矿产资源开发活动集中区域，废水执行重金属污染物排放特别限值.-火电、水泥、钢铁等行业按相关要求推进大气污染物超低排放和深度治理。</w:t>
                  </w:r>
                </w:p>
                <w:p>
                  <w:pPr>
                    <w:widowControl/>
                    <w:adjustRightInd w:val="0"/>
                    <w:snapToGrid w:val="0"/>
                    <w:spacing w:line="240" w:lineRule="auto"/>
                    <w:ind w:firstLine="0" w:firstLineChars="0"/>
                    <w:rPr>
                      <w:rStyle w:val="63"/>
                      <w:rFonts w:hint="default" w:ascii="Times New Roman" w:hAnsi="Times New Roman"/>
                      <w:snapToGrid w:val="0"/>
                      <w:color w:val="auto"/>
                      <w:kern w:val="0"/>
                      <w:sz w:val="21"/>
                      <w:szCs w:val="21"/>
                    </w:rPr>
                  </w:pPr>
                  <w:r>
                    <w:rPr>
                      <w:kern w:val="0"/>
                      <w:sz w:val="21"/>
                      <w:szCs w:val="21"/>
                    </w:rPr>
                    <w:t>-砖瓦行业实施脱硫、除尘升级改造，污染物排放达到《砖瓦工业大气污染物排放标准》相关要求。</w:t>
                  </w:r>
                </w:p>
              </w:tc>
              <w:tc>
                <w:tcPr>
                  <w:tcW w:w="2018" w:type="dxa"/>
                  <w:tcBorders>
                    <w:left w:val="single" w:color="auto" w:sz="4" w:space="0"/>
                    <w:right w:val="single" w:color="auto" w:sz="4" w:space="0"/>
                  </w:tcBorders>
                  <w:shd w:val="clear" w:color="auto" w:fill="auto"/>
                  <w:vAlign w:val="center"/>
                </w:tcPr>
                <w:p>
                  <w:pPr>
                    <w:pStyle w:val="83"/>
                    <w:snapToGrid w:val="0"/>
                    <w:ind w:firstLine="420"/>
                  </w:pPr>
                  <w:r>
                    <w:t>本项目为页岩油，不属于城镇污水处理设施，项目不涉及重金属排放，不属于砖瓦、火电、水泥及钢铁等行业。</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其他污染物排放管控要求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新增源等量或倍量替代</w:t>
                  </w:r>
                  <w:r>
                    <w:rPr>
                      <w:rFonts w:eastAsia="宋体"/>
                      <w:sz w:val="21"/>
                    </w:rPr>
                    <w:t>：</w:t>
                  </w:r>
                  <w:r>
                    <w:rPr>
                      <w:rFonts w:eastAsia="宋体"/>
                      <w:kern w:val="0"/>
                      <w:sz w:val="21"/>
                    </w:rPr>
                    <w:t>上一年度水环境质量未完成目标的，新建排放水污染的建设项目按照总量管控要求进行倍量削减替代。</w:t>
                  </w:r>
                </w:p>
                <w:p>
                  <w:pPr>
                    <w:pStyle w:val="82"/>
                    <w:adjustRightInd w:val="0"/>
                    <w:snapToGrid w:val="0"/>
                    <w:spacing w:line="240" w:lineRule="auto"/>
                    <w:ind w:firstLine="0" w:firstLineChars="0"/>
                    <w:rPr>
                      <w:rFonts w:eastAsia="宋体"/>
                      <w:kern w:val="0"/>
                      <w:sz w:val="21"/>
                    </w:rPr>
                  </w:pPr>
                  <w:r>
                    <w:rPr>
                      <w:rFonts w:eastAsia="宋体"/>
                      <w:kern w:val="0"/>
                      <w:sz w:val="21"/>
                    </w:rPr>
                    <w:t>-上一年度空气质量年平均浓度不达标的城市，建设项目新增相关污染物按照总量管控要求进行倍量削减替代。</w:t>
                  </w:r>
                </w:p>
                <w:p>
                  <w:pPr>
                    <w:pStyle w:val="82"/>
                    <w:adjustRightInd w:val="0"/>
                    <w:snapToGrid w:val="0"/>
                    <w:spacing w:line="240" w:lineRule="auto"/>
                    <w:ind w:firstLine="0" w:firstLineChars="0"/>
                    <w:rPr>
                      <w:rFonts w:eastAsia="宋体"/>
                      <w:kern w:val="0"/>
                      <w:sz w:val="21"/>
                    </w:rPr>
                  </w:pPr>
                  <w:r>
                    <w:rPr>
                      <w:rFonts w:eastAsia="宋体"/>
                      <w:kern w:val="0"/>
                      <w:sz w:val="21"/>
                    </w:rPr>
                    <w:t>-大气环境重点管控区内，新增大气污染物排放的建设项目实施总量削减替代.</w:t>
                  </w:r>
                </w:p>
                <w:p>
                  <w:pPr>
                    <w:pStyle w:val="82"/>
                    <w:adjustRightInd w:val="0"/>
                    <w:snapToGrid w:val="0"/>
                    <w:spacing w:line="240" w:lineRule="auto"/>
                    <w:ind w:firstLine="0" w:firstLineChars="0"/>
                    <w:rPr>
                      <w:rFonts w:eastAsia="宋体"/>
                      <w:kern w:val="0"/>
                      <w:sz w:val="21"/>
                    </w:rPr>
                  </w:pPr>
                  <w:r>
                    <w:rPr>
                      <w:rFonts w:eastAsia="宋体"/>
                      <w:kern w:val="0"/>
                      <w:sz w:val="21"/>
                    </w:rPr>
                    <w:t>污染物排放绩效水平准入要求:屠宰项目必须配套污水处理设施或进入城市污水管网。</w:t>
                  </w:r>
                </w:p>
                <w:p>
                  <w:pPr>
                    <w:pStyle w:val="82"/>
                    <w:adjustRightInd w:val="0"/>
                    <w:snapToGrid w:val="0"/>
                    <w:spacing w:line="240" w:lineRule="auto"/>
                    <w:ind w:firstLine="0" w:firstLineChars="0"/>
                    <w:rPr>
                      <w:rFonts w:eastAsia="宋体"/>
                      <w:kern w:val="0"/>
                      <w:sz w:val="21"/>
                    </w:rPr>
                  </w:pPr>
                  <w:r>
                    <w:rPr>
                      <w:rFonts w:eastAsia="宋体"/>
                      <w:kern w:val="0"/>
                      <w:sz w:val="21"/>
                    </w:rPr>
                    <w:t>-大气环境重点管控区内加强“高架源”污染治理，深化施工扬尘监管，严格落实“六必须、六不准”管控要求，强化道路施工管控，提高道路清扫机械化和精细化作业水平。</w:t>
                  </w:r>
                </w:p>
                <w:p>
                  <w:pPr>
                    <w:pStyle w:val="82"/>
                    <w:adjustRightInd w:val="0"/>
                    <w:snapToGrid w:val="0"/>
                    <w:spacing w:line="240" w:lineRule="auto"/>
                    <w:ind w:firstLine="0" w:firstLineChars="0"/>
                    <w:rPr>
                      <w:rFonts w:eastAsia="宋体"/>
                      <w:kern w:val="0"/>
                      <w:sz w:val="21"/>
                    </w:rPr>
                  </w:pPr>
                  <w:r>
                    <w:rPr>
                      <w:rFonts w:eastAsia="宋体"/>
                      <w:kern w:val="0"/>
                      <w:sz w:val="21"/>
                    </w:rPr>
                    <w:t>-到2023年底，力争全市生活垃圾焚烧处理能力占比达60%以上，各县（市）生活垃圾无害化处理率保持95%以上，乡镇及行政村生活垃圾收转运处置体系基本实现全覆盖。</w:t>
                  </w:r>
                </w:p>
                <w:p>
                  <w:pPr>
                    <w:pStyle w:val="82"/>
                    <w:adjustRightInd w:val="0"/>
                    <w:snapToGrid w:val="0"/>
                    <w:spacing w:line="240" w:lineRule="auto"/>
                    <w:ind w:firstLine="0" w:firstLineChars="0"/>
                    <w:rPr>
                      <w:rFonts w:eastAsia="宋体"/>
                      <w:kern w:val="0"/>
                      <w:sz w:val="21"/>
                    </w:rPr>
                  </w:pPr>
                  <w:r>
                    <w:rPr>
                      <w:rFonts w:eastAsia="宋体"/>
                      <w:kern w:val="0"/>
                      <w:sz w:val="21"/>
                    </w:rPr>
                    <w:t>-到2025年，农药包装废弃物回收率达80%；粮油绿色高质高效示范区、茶叶主产区和现代农业园区农药包装废弃物回收率100%。</w:t>
                  </w:r>
                </w:p>
                <w:p>
                  <w:pPr>
                    <w:pStyle w:val="82"/>
                    <w:adjustRightInd w:val="0"/>
                    <w:snapToGrid w:val="0"/>
                    <w:spacing w:line="240" w:lineRule="auto"/>
                    <w:ind w:firstLine="0" w:firstLineChars="0"/>
                    <w:rPr>
                      <w:rFonts w:eastAsia="宋体"/>
                      <w:kern w:val="0"/>
                      <w:sz w:val="21"/>
                    </w:rPr>
                  </w:pPr>
                  <w:r>
                    <w:rPr>
                      <w:rFonts w:eastAsia="宋体"/>
                      <w:kern w:val="0"/>
                      <w:sz w:val="21"/>
                    </w:rPr>
                    <w:t>-到2025年，全国主要农作物化肥、农药利用率达43%，测土配方施肥技术推广覆盖率保持在90%以上，控制农村面源污染，采取灌排分离等措施控制农田氮磷流失。</w:t>
                  </w:r>
                </w:p>
                <w:p>
                  <w:pPr>
                    <w:pStyle w:val="82"/>
                    <w:adjustRightInd w:val="0"/>
                    <w:snapToGrid w:val="0"/>
                    <w:spacing w:line="240" w:lineRule="auto"/>
                    <w:ind w:firstLine="0" w:firstLineChars="0"/>
                    <w:rPr>
                      <w:rFonts w:eastAsia="宋体"/>
                      <w:kern w:val="0"/>
                      <w:sz w:val="21"/>
                    </w:rPr>
                  </w:pPr>
                  <w:r>
                    <w:rPr>
                      <w:rFonts w:eastAsia="宋体"/>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82"/>
                    <w:adjustRightInd w:val="0"/>
                    <w:snapToGrid w:val="0"/>
                    <w:spacing w:line="240" w:lineRule="auto"/>
                    <w:ind w:firstLine="0" w:firstLineChars="0"/>
                    <w:rPr>
                      <w:rFonts w:eastAsia="宋体"/>
                      <w:kern w:val="0"/>
                      <w:sz w:val="21"/>
                    </w:rPr>
                  </w:pPr>
                  <w:r>
                    <w:rPr>
                      <w:rFonts w:eastAsia="宋体"/>
                      <w:kern w:val="0"/>
                      <w:sz w:val="21"/>
                    </w:rPr>
                    <w:t>-到2025年，废旧农膜回收利用率达到85%以上。</w:t>
                  </w:r>
                </w:p>
                <w:p>
                  <w:pPr>
                    <w:pStyle w:val="82"/>
                    <w:adjustRightInd w:val="0"/>
                    <w:snapToGrid w:val="0"/>
                    <w:spacing w:line="240" w:lineRule="auto"/>
                    <w:ind w:firstLine="0" w:firstLineChars="0"/>
                    <w:rPr>
                      <w:rFonts w:eastAsia="宋体"/>
                      <w:kern w:val="0"/>
                      <w:sz w:val="21"/>
                    </w:rPr>
                  </w:pPr>
                  <w:r>
                    <w:rPr>
                      <w:rFonts w:eastAsia="宋体"/>
                      <w:kern w:val="0"/>
                      <w:sz w:val="21"/>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pStyle w:val="82"/>
                    <w:adjustRightInd w:val="0"/>
                    <w:snapToGrid w:val="0"/>
                    <w:spacing w:line="240" w:lineRule="auto"/>
                    <w:ind w:firstLine="0" w:firstLineChars="0"/>
                    <w:rPr>
                      <w:rFonts w:eastAsia="宋体"/>
                      <w:kern w:val="0"/>
                      <w:sz w:val="21"/>
                    </w:rPr>
                  </w:pPr>
                  <w:r>
                    <w:rPr>
                      <w:rFonts w:eastAsia="宋体"/>
                      <w:kern w:val="0"/>
                      <w:sz w:val="21"/>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pStyle w:val="82"/>
                    <w:adjustRightInd w:val="0"/>
                    <w:snapToGrid w:val="0"/>
                    <w:spacing w:line="240" w:lineRule="auto"/>
                    <w:ind w:firstLine="0" w:firstLineChars="0"/>
                    <w:rPr>
                      <w:rFonts w:eastAsia="宋体"/>
                      <w:kern w:val="0"/>
                      <w:sz w:val="21"/>
                    </w:rPr>
                  </w:pPr>
                  <w:r>
                    <w:rPr>
                      <w:rFonts w:eastAsia="宋体"/>
                      <w:kern w:val="0"/>
                      <w:sz w:val="21"/>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pStyle w:val="82"/>
                    <w:adjustRightInd w:val="0"/>
                    <w:snapToGrid w:val="0"/>
                    <w:spacing w:line="240" w:lineRule="auto"/>
                    <w:ind w:firstLine="0" w:firstLineChars="0"/>
                    <w:rPr>
                      <w:rFonts w:eastAsia="宋体"/>
                      <w:kern w:val="0"/>
                      <w:sz w:val="21"/>
                    </w:rPr>
                  </w:pPr>
                  <w:r>
                    <w:rPr>
                      <w:rFonts w:eastAsia="宋体"/>
                      <w:kern w:val="0"/>
                      <w:sz w:val="21"/>
                    </w:rPr>
                    <w:t>--至2022年底，基本实现乡镇污水处理设施全覆盖，配套建设污水收集管网，乡镇污水处理率达到65%。</w:t>
                  </w:r>
                </w:p>
                <w:p>
                  <w:pPr>
                    <w:pStyle w:val="82"/>
                    <w:adjustRightInd w:val="0"/>
                    <w:snapToGrid w:val="0"/>
                    <w:spacing w:line="240" w:lineRule="auto"/>
                    <w:ind w:firstLine="0" w:firstLineChars="0"/>
                    <w:rPr>
                      <w:rFonts w:eastAsia="宋体"/>
                      <w:kern w:val="0"/>
                      <w:sz w:val="21"/>
                    </w:rPr>
                  </w:pPr>
                  <w:r>
                    <w:rPr>
                      <w:rFonts w:eastAsia="宋体"/>
                      <w:kern w:val="0"/>
                      <w:sz w:val="21"/>
                    </w:rPr>
                    <w:t>-大气污染防治重点区域执行大气污染物执行特别排放限值，严禁新增钢铁、电力、水泥、玻璃、砖瓦、陶瓷、焦化、电解铝、有色等重点行业大气污染物排放。</w:t>
                  </w:r>
                </w:p>
                <w:p>
                  <w:pPr>
                    <w:widowControl/>
                    <w:adjustRightInd w:val="0"/>
                    <w:snapToGrid w:val="0"/>
                    <w:spacing w:line="240" w:lineRule="auto"/>
                    <w:ind w:firstLine="0" w:firstLineChars="0"/>
                    <w:rPr>
                      <w:rStyle w:val="63"/>
                      <w:rFonts w:hint="default" w:ascii="Times New Roman" w:hAnsi="Times New Roman"/>
                      <w:snapToGrid w:val="0"/>
                      <w:color w:val="auto"/>
                      <w:kern w:val="0"/>
                      <w:sz w:val="21"/>
                      <w:szCs w:val="21"/>
                    </w:rPr>
                  </w:pPr>
                  <w:r>
                    <w:rPr>
                      <w:kern w:val="0"/>
                      <w:sz w:val="21"/>
                      <w:szCs w:val="21"/>
                    </w:rPr>
                    <w:t>-非金属矿行业绿色矿山建设要求：固体废物妥善处置率应达到100%；选矿废水重复利用率一般达到85%以上。</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ind w:firstLine="420"/>
                  </w:pPr>
                  <w:r>
                    <w:t>本项目为页岩油勘探项目，项目仅包含施工期，不涉及总量指标；</w:t>
                  </w:r>
                </w:p>
                <w:p>
                  <w:pPr>
                    <w:pStyle w:val="83"/>
                    <w:snapToGrid w:val="0"/>
                    <w:ind w:firstLine="420"/>
                  </w:pPr>
                  <w:r>
                    <w:t>项目选址不在大气环境重点管控区内，项目施工期产生的生活垃圾由当地环评部门统一清运；项目不属于规模化养殖场或养殖小区，项目产生的固体废物妥善处置率可达到100%</w:t>
                  </w:r>
                  <w:r>
                    <w:rPr>
                      <w:rStyle w:val="63"/>
                      <w:rFonts w:hint="default" w:ascii="Times New Roman" w:hAnsi="Times New Roman"/>
                      <w:color w:val="auto"/>
                      <w:sz w:val="21"/>
                      <w:szCs w:val="21"/>
                    </w:rPr>
                    <w:t>。</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环境风险防控</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联防联控要求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kern w:val="0"/>
                      <w:sz w:val="21"/>
                      <w:szCs w:val="21"/>
                    </w:rPr>
                  </w:pPr>
                  <w:r>
                    <w:rPr>
                      <w:kern w:val="0"/>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ind w:firstLine="420"/>
                  </w:pPr>
                  <w:r>
                    <w:t>项目为页岩油勘探项目，建设单位及施工单位均为正规国有企业，建立完善的井控风险管理制度及体系，项目环境风险整体可控。</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其他环境风险防控要求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rPr>
                      <w:rFonts w:eastAsia="宋体"/>
                      <w:kern w:val="0"/>
                      <w:sz w:val="21"/>
                    </w:rPr>
                  </w:pPr>
                  <w:r>
                    <w:rPr>
                      <w:rFonts w:eastAsia="宋体"/>
                      <w:kern w:val="0"/>
                      <w:sz w:val="21"/>
                    </w:rPr>
                    <w:t>企业环境风险防控要求</w:t>
                  </w:r>
                  <w:r>
                    <w:rPr>
                      <w:rFonts w:eastAsia="宋体"/>
                      <w:sz w:val="21"/>
                    </w:rPr>
                    <w:t>：</w:t>
                  </w:r>
                  <w:r>
                    <w:rPr>
                      <w:rFonts w:eastAsia="宋体"/>
                      <w:kern w:val="0"/>
                      <w:sz w:val="21"/>
                    </w:rPr>
                    <w:t>工业企业退出用地，须经评估、修复满足相应用地功能后，方可改变用途。</w:t>
                  </w:r>
                </w:p>
                <w:p>
                  <w:pPr>
                    <w:pStyle w:val="82"/>
                    <w:adjustRightInd w:val="0"/>
                    <w:snapToGrid w:val="0"/>
                    <w:spacing w:line="240" w:lineRule="auto"/>
                    <w:ind w:firstLine="0" w:firstLineChars="0"/>
                    <w:rPr>
                      <w:rFonts w:eastAsia="宋体"/>
                      <w:kern w:val="0"/>
                      <w:sz w:val="21"/>
                    </w:rPr>
                  </w:pPr>
                  <w:r>
                    <w:rPr>
                      <w:rFonts w:eastAsia="宋体"/>
                      <w:kern w:val="0"/>
                      <w:sz w:val="21"/>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pStyle w:val="82"/>
                    <w:adjustRightInd w:val="0"/>
                    <w:snapToGrid w:val="0"/>
                    <w:spacing w:line="240" w:lineRule="auto"/>
                    <w:ind w:firstLine="0" w:firstLineChars="0"/>
                    <w:rPr>
                      <w:rFonts w:eastAsia="宋体"/>
                      <w:kern w:val="0"/>
                      <w:sz w:val="21"/>
                    </w:rPr>
                  </w:pPr>
                  <w:r>
                    <w:rPr>
                      <w:rFonts w:eastAsia="宋体"/>
                      <w:kern w:val="0"/>
                      <w:sz w:val="21"/>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82"/>
                    <w:adjustRightInd w:val="0"/>
                    <w:snapToGrid w:val="0"/>
                    <w:spacing w:line="240" w:lineRule="auto"/>
                    <w:ind w:firstLine="0" w:firstLineChars="0"/>
                    <w:rPr>
                      <w:rFonts w:eastAsia="宋体"/>
                      <w:kern w:val="0"/>
                      <w:sz w:val="21"/>
                    </w:rPr>
                  </w:pPr>
                  <w:r>
                    <w:rPr>
                      <w:rFonts w:eastAsia="宋体"/>
                      <w:kern w:val="0"/>
                      <w:sz w:val="21"/>
                    </w:rPr>
                    <w:t>用地环境风险防控要求</w:t>
                  </w:r>
                  <w:r>
                    <w:rPr>
                      <w:rFonts w:eastAsia="宋体"/>
                      <w:sz w:val="21"/>
                    </w:rPr>
                    <w:t>：</w:t>
                  </w:r>
                  <w:r>
                    <w:rPr>
                      <w:rFonts w:eastAsia="宋体"/>
                      <w:kern w:val="0"/>
                      <w:sz w:val="21"/>
                    </w:rPr>
                    <w:t>严禁将城镇生活垃圾、污泥、工业废物直接用作肥料，禁止处理不达标的污泥进入耕地；禁止在农用地排放、倾倒、使用污泥、清淤底泥、尾矿（渣）等可能对土壤造成污染的固体废物。禁止处理不达标的污泥进入耕地。</w:t>
                  </w:r>
                </w:p>
                <w:p>
                  <w:pPr>
                    <w:pStyle w:val="82"/>
                    <w:adjustRightInd w:val="0"/>
                    <w:snapToGrid w:val="0"/>
                    <w:spacing w:line="240" w:lineRule="auto"/>
                    <w:ind w:firstLine="0" w:firstLineChars="0"/>
                    <w:rPr>
                      <w:rFonts w:eastAsia="宋体"/>
                      <w:kern w:val="0"/>
                      <w:sz w:val="21"/>
                    </w:rPr>
                  </w:pPr>
                  <w:r>
                    <w:rPr>
                      <w:rFonts w:eastAsia="宋体"/>
                      <w:kern w:val="0"/>
                      <w:sz w:val="21"/>
                    </w:rPr>
                    <w:t>禁止在农用地排放、倾倒、使用污泥、清淤底泥、尾矿（渣）等可能对土壤造成污染的固体废物。</w:t>
                  </w:r>
                </w:p>
                <w:p>
                  <w:pPr>
                    <w:pStyle w:val="82"/>
                    <w:adjustRightInd w:val="0"/>
                    <w:snapToGrid w:val="0"/>
                    <w:spacing w:line="240" w:lineRule="auto"/>
                    <w:ind w:firstLine="0" w:firstLineChars="0"/>
                    <w:rPr>
                      <w:rFonts w:eastAsia="宋体"/>
                      <w:kern w:val="0"/>
                      <w:sz w:val="21"/>
                    </w:rPr>
                  </w:pPr>
                  <w:r>
                    <w:rPr>
                      <w:rFonts w:eastAsia="宋体"/>
                      <w:kern w:val="0"/>
                      <w:sz w:val="21"/>
                    </w:rPr>
                    <w:t>严格控制林地、草地、园地的农药使用量，禁止使用高毒、高残留农药。</w:t>
                  </w:r>
                </w:p>
                <w:p>
                  <w:pPr>
                    <w:autoSpaceDE w:val="0"/>
                    <w:autoSpaceDN w:val="0"/>
                    <w:adjustRightInd w:val="0"/>
                    <w:snapToGrid w:val="0"/>
                    <w:spacing w:line="240" w:lineRule="auto"/>
                    <w:ind w:firstLine="0" w:firstLineChars="0"/>
                    <w:rPr>
                      <w:bCs/>
                      <w:snapToGrid w:val="0"/>
                      <w:kern w:val="0"/>
                      <w:sz w:val="21"/>
                      <w:szCs w:val="21"/>
                    </w:rPr>
                  </w:pPr>
                  <w:r>
                    <w:rPr>
                      <w:kern w:val="0"/>
                      <w:sz w:val="21"/>
                      <w:szCs w:val="21"/>
                    </w:rPr>
                    <w:t>到2030年，全市受污染耕地安全利用率达到95%以上，污染地块安全利用率达到95%以上。</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ind w:firstLine="420"/>
                  </w:pPr>
                  <w:r>
                    <w:t>本项目为页岩油勘探项目，不涉及工业企业用地腾退，不属于“散乱污”企业，项目产生的各项固废均可得到妥善处置，不涉及固体废物违规处置；项目不涉及尾矿库建设，项目可在场地内实现土石方平衡，不涉及排土场、渣场建设。</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资源开发效率要求</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水资源利用总量要求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kern w:val="0"/>
                      <w:sz w:val="21"/>
                      <w:szCs w:val="21"/>
                    </w:rPr>
                  </w:pPr>
                  <w:r>
                    <w:rPr>
                      <w:bCs/>
                      <w:snapToGrid w:val="0"/>
                      <w:sz w:val="21"/>
                      <w:szCs w:val="21"/>
                    </w:rPr>
                    <w:t>-到2025年，农田灌溉水有效利用系数达到0.57以上。</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本项目不涉及</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地下水开采要求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kern w:val="0"/>
                      <w:sz w:val="21"/>
                      <w:szCs w:val="21"/>
                    </w:rPr>
                  </w:pPr>
                  <w:r>
                    <w:rPr>
                      <w:bCs/>
                      <w:snapToGrid w:val="0"/>
                      <w:sz w:val="21"/>
                      <w:szCs w:val="21"/>
                    </w:rPr>
                    <w:t>以省市下发指标为准</w:t>
                  </w:r>
                </w:p>
              </w:tc>
              <w:tc>
                <w:tcPr>
                  <w:tcW w:w="2018" w:type="dxa"/>
                  <w:tcBorders>
                    <w:left w:val="single" w:color="auto" w:sz="4" w:space="0"/>
                    <w:right w:val="single" w:color="auto" w:sz="4" w:space="0"/>
                  </w:tcBorders>
                  <w:shd w:val="clear" w:color="auto" w:fill="auto"/>
                  <w:vAlign w:val="center"/>
                </w:tcPr>
                <w:p>
                  <w:pPr>
                    <w:pStyle w:val="83"/>
                    <w:snapToGrid w:val="0"/>
                    <w:ind w:firstLine="420"/>
                  </w:pPr>
                  <w:r>
                    <w:t>本项目为页岩油勘探项目，不涉及地下水开采</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能源利用总量及效率要求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bCs/>
                      <w:snapToGrid w:val="0"/>
                      <w:sz w:val="21"/>
                      <w:szCs w:val="21"/>
                    </w:rPr>
                    <w:t>-推进清洁能源的推广使用，全面推进散煤清洁化整治；禁止新建每小时10蒸吨以下的燃煤锅炉及其他燃煤设施。</w:t>
                  </w:r>
                </w:p>
                <w:p>
                  <w:pPr>
                    <w:autoSpaceDE w:val="0"/>
                    <w:autoSpaceDN w:val="0"/>
                    <w:adjustRightInd w:val="0"/>
                    <w:snapToGrid w:val="0"/>
                    <w:spacing w:line="240" w:lineRule="auto"/>
                    <w:ind w:firstLine="0" w:firstLineChars="0"/>
                    <w:rPr>
                      <w:bCs/>
                      <w:snapToGrid w:val="0"/>
                      <w:sz w:val="21"/>
                      <w:szCs w:val="21"/>
                    </w:rPr>
                  </w:pPr>
                  <w:r>
                    <w:rPr>
                      <w:bCs/>
                      <w:snapToGrid w:val="0"/>
                      <w:sz w:val="21"/>
                      <w:szCs w:val="21"/>
                    </w:rPr>
                    <w:t>-禁止焚烧秸秆和垃圾，到2025年底，秸秆综合利用率达到86%以上。</w:t>
                  </w:r>
                </w:p>
                <w:p>
                  <w:pPr>
                    <w:autoSpaceDE w:val="0"/>
                    <w:autoSpaceDN w:val="0"/>
                    <w:adjustRightInd w:val="0"/>
                    <w:snapToGrid w:val="0"/>
                    <w:spacing w:line="240" w:lineRule="auto"/>
                    <w:ind w:firstLine="0" w:firstLineChars="0"/>
                    <w:rPr>
                      <w:bCs/>
                      <w:snapToGrid w:val="0"/>
                      <w:kern w:val="0"/>
                      <w:sz w:val="21"/>
                      <w:szCs w:val="21"/>
                    </w:rPr>
                  </w:pPr>
                  <w:r>
                    <w:rPr>
                      <w:bCs/>
                      <w:snapToGrid w:val="0"/>
                      <w:sz w:val="21"/>
                      <w:szCs w:val="21"/>
                    </w:rPr>
                    <w:t>-实施煤炭消费总量控制：严格控制煤炭消费总量；严格控制新建、改建、扩建耗煤项目，新增耗煤项目实行煤炭消耗减量倍量替代。</w:t>
                  </w:r>
                </w:p>
              </w:tc>
              <w:tc>
                <w:tcPr>
                  <w:tcW w:w="2018" w:type="dxa"/>
                  <w:tcBorders>
                    <w:left w:val="single" w:color="auto" w:sz="4" w:space="0"/>
                    <w:right w:val="single" w:color="auto" w:sz="4" w:space="0"/>
                  </w:tcBorders>
                  <w:shd w:val="clear" w:color="auto" w:fill="auto"/>
                  <w:vAlign w:val="center"/>
                </w:tcPr>
                <w:p>
                  <w:pPr>
                    <w:pStyle w:val="83"/>
                    <w:snapToGrid w:val="0"/>
                  </w:pPr>
                  <w:r>
                    <w:t>项目不涉及燃煤锅炉及其他燃煤设施使用，不涉及秸秆及垃圾焚烧</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禁燃区要求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bCs/>
                      <w:snapToGrid w:val="0"/>
                      <w:sz w:val="21"/>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autoSpaceDE w:val="0"/>
                    <w:autoSpaceDN w:val="0"/>
                    <w:adjustRightInd w:val="0"/>
                    <w:snapToGrid w:val="0"/>
                    <w:spacing w:line="240" w:lineRule="auto"/>
                    <w:ind w:firstLine="0" w:firstLineChars="0"/>
                    <w:rPr>
                      <w:bCs/>
                      <w:snapToGrid w:val="0"/>
                      <w:sz w:val="21"/>
                      <w:szCs w:val="21"/>
                    </w:rPr>
                  </w:pPr>
                  <w:r>
                    <w:rPr>
                      <w:bCs/>
                      <w:snapToGrid w:val="0"/>
                      <w:sz w:val="21"/>
                      <w:szCs w:val="21"/>
                    </w:rPr>
                    <w:t>-禁燃区内禁止销售、燃用高污染燃料；禁止新建、改建、扩建燃用高污染燃料的设施和设备。</w:t>
                  </w:r>
                </w:p>
                <w:p>
                  <w:pPr>
                    <w:autoSpaceDE w:val="0"/>
                    <w:autoSpaceDN w:val="0"/>
                    <w:adjustRightInd w:val="0"/>
                    <w:snapToGrid w:val="0"/>
                    <w:spacing w:line="240" w:lineRule="auto"/>
                    <w:ind w:firstLine="0" w:firstLineChars="0"/>
                    <w:rPr>
                      <w:bCs/>
                      <w:snapToGrid w:val="0"/>
                      <w:kern w:val="0"/>
                      <w:sz w:val="21"/>
                      <w:szCs w:val="21"/>
                    </w:rPr>
                  </w:pPr>
                  <w:r>
                    <w:rPr>
                      <w:bCs/>
                      <w:snapToGrid w:val="0"/>
                      <w:sz w:val="21"/>
                      <w:szCs w:val="21"/>
                    </w:rPr>
                    <w:t>-禁燃区内已建成的高污染燃料燃用设施由辖区人民政府制定限期改造计划，改用天然气、页岩气、液化石油气、电或其他清洁能源。</w:t>
                  </w:r>
                </w:p>
              </w:tc>
              <w:tc>
                <w:tcPr>
                  <w:tcW w:w="2018" w:type="dxa"/>
                  <w:tcBorders>
                    <w:left w:val="single" w:color="auto" w:sz="4" w:space="0"/>
                    <w:right w:val="single" w:color="auto" w:sz="4" w:space="0"/>
                  </w:tcBorders>
                  <w:shd w:val="clear" w:color="auto" w:fill="auto"/>
                  <w:vAlign w:val="center"/>
                </w:tcPr>
                <w:p>
                  <w:pPr>
                    <w:pStyle w:val="83"/>
                    <w:snapToGrid w:val="0"/>
                  </w:pPr>
                  <w:r>
                    <w:t>项目不涉及高污染燃料使用，钻井动力采用优质柴油发电，可实现达标排放</w:t>
                  </w:r>
                </w:p>
              </w:tc>
              <w:tc>
                <w:tcPr>
                  <w:tcW w:w="1277" w:type="dxa"/>
                  <w:tcBorders>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2"/>
                    <w:widowControl/>
                    <w:adjustRightInd w:val="0"/>
                    <w:snapToGrid w:val="0"/>
                    <w:spacing w:line="240" w:lineRule="auto"/>
                    <w:ind w:firstLine="0" w:firstLineChars="0"/>
                    <w:jc w:val="center"/>
                    <w:rPr>
                      <w:rFonts w:eastAsia="宋体"/>
                      <w:snapToGrid w:val="0"/>
                      <w:kern w:val="0"/>
                      <w:sz w:val="21"/>
                    </w:rPr>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其他资源利用效率要求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sz w:val="21"/>
                      <w:szCs w:val="21"/>
                    </w:rPr>
                    <w:t>/</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pPr>
                  <w:r>
                    <w:rPr>
                      <w:bCs/>
                    </w:rPr>
                    <w:t>/</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restart"/>
                  <w:tcBorders>
                    <w:top w:val="single" w:color="auto" w:sz="4" w:space="0"/>
                    <w:left w:val="single" w:color="auto" w:sz="4" w:space="0"/>
                    <w:right w:val="single" w:color="auto" w:sz="4" w:space="0"/>
                  </w:tcBorders>
                  <w:shd w:val="clear" w:color="auto" w:fill="auto"/>
                  <w:vAlign w:val="center"/>
                </w:tcPr>
                <w:p>
                  <w:pPr>
                    <w:pStyle w:val="83"/>
                    <w:snapToGrid w:val="0"/>
                  </w:pPr>
                  <w:r>
                    <w:t>单元特性管控要求</w:t>
                  </w: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3"/>
                    <w:snapToGrid w:val="0"/>
                  </w:pPr>
                  <w:r>
                    <w:t>空间布局约束</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禁止开发建设活动的要求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bCs/>
                      <w:snapToGrid w:val="0"/>
                      <w:kern w:val="0"/>
                      <w:sz w:val="21"/>
                    </w:rPr>
                  </w:pPr>
                  <w:r>
                    <w:rPr>
                      <w:rFonts w:eastAsia="宋体"/>
                      <w:snapToGrid w:val="0"/>
                      <w:sz w:val="21"/>
                    </w:rPr>
                    <w:t>执行达州市要素重点管控单元总体准入要求</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项目符合达州市要素重点管控单元总体准入要求</w:t>
                  </w:r>
                </w:p>
              </w:tc>
              <w:tc>
                <w:tcPr>
                  <w:tcW w:w="1277"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pStyle w:val="83"/>
                    <w:snapToGrid w:val="0"/>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限制开发建设活动的要求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执行达州市要素重点管控单元总体准入要求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t>项目符合达州市要素重点管控单元总体准入要求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pStyle w:val="83"/>
                    <w:snapToGrid w:val="0"/>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sz w:val="21"/>
                      <w:szCs w:val="21"/>
                    </w:rPr>
                    <w:t>允许开发建设活动的要求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sz w:val="21"/>
                    </w:rPr>
                  </w:pPr>
                  <w:r>
                    <w:rPr>
                      <w:rFonts w:eastAsia="宋体"/>
                      <w:snapToGrid w:val="0"/>
                      <w:sz w:val="21"/>
                    </w:rPr>
                    <w:t>/</w:t>
                  </w:r>
                </w:p>
              </w:tc>
              <w:tc>
                <w:tcPr>
                  <w:tcW w:w="2018" w:type="dxa"/>
                  <w:tcBorders>
                    <w:left w:val="single" w:color="auto" w:sz="4" w:space="0"/>
                    <w:right w:val="single" w:color="auto" w:sz="4" w:space="0"/>
                  </w:tcBorders>
                  <w:shd w:val="clear" w:color="auto" w:fill="auto"/>
                  <w:vAlign w:val="center"/>
                </w:tcPr>
                <w:p>
                  <w:pPr>
                    <w:pStyle w:val="83"/>
                    <w:snapToGrid w:val="0"/>
                    <w:rPr>
                      <w:rStyle w:val="63"/>
                      <w:rFonts w:hint="default" w:ascii="Times New Roman" w:hAnsi="Times New Roman"/>
                      <w:color w:val="auto"/>
                      <w:sz w:val="21"/>
                      <w:szCs w:val="21"/>
                    </w:rPr>
                  </w:pPr>
                  <w:r>
                    <w:t>/</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pStyle w:val="83"/>
                    <w:snapToGrid w:val="0"/>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不符合空间布局要求活动的退出要求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napToGrid w:val="0"/>
                      <w:kern w:val="0"/>
                      <w:sz w:val="21"/>
                    </w:rPr>
                  </w:pPr>
                  <w:r>
                    <w:rPr>
                      <w:rFonts w:eastAsia="宋体"/>
                      <w:snapToGrid w:val="0"/>
                      <w:sz w:val="21"/>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tc>
              <w:tc>
                <w:tcPr>
                  <w:tcW w:w="2018" w:type="dxa"/>
                  <w:tcBorders>
                    <w:left w:val="single" w:color="auto" w:sz="4" w:space="0"/>
                    <w:right w:val="single" w:color="auto" w:sz="4" w:space="0"/>
                  </w:tcBorders>
                  <w:shd w:val="clear" w:color="auto" w:fill="auto"/>
                  <w:vAlign w:val="center"/>
                </w:tcPr>
                <w:p>
                  <w:pPr>
                    <w:pStyle w:val="83"/>
                    <w:snapToGrid w:val="0"/>
                    <w:ind w:firstLine="420"/>
                    <w:rPr>
                      <w:rStyle w:val="63"/>
                      <w:rFonts w:hint="default" w:ascii="Times New Roman" w:hAnsi="Times New Roman"/>
                      <w:color w:val="auto"/>
                      <w:sz w:val="21"/>
                      <w:szCs w:val="21"/>
                    </w:rPr>
                  </w:pPr>
                  <w:r>
                    <w:rPr>
                      <w:rStyle w:val="63"/>
                      <w:rFonts w:hint="default" w:ascii="Times New Roman" w:hAnsi="Times New Roman"/>
                      <w:color w:val="auto"/>
                      <w:sz w:val="21"/>
                      <w:szCs w:val="21"/>
                    </w:rPr>
                    <w:t>本项目不涉及且</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pStyle w:val="83"/>
                    <w:snapToGrid w:val="0"/>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其他空间布局约束要求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Style w:val="63"/>
                      <w:rFonts w:hint="default" w:ascii="Times New Roman" w:hAnsi="Times New Roman"/>
                      <w:snapToGrid w:val="0"/>
                      <w:color w:val="auto"/>
                      <w:kern w:val="0"/>
                      <w:sz w:val="21"/>
                      <w:szCs w:val="21"/>
                    </w:rPr>
                  </w:pPr>
                  <w:r>
                    <w:rPr>
                      <w:rStyle w:val="63"/>
                      <w:rFonts w:hint="default" w:ascii="Times New Roman" w:hAnsi="Times New Roman"/>
                      <w:snapToGrid w:val="0"/>
                      <w:color w:val="auto"/>
                      <w:kern w:val="0"/>
                      <w:sz w:val="21"/>
                      <w:szCs w:val="21"/>
                    </w:rPr>
                    <w:t>/</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rPr>
                      <w:rStyle w:val="63"/>
                      <w:rFonts w:hint="default" w:ascii="Times New Roman" w:hAnsi="Times New Roman"/>
                      <w:color w:val="auto"/>
                      <w:sz w:val="21"/>
                      <w:szCs w:val="21"/>
                    </w:rPr>
                  </w:pPr>
                  <w:r>
                    <w:rPr>
                      <w:rStyle w:val="63"/>
                      <w:rFonts w:hint="default" w:ascii="Times New Roman" w:hAnsi="Times New Roman"/>
                      <w:color w:val="auto"/>
                      <w:sz w:val="21"/>
                      <w:szCs w:val="21"/>
                    </w:rPr>
                    <w:t>/</w:t>
                  </w:r>
                </w:p>
              </w:tc>
              <w:tc>
                <w:tcPr>
                  <w:tcW w:w="1277"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rStyle w:val="63"/>
                      <w:rFonts w:hint="default" w:ascii="Times New Roman" w:hAnsi="Times New Roman"/>
                      <w:snapToGrid w:val="0"/>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3"/>
                    <w:snapToGrid w:val="0"/>
                  </w:pPr>
                  <w:r>
                    <w:t>污染物排放管控</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现有源提标升级改造</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项目符合达州市要素重点管控单元总体准入要求</w:t>
                  </w:r>
                </w:p>
              </w:tc>
              <w:tc>
                <w:tcPr>
                  <w:tcW w:w="1277"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新增源等量或倍量替代</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napToGrid w:val="0"/>
                      <w:kern w:val="0"/>
                      <w:sz w:val="21"/>
                    </w:rPr>
                  </w:pPr>
                  <w:r>
                    <w:rPr>
                      <w:rFonts w:eastAsia="宋体"/>
                      <w:snapToGrid w:val="0"/>
                      <w:sz w:val="21"/>
                    </w:rPr>
                    <w:t>通川区全域属于四川省大气污染防治重点区域，执行大气污染物特别排放限值。其他同达州市要素重点管控单元总体准入要求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项目污染物排放按</w:t>
                  </w:r>
                  <w:r>
                    <w:t>大气污染物特别排放限值执行，且符合达州市要素重点管控单元总体准入要求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新增源排放标准限值</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napToGrid w:val="0"/>
                      <w:kern w:val="0"/>
                      <w:sz w:val="21"/>
                    </w:rPr>
                  </w:pPr>
                  <w:r>
                    <w:rPr>
                      <w:rFonts w:eastAsia="宋体"/>
                      <w:snapToGrid w:val="0"/>
                      <w:sz w:val="21"/>
                    </w:rPr>
                    <w:t>通川区全域属于四川省大气污染防治重点区域，执行大气污染物特别排放限值。其他同达州市要素重点总体准入要求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项目污染物排放按</w:t>
                  </w:r>
                  <w:r>
                    <w:t>大气污染物特别排放限值执行，且符合达州市要素重点管控单元总体准入要求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污染物排放绩效水平准入要求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napToGrid w:val="0"/>
                      <w:sz w:val="21"/>
                    </w:rPr>
                  </w:pPr>
                  <w:r>
                    <w:rPr>
                      <w:rFonts w:eastAsia="宋体"/>
                      <w:snapToGrid w:val="0"/>
                      <w:sz w:val="21"/>
                    </w:rPr>
                    <w:t>国电达州发电有限公司执行超低排放，加强污染治理设施日常运行管理，确保稳定达标排放。</w:t>
                  </w:r>
                </w:p>
                <w:p>
                  <w:pPr>
                    <w:pStyle w:val="82"/>
                    <w:widowControl/>
                    <w:shd w:val="clear" w:color="auto" w:fill="FFFFFF"/>
                    <w:adjustRightInd w:val="0"/>
                    <w:snapToGrid w:val="0"/>
                    <w:spacing w:line="240" w:lineRule="auto"/>
                    <w:ind w:firstLine="0" w:firstLineChars="0"/>
                    <w:rPr>
                      <w:rFonts w:eastAsia="宋体"/>
                      <w:snapToGrid w:val="0"/>
                      <w:kern w:val="0"/>
                      <w:sz w:val="21"/>
                    </w:rPr>
                  </w:pPr>
                  <w:r>
                    <w:rPr>
                      <w:rFonts w:eastAsia="宋体"/>
                      <w:snapToGrid w:val="0"/>
                      <w:sz w:val="21"/>
                    </w:rPr>
                    <w:t>大气环境布局敏感重点管控区内，现有砖瓦厂、混凝土及制品等大气污染重点企业，限期进行深度治理或关停并转。其他同达州市要素重点总体准入要求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本项目不涉及，</w:t>
                  </w:r>
                  <w:r>
                    <w:t>且符合达州市要素重点管控单元总体准入要求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其他污染物排放管控要求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3"/>
                    <w:snapToGrid w:val="0"/>
                  </w:pPr>
                  <w:r>
                    <w:t>环境风险防控</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严格管控类农用地管控要求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安全利用类农用地管控要求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污染地块管控要求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园区环境风险防控要求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w:t>
                  </w:r>
                </w:p>
              </w:tc>
              <w:tc>
                <w:tcPr>
                  <w:tcW w:w="2018" w:type="dxa"/>
                  <w:tcBorders>
                    <w:left w:val="single" w:color="auto" w:sz="4" w:space="0"/>
                    <w:right w:val="single" w:color="auto" w:sz="4" w:space="0"/>
                  </w:tcBorders>
                  <w:shd w:val="clear" w:color="auto" w:fill="auto"/>
                  <w:vAlign w:val="center"/>
                </w:tcPr>
                <w:p>
                  <w:pPr>
                    <w:pStyle w:val="83"/>
                    <w:snapToGrid w:val="0"/>
                  </w:pPr>
                  <w:r>
                    <w:t>/</w:t>
                  </w:r>
                </w:p>
              </w:tc>
              <w:tc>
                <w:tcPr>
                  <w:tcW w:w="1277" w:type="dxa"/>
                  <w:tcBorders>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企业环境风险防控要求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其他环境风险防控要求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pStyle w:val="83"/>
                    <w:snapToGrid w:val="0"/>
                  </w:pPr>
                  <w:r>
                    <w:t>资源开发效率要求</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水资源利用效率要求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地下水开采要求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能源利用效率要求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同达州市要素重点管控单元总体准入要求</w:t>
                  </w:r>
                </w:p>
              </w:tc>
              <w:tc>
                <w:tcPr>
                  <w:tcW w:w="2018" w:type="dxa"/>
                  <w:tcBorders>
                    <w:left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w:t>
                  </w:r>
                  <w:r>
                    <w:t>符合达州市要素重点管控单元总体准入要求</w:t>
                  </w:r>
                </w:p>
              </w:tc>
              <w:tc>
                <w:tcPr>
                  <w:tcW w:w="1277"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pStyle w:val="83"/>
                    <w:snapToGrid w:val="0"/>
                  </w:pP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其他资源利用效率要求</w:t>
                  </w:r>
                </w:p>
              </w:tc>
              <w:tc>
                <w:tcPr>
                  <w:tcW w:w="45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jc w:val="center"/>
                    <w:rPr>
                      <w:rFonts w:eastAsia="宋体"/>
                      <w:snapToGrid w:val="0"/>
                      <w:kern w:val="0"/>
                      <w:sz w:val="21"/>
                    </w:rPr>
                  </w:pPr>
                  <w:r>
                    <w:rPr>
                      <w:rFonts w:eastAsia="宋体"/>
                      <w:snapToGrid w:val="0"/>
                      <w:sz w:val="21"/>
                    </w:rPr>
                    <w:t>禁燃区要求：同达州市要素重点总体准入要求</w:t>
                  </w:r>
                </w:p>
              </w:tc>
              <w:tc>
                <w:tcPr>
                  <w:tcW w:w="2018" w:type="dxa"/>
                  <w:tcBorders>
                    <w:left w:val="single" w:color="auto" w:sz="4" w:space="0"/>
                    <w:bottom w:val="single" w:color="auto" w:sz="4" w:space="0"/>
                    <w:right w:val="single" w:color="auto" w:sz="4" w:space="0"/>
                  </w:tcBorders>
                  <w:shd w:val="clear" w:color="auto" w:fill="auto"/>
                  <w:vAlign w:val="center"/>
                </w:tcPr>
                <w:p>
                  <w:pPr>
                    <w:pStyle w:val="83"/>
                    <w:snapToGrid w:val="0"/>
                  </w:pPr>
                  <w:r>
                    <w:rPr>
                      <w:rStyle w:val="63"/>
                      <w:rFonts w:hint="default" w:ascii="Times New Roman" w:hAnsi="Times New Roman"/>
                      <w:color w:val="auto"/>
                      <w:sz w:val="21"/>
                      <w:szCs w:val="21"/>
                    </w:rPr>
                    <w:t>项目选址不在禁燃区内</w:t>
                  </w:r>
                </w:p>
              </w:tc>
              <w:tc>
                <w:tcPr>
                  <w:tcW w:w="1277"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restart"/>
                  <w:tcBorders>
                    <w:top w:val="single" w:color="auto" w:sz="4" w:space="0"/>
                    <w:left w:val="single" w:color="auto" w:sz="4" w:space="0"/>
                    <w:right w:val="single" w:color="auto" w:sz="4" w:space="0"/>
                  </w:tcBorders>
                  <w:shd w:val="clear" w:color="auto" w:fill="auto"/>
                  <w:vAlign w:val="center"/>
                </w:tcPr>
                <w:p>
                  <w:pPr>
                    <w:pStyle w:val="81"/>
                    <w:widowControl/>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管控单元名称：</w:t>
                  </w:r>
                  <w:r>
                    <w:rPr>
                      <w:rFonts w:eastAsia="宋体"/>
                      <w:snapToGrid w:val="0"/>
                      <w:sz w:val="21"/>
                    </w:rPr>
                    <w:t>通川区大气环境布局敏感重点管控区</w:t>
                  </w:r>
                  <w:r>
                    <w:rPr>
                      <w:rFonts w:eastAsia="宋体"/>
                      <w:snapToGrid w:val="0"/>
                      <w:kern w:val="0"/>
                      <w:sz w:val="21"/>
                    </w:rPr>
                    <w:t>；管控单元编码：</w:t>
                  </w:r>
                  <w:r>
                    <w:rPr>
                      <w:rFonts w:eastAsia="宋体"/>
                      <w:snapToGrid w:val="0"/>
                      <w:sz w:val="21"/>
                    </w:rPr>
                    <w:t>YS5117022320001</w:t>
                  </w:r>
                  <w:r>
                    <w:rPr>
                      <w:rFonts w:eastAsia="宋体"/>
                      <w:snapToGrid w:val="0"/>
                      <w:kern w:val="0"/>
                      <w:sz w:val="21"/>
                    </w:rPr>
                    <w:t>；管控类型：</w:t>
                  </w:r>
                  <w:r>
                    <w:rPr>
                      <w:rFonts w:eastAsia="宋体"/>
                      <w:snapToGrid w:val="0"/>
                      <w:sz w:val="21"/>
                    </w:rPr>
                    <w:t>大气环境布局敏感重点管控区</w:t>
                  </w:r>
                </w:p>
              </w:tc>
              <w:tc>
                <w:tcPr>
                  <w:tcW w:w="843"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sz w:val="21"/>
                      <w:szCs w:val="21"/>
                    </w:rPr>
                    <w:t>达州市</w:t>
                  </w:r>
                  <w:r>
                    <w:rPr>
                      <w:bCs/>
                      <w:snapToGrid w:val="0"/>
                      <w:kern w:val="0"/>
                      <w:sz w:val="21"/>
                      <w:szCs w:val="21"/>
                    </w:rPr>
                    <w:t>普适性清单</w:t>
                  </w:r>
                </w:p>
              </w:tc>
              <w:tc>
                <w:tcPr>
                  <w:tcW w:w="679" w:type="dxa"/>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snapToGrid w:val="0"/>
                      <w:kern w:val="0"/>
                      <w:sz w:val="21"/>
                      <w:szCs w:val="21"/>
                    </w:rPr>
                  </w:pPr>
                  <w:r>
                    <w:rPr>
                      <w:bCs/>
                      <w:snapToGrid w:val="0"/>
                      <w:kern w:val="0"/>
                      <w:sz w:val="21"/>
                      <w:szCs w:val="21"/>
                    </w:rPr>
                    <w:t>空间布局约束</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禁止开发建设活动的要求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限制开发建设活动的要求</w:t>
                  </w:r>
                  <w:r>
                    <w:rPr>
                      <w:bCs/>
                      <w:snapToGrid w:val="0"/>
                      <w:sz w:val="21"/>
                      <w:szCs w:val="21"/>
                    </w:rPr>
                    <w:t>：</w:t>
                  </w:r>
                  <w:r>
                    <w:rPr>
                      <w:rStyle w:val="63"/>
                      <w:rFonts w:hint="default" w:ascii="Times New Roman" w:hAnsi="Times New Roman"/>
                      <w:snapToGrid w:val="0"/>
                      <w:color w:val="auto"/>
                      <w:kern w:val="0"/>
                      <w:sz w:val="21"/>
                      <w:szCs w:val="21"/>
                    </w:rPr>
                    <w:t>暂无</w:t>
                  </w:r>
                </w:p>
                <w:p>
                  <w:pPr>
                    <w:pStyle w:val="82"/>
                    <w:adjustRightInd w:val="0"/>
                    <w:snapToGrid w:val="0"/>
                    <w:spacing w:line="240" w:lineRule="auto"/>
                    <w:ind w:firstLine="0" w:firstLineChars="0"/>
                    <w:jc w:val="center"/>
                    <w:rPr>
                      <w:rStyle w:val="63"/>
                      <w:rFonts w:hint="default" w:ascii="Times New Roman" w:hAnsi="Times New Roman"/>
                      <w:snapToGrid w:val="0"/>
                      <w:color w:val="auto"/>
                      <w:sz w:val="21"/>
                      <w:szCs w:val="21"/>
                    </w:rPr>
                  </w:pPr>
                  <w:r>
                    <w:rPr>
                      <w:rFonts w:eastAsia="宋体"/>
                      <w:bCs/>
                      <w:snapToGrid w:val="0"/>
                      <w:kern w:val="0"/>
                      <w:sz w:val="21"/>
                    </w:rPr>
                    <w:t>不符合空间布局要求活动的退出要求</w:t>
                  </w:r>
                  <w:r>
                    <w:rPr>
                      <w:rFonts w:eastAsia="宋体"/>
                      <w:bCs/>
                      <w:snapToGrid w:val="0"/>
                      <w:sz w:val="21"/>
                    </w:rPr>
                    <w:t>：</w:t>
                  </w:r>
                  <w:r>
                    <w:rPr>
                      <w:rStyle w:val="63"/>
                      <w:rFonts w:hint="default" w:ascii="Times New Roman" w:hAnsi="Times New Roman"/>
                      <w:snapToGrid w:val="0"/>
                      <w:color w:val="auto"/>
                      <w:kern w:val="0"/>
                      <w:sz w:val="21"/>
                      <w:szCs w:val="21"/>
                    </w:rPr>
                    <w:t>暂无</w:t>
                  </w:r>
                </w:p>
                <w:p>
                  <w:pPr>
                    <w:adjustRightInd w:val="0"/>
                    <w:snapToGrid w:val="0"/>
                    <w:spacing w:line="240" w:lineRule="auto"/>
                    <w:ind w:firstLine="0" w:firstLineChars="0"/>
                    <w:jc w:val="center"/>
                    <w:rPr>
                      <w:bCs/>
                      <w:snapToGrid w:val="0"/>
                      <w:kern w:val="0"/>
                      <w:sz w:val="21"/>
                      <w:szCs w:val="21"/>
                    </w:rPr>
                  </w:pPr>
                  <w:r>
                    <w:rPr>
                      <w:bCs/>
                      <w:snapToGrid w:val="0"/>
                      <w:kern w:val="0"/>
                      <w:sz w:val="21"/>
                      <w:szCs w:val="21"/>
                    </w:rPr>
                    <w:t>其他空间布局约束要求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r>
                    <w:rPr>
                      <w:bCs/>
                      <w:snapToGrid w:val="0"/>
                      <w:kern w:val="0"/>
                      <w:sz w:val="21"/>
                      <w:szCs w:val="21"/>
                    </w:rPr>
                    <w:t>污染物排放管控</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允许排放量要求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现有源提标升级改造</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其他污染物排放管控要求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环境风险防控</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联防联控要求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其他环境风险防控要求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资源开发效率</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水资源利用总量要求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地下水开采要求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能源利用总量及效率要求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jc w:val="center"/>
                    <w:rPr>
                      <w:bCs/>
                      <w:snapToGrid w:val="0"/>
                      <w:sz w:val="21"/>
                      <w:szCs w:val="21"/>
                    </w:rPr>
                  </w:pPr>
                  <w:r>
                    <w:rPr>
                      <w:bCs/>
                      <w:snapToGrid w:val="0"/>
                      <w:kern w:val="0"/>
                      <w:sz w:val="21"/>
                      <w:szCs w:val="21"/>
                    </w:rPr>
                    <w:t>禁燃区要求</w:t>
                  </w:r>
                  <w:r>
                    <w:rPr>
                      <w:bCs/>
                      <w:snapToGrid w:val="0"/>
                      <w:sz w:val="21"/>
                      <w:szCs w:val="21"/>
                    </w:rPr>
                    <w:t>：</w:t>
                  </w:r>
                  <w:r>
                    <w:rPr>
                      <w:rStyle w:val="63"/>
                      <w:rFonts w:hint="default" w:ascii="Times New Roman" w:hAnsi="Times New Roman"/>
                      <w:snapToGrid w:val="0"/>
                      <w:color w:val="auto"/>
                      <w:kern w:val="0"/>
                      <w:sz w:val="21"/>
                      <w:szCs w:val="21"/>
                    </w:rPr>
                    <w:t>暂无</w:t>
                  </w:r>
                </w:p>
                <w:p>
                  <w:pPr>
                    <w:adjustRightInd w:val="0"/>
                    <w:snapToGrid w:val="0"/>
                    <w:spacing w:line="240" w:lineRule="auto"/>
                    <w:ind w:firstLine="0" w:firstLineChars="0"/>
                    <w:jc w:val="center"/>
                    <w:rPr>
                      <w:bCs/>
                      <w:snapToGrid w:val="0"/>
                      <w:kern w:val="0"/>
                      <w:sz w:val="21"/>
                      <w:szCs w:val="21"/>
                    </w:rPr>
                  </w:pPr>
                  <w:r>
                    <w:rPr>
                      <w:bCs/>
                      <w:snapToGrid w:val="0"/>
                      <w:kern w:val="0"/>
                      <w:sz w:val="21"/>
                      <w:szCs w:val="21"/>
                    </w:rPr>
                    <w:t>其他资源利用效率要求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restart"/>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单元特性管控要求</w:t>
                  </w:r>
                </w:p>
              </w:tc>
              <w:tc>
                <w:tcPr>
                  <w:tcW w:w="679" w:type="dxa"/>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空间布局约束</w:t>
                  </w:r>
                </w:p>
              </w:tc>
              <w:tc>
                <w:tcPr>
                  <w:tcW w:w="6035" w:type="dxa"/>
                  <w:gridSpan w:val="2"/>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sz w:val="21"/>
                      <w:szCs w:val="21"/>
                    </w:rPr>
                    <w:t>禁止开发建设活动的要求</w:t>
                  </w:r>
                </w:p>
                <w:p>
                  <w:pPr>
                    <w:widowControl/>
                    <w:adjustRightInd w:val="0"/>
                    <w:snapToGrid w:val="0"/>
                    <w:spacing w:line="240" w:lineRule="auto"/>
                    <w:ind w:firstLine="0" w:firstLineChars="0"/>
                    <w:rPr>
                      <w:rStyle w:val="63"/>
                      <w:rFonts w:hint="default" w:ascii="Times New Roman" w:hAnsi="Times New Roman"/>
                      <w:snapToGrid w:val="0"/>
                      <w:color w:val="auto"/>
                      <w:sz w:val="21"/>
                      <w:szCs w:val="21"/>
                    </w:rPr>
                  </w:pPr>
                  <w:r>
                    <w:rPr>
                      <w:rStyle w:val="63"/>
                      <w:rFonts w:hint="default" w:ascii="Times New Roman" w:hAnsi="Times New Roman"/>
                      <w:snapToGrid w:val="0"/>
                      <w:color w:val="auto"/>
                      <w:sz w:val="21"/>
                      <w:szCs w:val="21"/>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限制开发建设活动的要求：/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允许开发建设活动的要求：/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不符合空间布局要求活动的退出要求：/</w:t>
                  </w:r>
                </w:p>
                <w:p>
                  <w:pPr>
                    <w:pStyle w:val="82"/>
                    <w:widowControl/>
                    <w:shd w:val="clear" w:color="auto" w:fill="FFFFFF"/>
                    <w:adjustRightInd w:val="0"/>
                    <w:snapToGrid w:val="0"/>
                    <w:spacing w:line="240" w:lineRule="auto"/>
                    <w:ind w:firstLine="0" w:firstLineChars="0"/>
                    <w:rPr>
                      <w:rStyle w:val="63"/>
                      <w:rFonts w:hint="default" w:ascii="Times New Roman" w:hAnsi="Times New Roman"/>
                      <w:snapToGrid w:val="0"/>
                      <w:color w:val="auto"/>
                      <w:kern w:val="0"/>
                      <w:sz w:val="21"/>
                      <w:szCs w:val="21"/>
                    </w:rPr>
                  </w:pPr>
                  <w:r>
                    <w:rPr>
                      <w:rFonts w:eastAsia="宋体"/>
                      <w:sz w:val="21"/>
                    </w:rPr>
                    <w:t>其他空间布局约束要求：/</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本项目为页岩油勘探项目，不属于</w:t>
                  </w:r>
                  <w:r>
                    <w:rPr>
                      <w:rStyle w:val="63"/>
                      <w:rFonts w:hint="default" w:ascii="Times New Roman" w:hAnsi="Times New Roman"/>
                      <w:color w:val="auto"/>
                      <w:sz w:val="21"/>
                      <w:szCs w:val="21"/>
                    </w:rPr>
                    <w:t>高耗能、高排放、低水平项目</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污染物排放管控</w:t>
                  </w:r>
                </w:p>
              </w:tc>
              <w:tc>
                <w:tcPr>
                  <w:tcW w:w="6035" w:type="dxa"/>
                  <w:gridSpan w:val="2"/>
                  <w:tcBorders>
                    <w:top w:val="single" w:color="auto" w:sz="4" w:space="0"/>
                    <w:left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大气环境质量执行标准</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《环境空气质量标准》（GB3095-2012）：二级</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区域大气污染物削减/替代要求：/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燃煤和其他能源大气污染控制要求：/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工业废气污染控制要求：/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机动车船大气污染控制要求：/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扬尘污染控制要求：/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农业生产经营活动大气污染控制要求：/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重点行业企业专项治理要求：/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其他大气污染物排放管控要求：/</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ind w:firstLine="420"/>
                  </w:pPr>
                  <w:r>
                    <w:t>本项目为页岩油勘探项目，项目建设不会降低区域环境空气质量等级</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环境风险防控</w:t>
                  </w:r>
                </w:p>
              </w:tc>
              <w:tc>
                <w:tcPr>
                  <w:tcW w:w="6035" w:type="dxa"/>
                  <w:gridSpan w:val="2"/>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资源开发效率</w:t>
                  </w:r>
                </w:p>
              </w:tc>
              <w:tc>
                <w:tcPr>
                  <w:tcW w:w="6035" w:type="dxa"/>
                  <w:gridSpan w:val="2"/>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sz w:val="21"/>
                      <w:szCs w:val="21"/>
                    </w:rPr>
                    <w:t>/</w:t>
                  </w:r>
                </w:p>
              </w:tc>
              <w:tc>
                <w:tcPr>
                  <w:tcW w:w="2018"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restart"/>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r>
                    <w:rPr>
                      <w:rFonts w:eastAsia="宋体"/>
                      <w:snapToGrid w:val="0"/>
                      <w:kern w:val="0"/>
                      <w:sz w:val="21"/>
                    </w:rPr>
                    <w:t>管控单元名称：</w:t>
                  </w:r>
                  <w:r>
                    <w:rPr>
                      <w:rFonts w:eastAsia="宋体"/>
                      <w:sz w:val="21"/>
                    </w:rPr>
                    <w:t>长滩河-通川区-控制单元</w:t>
                  </w:r>
                  <w:r>
                    <w:rPr>
                      <w:rFonts w:eastAsia="宋体"/>
                      <w:snapToGrid w:val="0"/>
                      <w:kern w:val="0"/>
                      <w:sz w:val="21"/>
                    </w:rPr>
                    <w:t>；管控单元编码：</w:t>
                  </w:r>
                  <w:r>
                    <w:rPr>
                      <w:rFonts w:eastAsia="宋体"/>
                      <w:sz w:val="21"/>
                    </w:rPr>
                    <w:t>YS5117023210004</w:t>
                  </w:r>
                  <w:r>
                    <w:rPr>
                      <w:rFonts w:eastAsia="宋体"/>
                      <w:snapToGrid w:val="0"/>
                      <w:kern w:val="0"/>
                      <w:sz w:val="21"/>
                    </w:rPr>
                    <w:t>；管控类型：</w:t>
                  </w:r>
                  <w:r>
                    <w:rPr>
                      <w:rFonts w:eastAsia="宋体"/>
                      <w:sz w:val="21"/>
                    </w:rPr>
                    <w:t>水环境一般管控区</w:t>
                  </w:r>
                </w:p>
              </w:tc>
              <w:tc>
                <w:tcPr>
                  <w:tcW w:w="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rFonts w:hint="eastAsia"/>
                      <w:bCs/>
                      <w:snapToGrid w:val="0"/>
                      <w:sz w:val="21"/>
                      <w:szCs w:val="21"/>
                    </w:rPr>
                    <w:t>达州</w:t>
                  </w:r>
                  <w:r>
                    <w:rPr>
                      <w:bCs/>
                      <w:snapToGrid w:val="0"/>
                      <w:kern w:val="0"/>
                      <w:sz w:val="21"/>
                      <w:szCs w:val="21"/>
                    </w:rPr>
                    <w:t>市普适性清单</w:t>
                  </w:r>
                </w:p>
              </w:tc>
              <w:tc>
                <w:tcPr>
                  <w:tcW w:w="679" w:type="dxa"/>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jc w:val="center"/>
                    <w:rPr>
                      <w:snapToGrid w:val="0"/>
                      <w:kern w:val="0"/>
                      <w:sz w:val="21"/>
                      <w:szCs w:val="21"/>
                    </w:rPr>
                  </w:pPr>
                  <w:r>
                    <w:rPr>
                      <w:bCs/>
                      <w:snapToGrid w:val="0"/>
                      <w:kern w:val="0"/>
                      <w:sz w:val="21"/>
                      <w:szCs w:val="21"/>
                    </w:rPr>
                    <w:t>空间布局约束</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bCs/>
                      <w:snapToGrid w:val="0"/>
                      <w:sz w:val="21"/>
                      <w:szCs w:val="21"/>
                    </w:rPr>
                  </w:pPr>
                  <w:r>
                    <w:rPr>
                      <w:bCs/>
                      <w:snapToGrid w:val="0"/>
                      <w:kern w:val="0"/>
                      <w:sz w:val="21"/>
                      <w:szCs w:val="21"/>
                    </w:rPr>
                    <w:t>禁止开发建设活动的要求</w:t>
                  </w:r>
                  <w:r>
                    <w:rPr>
                      <w:bCs/>
                      <w:snapToGrid w:val="0"/>
                      <w:sz w:val="21"/>
                      <w:szCs w:val="21"/>
                    </w:rPr>
                    <w:t>：</w:t>
                  </w:r>
                  <w:r>
                    <w:rPr>
                      <w:rStyle w:val="63"/>
                      <w:rFonts w:hint="default" w:ascii="Times New Roman" w:hAnsi="Times New Roman"/>
                      <w:snapToGrid w:val="0"/>
                      <w:color w:val="auto"/>
                      <w:kern w:val="0"/>
                      <w:sz w:val="21"/>
                      <w:szCs w:val="21"/>
                    </w:rPr>
                    <w:t>暂无</w:t>
                  </w:r>
                </w:p>
                <w:p>
                  <w:pPr>
                    <w:pStyle w:val="82"/>
                    <w:adjustRightInd w:val="0"/>
                    <w:snapToGrid w:val="0"/>
                    <w:spacing w:line="240" w:lineRule="auto"/>
                    <w:ind w:firstLine="0" w:firstLineChars="0"/>
                    <w:rPr>
                      <w:rFonts w:eastAsia="宋体"/>
                      <w:snapToGrid w:val="0"/>
                      <w:sz w:val="21"/>
                    </w:rPr>
                  </w:pPr>
                  <w:r>
                    <w:rPr>
                      <w:rFonts w:eastAsia="宋体"/>
                      <w:bCs/>
                      <w:snapToGrid w:val="0"/>
                      <w:kern w:val="0"/>
                      <w:sz w:val="21"/>
                    </w:rPr>
                    <w:t>限制开发建设活动的要求</w:t>
                  </w:r>
                  <w:r>
                    <w:rPr>
                      <w:rFonts w:eastAsia="宋体"/>
                      <w:bCs/>
                      <w:snapToGrid w:val="0"/>
                      <w:sz w:val="21"/>
                    </w:rPr>
                    <w:t>：</w:t>
                  </w:r>
                  <w:r>
                    <w:rPr>
                      <w:rStyle w:val="63"/>
                      <w:rFonts w:hint="default" w:ascii="Times New Roman" w:hAnsi="Times New Roman"/>
                      <w:snapToGrid w:val="0"/>
                      <w:color w:val="auto"/>
                      <w:kern w:val="0"/>
                      <w:sz w:val="21"/>
                      <w:szCs w:val="21"/>
                    </w:rPr>
                    <w:t>暂无</w:t>
                  </w:r>
                </w:p>
                <w:p>
                  <w:pPr>
                    <w:pStyle w:val="82"/>
                    <w:adjustRightInd w:val="0"/>
                    <w:snapToGrid w:val="0"/>
                    <w:spacing w:line="240" w:lineRule="auto"/>
                    <w:ind w:firstLine="0" w:firstLineChars="0"/>
                    <w:rPr>
                      <w:rStyle w:val="63"/>
                      <w:rFonts w:hint="default" w:ascii="Times New Roman" w:hAnsi="Times New Roman"/>
                      <w:snapToGrid w:val="0"/>
                      <w:color w:val="auto"/>
                      <w:sz w:val="21"/>
                      <w:szCs w:val="21"/>
                    </w:rPr>
                  </w:pPr>
                  <w:r>
                    <w:rPr>
                      <w:rFonts w:eastAsia="宋体"/>
                      <w:bCs/>
                      <w:snapToGrid w:val="0"/>
                      <w:kern w:val="0"/>
                      <w:sz w:val="21"/>
                    </w:rPr>
                    <w:t>不符合空间布局要求活动的退出要求</w:t>
                  </w:r>
                  <w:r>
                    <w:rPr>
                      <w:rFonts w:eastAsia="宋体"/>
                      <w:bCs/>
                      <w:snapToGrid w:val="0"/>
                      <w:sz w:val="21"/>
                    </w:rPr>
                    <w:t>：</w:t>
                  </w:r>
                  <w:r>
                    <w:rPr>
                      <w:rStyle w:val="63"/>
                      <w:rFonts w:hint="default" w:ascii="Times New Roman" w:hAnsi="Times New Roman"/>
                      <w:snapToGrid w:val="0"/>
                      <w:color w:val="auto"/>
                      <w:kern w:val="0"/>
                      <w:sz w:val="21"/>
                      <w:szCs w:val="21"/>
                    </w:rPr>
                    <w:t>暂无</w:t>
                  </w:r>
                </w:p>
                <w:p>
                  <w:pPr>
                    <w:adjustRightInd w:val="0"/>
                    <w:snapToGrid w:val="0"/>
                    <w:spacing w:line="240" w:lineRule="auto"/>
                    <w:ind w:firstLine="0" w:firstLineChars="0"/>
                    <w:rPr>
                      <w:bCs/>
                      <w:snapToGrid w:val="0"/>
                      <w:kern w:val="0"/>
                      <w:sz w:val="21"/>
                      <w:szCs w:val="21"/>
                    </w:rPr>
                  </w:pPr>
                  <w:r>
                    <w:rPr>
                      <w:bCs/>
                      <w:snapToGrid w:val="0"/>
                      <w:kern w:val="0"/>
                      <w:sz w:val="21"/>
                      <w:szCs w:val="21"/>
                    </w:rPr>
                    <w:t>其他空间布局约束要求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rPr>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r>
                    <w:rPr>
                      <w:bCs/>
                      <w:snapToGrid w:val="0"/>
                      <w:kern w:val="0"/>
                      <w:sz w:val="21"/>
                      <w:szCs w:val="21"/>
                    </w:rPr>
                    <w:t>污染物排放管控</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允许排放量要求</w:t>
                  </w:r>
                  <w:r>
                    <w:rPr>
                      <w:bCs/>
                      <w:snapToGrid w:val="0"/>
                      <w:sz w:val="21"/>
                      <w:szCs w:val="21"/>
                    </w:rPr>
                    <w:t>：</w:t>
                  </w:r>
                  <w:r>
                    <w:rPr>
                      <w:rStyle w:val="63"/>
                      <w:rFonts w:hint="default" w:ascii="Times New Roman" w:hAnsi="Times New Roman"/>
                      <w:snapToGrid w:val="0"/>
                      <w:color w:val="auto"/>
                      <w:kern w:val="0"/>
                      <w:sz w:val="21"/>
                      <w:szCs w:val="21"/>
                    </w:rPr>
                    <w:t>暂无</w:t>
                  </w:r>
                </w:p>
                <w:p>
                  <w:pPr>
                    <w:widowControl/>
                    <w:adjustRightInd w:val="0"/>
                    <w:snapToGrid w:val="0"/>
                    <w:spacing w:line="240" w:lineRule="auto"/>
                    <w:ind w:firstLine="0" w:firstLineChars="0"/>
                    <w:rPr>
                      <w:rStyle w:val="63"/>
                      <w:rFonts w:hint="default" w:ascii="Times New Roman" w:hAnsi="Times New Roman"/>
                      <w:snapToGrid w:val="0"/>
                      <w:color w:val="auto"/>
                      <w:sz w:val="21"/>
                      <w:szCs w:val="21"/>
                    </w:rPr>
                  </w:pPr>
                  <w:r>
                    <w:rPr>
                      <w:bCs/>
                      <w:snapToGrid w:val="0"/>
                      <w:kern w:val="0"/>
                      <w:sz w:val="21"/>
                      <w:szCs w:val="21"/>
                    </w:rPr>
                    <w:t>现有源提标升级改造</w:t>
                  </w:r>
                  <w:r>
                    <w:rPr>
                      <w:bCs/>
                      <w:snapToGrid w:val="0"/>
                      <w:sz w:val="21"/>
                      <w:szCs w:val="21"/>
                    </w:rPr>
                    <w:t>：</w:t>
                  </w:r>
                  <w:r>
                    <w:rPr>
                      <w:rStyle w:val="63"/>
                      <w:rFonts w:hint="default" w:ascii="Times New Roman" w:hAnsi="Times New Roman"/>
                      <w:snapToGrid w:val="0"/>
                      <w:color w:val="auto"/>
                      <w:kern w:val="0"/>
                      <w:sz w:val="21"/>
                      <w:szCs w:val="21"/>
                    </w:rPr>
                    <w:t>暂无</w:t>
                  </w:r>
                </w:p>
                <w:p>
                  <w:pPr>
                    <w:adjustRightInd w:val="0"/>
                    <w:snapToGrid w:val="0"/>
                    <w:spacing w:line="240" w:lineRule="auto"/>
                    <w:ind w:firstLine="0" w:firstLineChars="0"/>
                    <w:rPr>
                      <w:bCs/>
                      <w:snapToGrid w:val="0"/>
                      <w:kern w:val="0"/>
                      <w:sz w:val="21"/>
                      <w:szCs w:val="21"/>
                    </w:rPr>
                  </w:pPr>
                  <w:r>
                    <w:rPr>
                      <w:bCs/>
                      <w:snapToGrid w:val="0"/>
                      <w:kern w:val="0"/>
                      <w:sz w:val="21"/>
                      <w:szCs w:val="21"/>
                    </w:rPr>
                    <w:t>其他污染物排放管控要求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restart"/>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环境风险防控</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联防联控要求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rPr>
                      <w:bCs/>
                      <w:snapToGrid w:val="0"/>
                      <w:kern w:val="0"/>
                      <w:sz w:val="21"/>
                      <w:szCs w:val="21"/>
                    </w:rPr>
                  </w:pPr>
                  <w:r>
                    <w:rPr>
                      <w:bCs/>
                      <w:snapToGrid w:val="0"/>
                      <w:kern w:val="0"/>
                      <w:sz w:val="21"/>
                      <w:szCs w:val="21"/>
                    </w:rPr>
                    <w:t>其他环境风险防控要求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restart"/>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资源开发效率</w:t>
                  </w:r>
                </w:p>
              </w:tc>
              <w:tc>
                <w:tcPr>
                  <w:tcW w:w="6035" w:type="dxa"/>
                  <w:gridSpan w:val="2"/>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水资源利用总量要求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地下水开采要求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能源利用总量及效率要求</w:t>
                  </w:r>
                  <w:r>
                    <w:rPr>
                      <w:bCs/>
                      <w:snapToGrid w:val="0"/>
                      <w:sz w:val="21"/>
                      <w:szCs w:val="21"/>
                    </w:rPr>
                    <w:t>：</w:t>
                  </w:r>
                  <w:r>
                    <w:rPr>
                      <w:rStyle w:val="63"/>
                      <w:rFonts w:hint="default" w:ascii="Times New Roman" w:hAnsi="Times New Roman"/>
                      <w:snapToGrid w:val="0"/>
                      <w:color w:val="auto"/>
                      <w:kern w:val="0"/>
                      <w:sz w:val="21"/>
                      <w:szCs w:val="21"/>
                    </w:rPr>
                    <w:t>暂无</w:t>
                  </w:r>
                </w:p>
                <w:p>
                  <w:pPr>
                    <w:autoSpaceDE w:val="0"/>
                    <w:autoSpaceDN w:val="0"/>
                    <w:adjustRightInd w:val="0"/>
                    <w:snapToGrid w:val="0"/>
                    <w:spacing w:line="240" w:lineRule="auto"/>
                    <w:ind w:firstLine="0" w:firstLineChars="0"/>
                    <w:rPr>
                      <w:bCs/>
                      <w:snapToGrid w:val="0"/>
                      <w:sz w:val="21"/>
                      <w:szCs w:val="21"/>
                    </w:rPr>
                  </w:pPr>
                  <w:r>
                    <w:rPr>
                      <w:bCs/>
                      <w:snapToGrid w:val="0"/>
                      <w:kern w:val="0"/>
                      <w:sz w:val="21"/>
                      <w:szCs w:val="21"/>
                    </w:rPr>
                    <w:t>禁燃区要求</w:t>
                  </w:r>
                  <w:r>
                    <w:rPr>
                      <w:bCs/>
                      <w:snapToGrid w:val="0"/>
                      <w:sz w:val="21"/>
                      <w:szCs w:val="21"/>
                    </w:rPr>
                    <w:t>：</w:t>
                  </w:r>
                  <w:r>
                    <w:rPr>
                      <w:rStyle w:val="63"/>
                      <w:rFonts w:hint="default" w:ascii="Times New Roman" w:hAnsi="Times New Roman"/>
                      <w:snapToGrid w:val="0"/>
                      <w:color w:val="auto"/>
                      <w:kern w:val="0"/>
                      <w:sz w:val="21"/>
                      <w:szCs w:val="21"/>
                    </w:rPr>
                    <w:t>暂无</w:t>
                  </w:r>
                </w:p>
                <w:p>
                  <w:pPr>
                    <w:adjustRightInd w:val="0"/>
                    <w:snapToGrid w:val="0"/>
                    <w:spacing w:line="240" w:lineRule="auto"/>
                    <w:ind w:firstLine="0" w:firstLineChars="0"/>
                    <w:rPr>
                      <w:bCs/>
                      <w:snapToGrid w:val="0"/>
                      <w:kern w:val="0"/>
                      <w:sz w:val="21"/>
                      <w:szCs w:val="21"/>
                    </w:rPr>
                  </w:pPr>
                  <w:r>
                    <w:rPr>
                      <w:bCs/>
                      <w:snapToGrid w:val="0"/>
                      <w:kern w:val="0"/>
                      <w:sz w:val="21"/>
                      <w:szCs w:val="21"/>
                    </w:rPr>
                    <w:t>其他资源利用效率要求</w:t>
                  </w:r>
                  <w:r>
                    <w:rPr>
                      <w:bCs/>
                      <w:snapToGrid w:val="0"/>
                      <w:sz w:val="21"/>
                      <w:szCs w:val="21"/>
                    </w:rPr>
                    <w:t>：</w:t>
                  </w:r>
                  <w:r>
                    <w:rPr>
                      <w:rStyle w:val="63"/>
                      <w:rFonts w:hint="default" w:ascii="Times New Roman" w:hAnsi="Times New Roman"/>
                      <w:snapToGrid w:val="0"/>
                      <w:color w:val="auto"/>
                      <w:kern w:val="0"/>
                      <w:sz w:val="21"/>
                      <w:szCs w:val="21"/>
                    </w:rPr>
                    <w:t>暂无</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snapToGrid w:val="0"/>
                      <w:kern w:val="0"/>
                      <w:sz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79" w:type="dxa"/>
                  <w:vMerge w:val="continue"/>
                  <w:tcBorders>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p>
              </w:tc>
              <w:tc>
                <w:tcPr>
                  <w:tcW w:w="6035"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Style w:val="63"/>
                      <w:rFonts w:hint="default" w:ascii="Times New Roman" w:hAnsi="Times New Roman"/>
                      <w:snapToGrid w:val="0"/>
                      <w:color w:val="auto"/>
                      <w:kern w:val="0"/>
                      <w:sz w:val="21"/>
                      <w:szCs w:val="21"/>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bCs/>
                      <w:snapToGrid w:val="0"/>
                      <w:kern w:val="0"/>
                      <w:sz w:val="21"/>
                      <w:szCs w:val="21"/>
                    </w:rPr>
                  </w:pPr>
                  <w:r>
                    <w:rPr>
                      <w:bCs/>
                      <w:snapToGrid w:val="0"/>
                      <w:kern w:val="0"/>
                      <w:sz w:val="21"/>
                      <w:szCs w:val="21"/>
                    </w:rPr>
                    <w:t>单元特性管控要求</w:t>
                  </w: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空间布局约束</w:t>
                  </w:r>
                </w:p>
              </w:tc>
              <w:tc>
                <w:tcPr>
                  <w:tcW w:w="60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禁止开发建设活动的要求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不再新建、改扩建开采规模在50万吨/年以下的磷矿，不再新建露天磷矿</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限制开发建设活动的要求：/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允许开发建设活动的要求：/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不符合空间布局要求活动的退出要求：/</w:t>
                  </w:r>
                </w:p>
                <w:p>
                  <w:pPr>
                    <w:adjustRightInd w:val="0"/>
                    <w:snapToGrid w:val="0"/>
                    <w:spacing w:line="240" w:lineRule="auto"/>
                    <w:ind w:firstLine="0" w:firstLineChars="0"/>
                    <w:rPr>
                      <w:bCs/>
                      <w:snapToGrid w:val="0"/>
                      <w:kern w:val="0"/>
                      <w:sz w:val="21"/>
                      <w:szCs w:val="21"/>
                      <w:highlight w:val="yellow"/>
                    </w:rPr>
                  </w:pPr>
                  <w:r>
                    <w:rPr>
                      <w:sz w:val="21"/>
                      <w:szCs w:val="21"/>
                    </w:rPr>
                    <w:t>其他空间布局约束要求：/</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本项目不涉及</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污染物排放管控</w:t>
                  </w:r>
                </w:p>
              </w:tc>
              <w:tc>
                <w:tcPr>
                  <w:tcW w:w="60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城镇污水污染控制措施要求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1、持续推进环保基础设施补短板，完善污水收集处理系统。2、保障乡镇污水收集处理设施顺畅运行。3、推进污水直排口排查与整治，落实“一口一策”整改措施。</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工业废水污染控制措施要求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1、落实主要污染物排放总量指标控制要求，加强入河排污口登记、审批和监督管理。2、强化流域内工业点源、规模化畜禽养殖场运行监管，避免偷排、漏排。</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农业面源水污染控制措施要求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1、推进农村污染治理，稳步农村污水处理设施建设，适当预留发展空间，宜集中则集中，宜分散则分散。大力推进农村生活垃圾就地分类减量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船舶港口水污染控制措施要求：/</w:t>
                  </w:r>
                </w:p>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饮用水水源和其它特殊水体保护要求：/</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本项目不涉及</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bCs/>
                      <w:snapToGrid w:val="0"/>
                      <w:kern w:val="0"/>
                      <w:sz w:val="21"/>
                      <w:szCs w:val="21"/>
                    </w:rPr>
                    <w:t>环境风险防控</w:t>
                  </w:r>
                </w:p>
              </w:tc>
              <w:tc>
                <w:tcPr>
                  <w:tcW w:w="60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82"/>
                    <w:widowControl/>
                    <w:shd w:val="clear" w:color="auto" w:fill="FFFFFF"/>
                    <w:adjustRightInd w:val="0"/>
                    <w:snapToGrid w:val="0"/>
                    <w:spacing w:line="240" w:lineRule="auto"/>
                    <w:ind w:firstLine="0" w:firstLineChars="0"/>
                    <w:rPr>
                      <w:rFonts w:eastAsia="宋体"/>
                      <w:sz w:val="21"/>
                    </w:rPr>
                  </w:pPr>
                  <w:r>
                    <w:rPr>
                      <w:rFonts w:eastAsia="宋体"/>
                      <w:sz w:val="21"/>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ind w:firstLine="420"/>
                  </w:pPr>
                  <w:r>
                    <w:t>项目为页岩油勘探项目，建设单位及施工单位均为正规国有企业，建立完善的井控风险管理制度及体系，项目环境风险整体可控。</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3"/>
                    <w:snapToGrid w:val="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060"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843"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snapToGrid w:val="0"/>
                      <w:kern w:val="0"/>
                      <w:sz w:val="21"/>
                      <w:szCs w:val="21"/>
                    </w:rPr>
                  </w:pPr>
                </w:p>
              </w:tc>
              <w:tc>
                <w:tcPr>
                  <w:tcW w:w="679" w:type="dxa"/>
                  <w:tcBorders>
                    <w:top w:val="single" w:color="auto" w:sz="4" w:space="0"/>
                    <w:left w:val="single" w:color="auto" w:sz="4" w:space="0"/>
                    <w:right w:val="single" w:color="auto" w:sz="4" w:space="0"/>
                  </w:tcBorders>
                  <w:shd w:val="clear" w:color="auto" w:fill="auto"/>
                  <w:vAlign w:val="center"/>
                </w:tcPr>
                <w:p>
                  <w:pPr>
                    <w:pStyle w:val="82"/>
                    <w:adjustRightInd w:val="0"/>
                    <w:snapToGrid w:val="0"/>
                    <w:spacing w:line="240" w:lineRule="auto"/>
                    <w:ind w:firstLine="0" w:firstLineChars="0"/>
                    <w:jc w:val="center"/>
                    <w:rPr>
                      <w:rFonts w:eastAsia="宋体"/>
                      <w:bCs/>
                      <w:snapToGrid w:val="0"/>
                      <w:kern w:val="0"/>
                      <w:sz w:val="21"/>
                    </w:rPr>
                  </w:pPr>
                  <w:r>
                    <w:rPr>
                      <w:rFonts w:eastAsia="宋体"/>
                      <w:snapToGrid w:val="0"/>
                      <w:kern w:val="0"/>
                      <w:sz w:val="21"/>
                    </w:rPr>
                    <w:t>资源开发效率要求</w:t>
                  </w:r>
                </w:p>
              </w:tc>
              <w:tc>
                <w:tcPr>
                  <w:tcW w:w="6035" w:type="dxa"/>
                  <w:gridSpan w:val="2"/>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240" w:lineRule="auto"/>
                    <w:ind w:firstLine="0" w:firstLineChars="0"/>
                    <w:rPr>
                      <w:bCs/>
                      <w:snapToGrid w:val="0"/>
                      <w:kern w:val="0"/>
                      <w:sz w:val="21"/>
                      <w:szCs w:val="21"/>
                    </w:rPr>
                  </w:pPr>
                  <w:r>
                    <w:rPr>
                      <w:sz w:val="21"/>
                      <w:szCs w:val="21"/>
                    </w:rPr>
                    <w:t>强化种植业节水；推进农村污水分质资源化利用。</w:t>
                  </w:r>
                </w:p>
              </w:tc>
              <w:tc>
                <w:tcPr>
                  <w:tcW w:w="2018"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snapToGrid w:val="0"/>
                      <w:sz w:val="21"/>
                      <w:szCs w:val="21"/>
                    </w:rPr>
                    <w:t>本项目不涉及</w:t>
                  </w:r>
                </w:p>
              </w:tc>
              <w:tc>
                <w:tcPr>
                  <w:tcW w:w="1277" w:type="dxa"/>
                  <w:tcBorders>
                    <w:top w:val="single" w:color="auto" w:sz="4" w:space="0"/>
                    <w:left w:val="single" w:color="auto" w:sz="4" w:space="0"/>
                    <w:right w:val="single" w:color="auto" w:sz="4" w:space="0"/>
                  </w:tcBorders>
                  <w:shd w:val="clear" w:color="auto" w:fill="auto"/>
                  <w:vAlign w:val="center"/>
                </w:tcPr>
                <w:p>
                  <w:pPr>
                    <w:pStyle w:val="83"/>
                    <w:snapToGrid w:val="0"/>
                  </w:pPr>
                  <w:r>
                    <w:t>符合</w:t>
                  </w:r>
                </w:p>
              </w:tc>
            </w:tr>
          </w:tbl>
          <w:p>
            <w:pPr>
              <w:autoSpaceDE w:val="0"/>
              <w:autoSpaceDN w:val="0"/>
              <w:adjustRightInd w:val="0"/>
              <w:snapToGrid w:val="0"/>
              <w:ind w:firstLine="420"/>
              <w:rPr>
                <w:kern w:val="0"/>
                <w:sz w:val="21"/>
                <w:szCs w:val="21"/>
              </w:rPr>
            </w:pPr>
            <w:r>
              <w:rPr>
                <w:rFonts w:hint="eastAsia"/>
                <w:kern w:val="0"/>
                <w:sz w:val="21"/>
                <w:szCs w:val="21"/>
              </w:rPr>
              <w:t>综上所述，拟建项目与达州市市各环境管控单元相关管控要求相符。经过与“三线一单”对照分析，项目选址不在生态保护红线内，不在自然保护区、风景名胜区及饮用水水源保护区等环境敏感区内，未超出环境质量底线及资源利用上线、不属于当地环境准入负面清单，项目符合</w:t>
            </w:r>
            <w:r>
              <w:rPr>
                <w:rFonts w:hint="eastAsia" w:hAnsi="宋体"/>
                <w:snapToGrid w:val="0"/>
                <w:kern w:val="0"/>
                <w:sz w:val="21"/>
                <w:szCs w:val="21"/>
              </w:rPr>
              <w:t>《达州市人民政府关于落实生态保护红线、环境质量底线、资源利用上线制定生态环境准入清单实施生态环境分区管控的通知》（达市府发〔2021〕17号）</w:t>
            </w:r>
            <w:r>
              <w:rPr>
                <w:rFonts w:hint="eastAsia"/>
                <w:kern w:val="0"/>
                <w:sz w:val="21"/>
                <w:szCs w:val="21"/>
              </w:rPr>
              <w:t>及四川省政务网“四川省“三线一单”符合性分析报告”相关要求。</w:t>
            </w:r>
          </w:p>
          <w:p>
            <w:pPr>
              <w:autoSpaceDE w:val="0"/>
              <w:autoSpaceDN w:val="0"/>
              <w:adjustRightInd w:val="0"/>
              <w:snapToGrid w:val="0"/>
              <w:spacing w:line="240" w:lineRule="auto"/>
              <w:ind w:firstLine="0" w:firstLineChars="0"/>
              <w:jc w:val="center"/>
              <w:rPr>
                <w:b/>
                <w:kern w:val="0"/>
                <w:sz w:val="21"/>
                <w:szCs w:val="21"/>
              </w:rPr>
            </w:pPr>
          </w:p>
        </w:tc>
      </w:tr>
    </w:tbl>
    <w:p>
      <w:pPr>
        <w:ind w:firstLine="420"/>
        <w:outlineLvl w:val="0"/>
        <w:rPr>
          <w:sz w:val="21"/>
          <w:szCs w:val="21"/>
        </w:rPr>
        <w:sectPr>
          <w:pgSz w:w="16838" w:h="11906" w:orient="landscape"/>
          <w:pgMar w:top="1440" w:right="1440" w:bottom="1440" w:left="1440" w:header="851" w:footer="1077" w:gutter="0"/>
          <w:cols w:space="720" w:num="1"/>
          <w:docGrid w:linePitch="326" w:charSpace="0"/>
        </w:sectPr>
      </w:pP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
        <w:gridCol w:w="8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4"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kern w:val="0"/>
                <w:sz w:val="21"/>
                <w:szCs w:val="21"/>
              </w:rPr>
            </w:pPr>
            <w:r>
              <w:rPr>
                <w:kern w:val="0"/>
                <w:sz w:val="21"/>
                <w:szCs w:val="21"/>
              </w:rPr>
              <w:t>其他符合性分析</w:t>
            </w:r>
          </w:p>
        </w:tc>
        <w:tc>
          <w:tcPr>
            <w:tcW w:w="8370" w:type="dxa"/>
            <w:tcMar>
              <w:top w:w="16" w:type="dxa"/>
              <w:left w:w="16" w:type="dxa"/>
              <w:right w:w="16" w:type="dxa"/>
            </w:tcMar>
            <w:vAlign w:val="center"/>
          </w:tcPr>
          <w:p>
            <w:pPr>
              <w:autoSpaceDE w:val="0"/>
              <w:autoSpaceDN w:val="0"/>
              <w:adjustRightInd w:val="0"/>
              <w:snapToGrid w:val="0"/>
              <w:ind w:firstLine="422"/>
              <w:rPr>
                <w:rFonts w:hAnsi="宋体"/>
                <w:b/>
                <w:snapToGrid w:val="0"/>
                <w:kern w:val="0"/>
                <w:sz w:val="21"/>
                <w:szCs w:val="21"/>
              </w:rPr>
            </w:pPr>
            <w:r>
              <w:rPr>
                <w:rFonts w:hint="eastAsia" w:hAnsi="宋体"/>
                <w:b/>
                <w:snapToGrid w:val="0"/>
                <w:kern w:val="0"/>
                <w:sz w:val="21"/>
                <w:szCs w:val="21"/>
              </w:rPr>
              <w:t>5、与《产业结构调整指导目录（20</w:t>
            </w:r>
            <w:r>
              <w:rPr>
                <w:rFonts w:hAnsi="宋体"/>
                <w:b/>
                <w:snapToGrid w:val="0"/>
                <w:kern w:val="0"/>
                <w:sz w:val="21"/>
                <w:szCs w:val="21"/>
              </w:rPr>
              <w:t>24</w:t>
            </w:r>
            <w:r>
              <w:rPr>
                <w:rFonts w:hint="eastAsia" w:hAnsi="宋体"/>
                <w:b/>
                <w:snapToGrid w:val="0"/>
                <w:kern w:val="0"/>
                <w:sz w:val="21"/>
                <w:szCs w:val="21"/>
              </w:rPr>
              <w:t>年本）》的符合性分析</w:t>
            </w:r>
          </w:p>
          <w:p>
            <w:pPr>
              <w:autoSpaceDE w:val="0"/>
              <w:autoSpaceDN w:val="0"/>
              <w:adjustRightInd w:val="0"/>
              <w:snapToGrid w:val="0"/>
              <w:ind w:firstLine="420"/>
              <w:rPr>
                <w:rFonts w:hAnsi="宋体"/>
                <w:snapToGrid w:val="0"/>
                <w:kern w:val="0"/>
                <w:sz w:val="21"/>
                <w:szCs w:val="21"/>
              </w:rPr>
            </w:pPr>
            <w:r>
              <w:rPr>
                <w:rFonts w:hAnsi="宋体"/>
                <w:snapToGrid w:val="0"/>
                <w:kern w:val="0"/>
                <w:sz w:val="21"/>
                <w:szCs w:val="21"/>
              </w:rPr>
              <w:t>项目为</w:t>
            </w:r>
            <w:r>
              <w:rPr>
                <w:rFonts w:hint="eastAsia"/>
                <w:snapToGrid w:val="0"/>
                <w:kern w:val="0"/>
                <w:sz w:val="21"/>
                <w:szCs w:val="21"/>
              </w:rPr>
              <w:t>页岩油</w:t>
            </w:r>
            <w:r>
              <w:rPr>
                <w:rFonts w:hAnsi="宋体"/>
                <w:snapToGrid w:val="0"/>
                <w:kern w:val="0"/>
                <w:sz w:val="21"/>
                <w:szCs w:val="21"/>
              </w:rPr>
              <w:t>勘探项目，</w:t>
            </w:r>
            <w:r>
              <w:rPr>
                <w:rFonts w:hint="eastAsia" w:hAnsi="宋体"/>
                <w:snapToGrid w:val="0"/>
                <w:kern w:val="0"/>
                <w:sz w:val="21"/>
                <w:szCs w:val="21"/>
              </w:rPr>
              <w:t>根据《产业结构调整指导目录（</w:t>
            </w:r>
            <w:r>
              <w:rPr>
                <w:rFonts w:hAnsi="宋体"/>
                <w:snapToGrid w:val="0"/>
                <w:kern w:val="0"/>
                <w:sz w:val="21"/>
                <w:szCs w:val="21"/>
              </w:rPr>
              <w:t>2024年本</w:t>
            </w:r>
            <w:r>
              <w:rPr>
                <w:rFonts w:hint="eastAsia" w:hAnsi="宋体"/>
                <w:snapToGrid w:val="0"/>
                <w:kern w:val="0"/>
                <w:sz w:val="21"/>
                <w:szCs w:val="21"/>
              </w:rPr>
              <w:t>）》的有关规定，属于第一类“鼓励类”第七条“石油类、天然气”第一款“石油天然气开采：常规石油、天然气勘探与开采，页岩气、页岩油、致密油（气）、油砂、天然气水合物等非常规资源勘探开发”，因此，符合国家有关产业政策</w:t>
            </w:r>
            <w:r>
              <w:rPr>
                <w:rFonts w:hAnsi="宋体"/>
                <w:snapToGrid w:val="0"/>
                <w:kern w:val="0"/>
                <w:sz w:val="21"/>
                <w:szCs w:val="21"/>
              </w:rPr>
              <w:t>。</w:t>
            </w:r>
          </w:p>
          <w:p>
            <w:pPr>
              <w:autoSpaceDE w:val="0"/>
              <w:autoSpaceDN w:val="0"/>
              <w:adjustRightInd w:val="0"/>
              <w:snapToGrid w:val="0"/>
              <w:ind w:firstLine="422"/>
              <w:rPr>
                <w:rFonts w:hAnsi="宋体"/>
                <w:b/>
                <w:snapToGrid w:val="0"/>
                <w:kern w:val="0"/>
                <w:sz w:val="21"/>
                <w:szCs w:val="21"/>
              </w:rPr>
            </w:pPr>
            <w:r>
              <w:rPr>
                <w:rFonts w:hAnsi="宋体"/>
                <w:b/>
                <w:snapToGrid w:val="0"/>
                <w:kern w:val="0"/>
                <w:sz w:val="21"/>
                <w:szCs w:val="21"/>
              </w:rPr>
              <w:t>6</w:t>
            </w:r>
            <w:r>
              <w:rPr>
                <w:rFonts w:hint="eastAsia" w:hAnsi="宋体"/>
                <w:b/>
                <w:snapToGrid w:val="0"/>
                <w:kern w:val="0"/>
                <w:sz w:val="21"/>
                <w:szCs w:val="21"/>
              </w:rPr>
              <w:t>、与《四川省国民经济和社会发展第十四个五年规划和二〇三五年远景目标纲要》符合性分析</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规划纲要》中指出，实施中国“气大庆”建设行动，加强天然气产供储销体系建设，建成全国最大天然气（页岩气）生产基地，天然气年产量力争达到630亿立方米。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道达到2.25万公里以上，年输配能力达700亿立方米。</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加强能源安全保障：提高储气规模和应急调峰能力，重点推进牟家坪、老翁场、中坝、沈公山、黄家场等地下储气库建设，建成国家西南天然气储备基地。规划建设成品油入川管道和国家航油储备基地，加强成品油供应保障。完善电力调峰机制，科学布局天然气调峰电站。继续做好规划内核电厂址保护。推进煤矿现代化改造，建设煤炭储备基地，健全煤炭保障体系。</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项目属于页岩油勘探项目，项目建设有助于加强能源安全保障，页岩油伴生气有助于实现“气大庆”建设目标，因此项目符合《四川省国民经济和社会发展第十四个五年规划和二〇三五年远景目标纲要》。</w:t>
            </w:r>
          </w:p>
          <w:p>
            <w:pPr>
              <w:autoSpaceDE w:val="0"/>
              <w:autoSpaceDN w:val="0"/>
              <w:adjustRightInd w:val="0"/>
              <w:snapToGrid w:val="0"/>
              <w:ind w:firstLine="422"/>
              <w:rPr>
                <w:rFonts w:hAnsi="宋体"/>
                <w:b/>
                <w:snapToGrid w:val="0"/>
                <w:kern w:val="0"/>
                <w:sz w:val="21"/>
                <w:szCs w:val="21"/>
              </w:rPr>
            </w:pPr>
            <w:r>
              <w:rPr>
                <w:rFonts w:hAnsi="宋体"/>
                <w:b/>
                <w:snapToGrid w:val="0"/>
                <w:kern w:val="0"/>
                <w:sz w:val="21"/>
                <w:szCs w:val="21"/>
              </w:rPr>
              <w:t>7</w:t>
            </w:r>
            <w:r>
              <w:rPr>
                <w:rFonts w:hint="eastAsia" w:hAnsi="宋体"/>
                <w:b/>
                <w:snapToGrid w:val="0"/>
                <w:kern w:val="0"/>
                <w:sz w:val="21"/>
                <w:szCs w:val="21"/>
              </w:rPr>
              <w:t>、与《关于进一步加强石油天然气行业环境影响评价管理的通知》（以下简称通知）（环办环评函〔2019〕910号）符合性分析</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①环评形式符合性</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根据《关于进一步加强石油天然气行业环境影响评价管理的通知》（环办环评函[2019]910号），“（四）油气开采项目（含新开发和滚动开发项目）原则上应当以区块为单位开展环评（以下简称区块环评），一般包括区块内拟建的新井、加密井、调整井、站场、设备、管道和电缆及其更换工程、弃置工程及配套工程等。（五）未确定产能建设规模的陆地油气开采新区块，建设探井应当依法编制环境影响报告表。勘探井转为生产井的，可以纳入区块环评。自2021年1月1日起，原则上不以单井形式开展环评。过渡期间，项目建设单位可以根据实际情况，报批区块环评或单井环评。”</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根据生态环境部对《通知》的问答中明确：对尚未确定产能建设规模的，勘探井或勘探工程仍按照既定要求开展环评。确定产能建设规模后，原则上不得以勘探名义继续开展单井环评，避免单井的重复环评。</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本工程位于未确定产能规模的新区块内，不属于新区块开发和滚动开发项目，为新建页岩油勘探项目，故本工程可以以单井形式开展环评。</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②完善生态保护措施要求</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项目属于页岩油勘探项目，建设单位应根据《关于进一步加强石油天然气行业环境影响评价管理的通知》（环办环评函〔2019〕910号）相关要求完善生态环境保护措施，具体如下：</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油气开采产生的废弃油基泥浆、含油钻屑及其他固体废物，应当遵循减量化、资源化、无害化原则，按照国家和地方有关固体废物的管理管理规定进行处置。鼓励企业自建含油污泥集中处理和综合利用设施，提高废弃油基泥浆和含油钻屑及其处理产污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要求，促进固体废物合理利用和妥善处置。</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施工期应当尽量减少施工占地、缩短施工时间、选择合理施工方式、落实环境敏感区管控要求以及其他生态环境保护措施，降低生态环境影响。施工结束后，应当及时落实环评提出的生态保护措施。</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油气企业应当切实落实生态环境保护主体责任，进一步健全生态环境保护管理体系和制度，充分发挥企业内部生态环境部门保护作用，健全健康、安全与环境（HSE）管理体系，加强督促检查，推动所属油气田落实规划、建设、运营、退役等环节生态环境保护措施。项目正式开工后，油气开采企业应当每年向具有管辖权的生态环境主管部门书面书面报告工程实施或变动情况、生态环境保护工作情况，涉及自然环境保护地和生态保护红线的，应当说明工程实施的合法合规性和对自然生态系统、主要保护对象等的实际影响，接收生态环境部门依法监管。</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工程退役，建设单位或生产经营单位应当按照相关要求，采取有效生态环境保护措施。同时，按照《中华人民共和国土壤污染防治法》《土壤环境质量建设用地土壤污染风险管控标准（试行）》（GB 36600）的要求，对永久停用、拆除或弃置的各类井、管道等工程设施落实封堵、土壤及地下水修复、生态修复等措施。</w:t>
            </w:r>
          </w:p>
          <w:p>
            <w:pPr>
              <w:autoSpaceDE w:val="0"/>
              <w:autoSpaceDN w:val="0"/>
              <w:adjustRightInd w:val="0"/>
              <w:snapToGrid w:val="0"/>
              <w:ind w:firstLine="422"/>
              <w:rPr>
                <w:rFonts w:hAnsi="宋体"/>
                <w:b/>
                <w:snapToGrid w:val="0"/>
                <w:kern w:val="0"/>
                <w:sz w:val="21"/>
                <w:szCs w:val="21"/>
              </w:rPr>
            </w:pPr>
            <w:r>
              <w:rPr>
                <w:rFonts w:hAnsi="宋体"/>
                <w:b/>
                <w:snapToGrid w:val="0"/>
                <w:kern w:val="0"/>
                <w:sz w:val="21"/>
                <w:szCs w:val="21"/>
              </w:rPr>
              <w:t>8</w:t>
            </w:r>
            <w:r>
              <w:rPr>
                <w:rFonts w:hint="eastAsia" w:hAnsi="宋体"/>
                <w:b/>
                <w:snapToGrid w:val="0"/>
                <w:kern w:val="0"/>
                <w:sz w:val="21"/>
                <w:szCs w:val="21"/>
              </w:rPr>
              <w:t>、与基本农田相关文件的符合性分析</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项目总用地面积为</w:t>
            </w:r>
            <w:r>
              <w:rPr>
                <w:rFonts w:hAnsi="宋体"/>
                <w:snapToGrid w:val="0"/>
                <w:kern w:val="0"/>
                <w:sz w:val="21"/>
                <w:szCs w:val="21"/>
              </w:rPr>
              <w:t>24390.89</w:t>
            </w:r>
            <w:r>
              <w:rPr>
                <w:rFonts w:hint="eastAsia" w:hAnsi="宋体"/>
                <w:snapToGrid w:val="0"/>
                <w:kern w:val="0"/>
                <w:sz w:val="21"/>
                <w:szCs w:val="21"/>
              </w:rPr>
              <w:t>m</w:t>
            </w:r>
            <w:r>
              <w:rPr>
                <w:rFonts w:hint="eastAsia" w:hAnsi="宋体"/>
                <w:snapToGrid w:val="0"/>
                <w:kern w:val="0"/>
                <w:sz w:val="21"/>
                <w:szCs w:val="21"/>
                <w:vertAlign w:val="superscript"/>
              </w:rPr>
              <w:t>2</w:t>
            </w:r>
            <w:r>
              <w:rPr>
                <w:rFonts w:hint="eastAsia" w:hAnsi="宋体"/>
                <w:snapToGrid w:val="0"/>
                <w:kern w:val="0"/>
                <w:sz w:val="21"/>
                <w:szCs w:val="21"/>
              </w:rPr>
              <w:t>，包括井场占地，泥浆储备罐、道路、油罐、水罐、燃烧池占地、耕植土堆放场占地、生活区占地等，均属于临时占地，</w:t>
            </w:r>
            <w:r>
              <w:rPr>
                <w:rFonts w:hint="eastAsia"/>
                <w:bCs/>
                <w:snapToGrid w:val="0"/>
                <w:kern w:val="0"/>
                <w:sz w:val="21"/>
                <w:szCs w:val="21"/>
              </w:rPr>
              <w:t>占地类型主要为水田、旱地</w:t>
            </w:r>
            <w:r>
              <w:rPr>
                <w:rFonts w:hint="eastAsia" w:hAnsi="宋体"/>
                <w:snapToGrid w:val="0"/>
                <w:kern w:val="0"/>
                <w:sz w:val="21"/>
                <w:szCs w:val="21"/>
              </w:rPr>
              <w:t>，</w:t>
            </w:r>
            <w:r>
              <w:rPr>
                <w:rFonts w:hint="eastAsia"/>
                <w:bCs/>
                <w:snapToGrid w:val="0"/>
                <w:kern w:val="0"/>
                <w:sz w:val="21"/>
                <w:szCs w:val="21"/>
              </w:rPr>
              <w:t>项目部分占地临时占用永久基本农田</w:t>
            </w:r>
            <w:r>
              <w:rPr>
                <w:rFonts w:hint="eastAsia" w:hAnsi="宋体"/>
                <w:snapToGrid w:val="0"/>
                <w:kern w:val="0"/>
                <w:sz w:val="21"/>
                <w:szCs w:val="21"/>
              </w:rPr>
              <w:t>。</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根据《基本农田保护条例(2011修订)》：“禁止任何单位和个人在基本农田保护区内建窑、建房、建坟、挖砂、采石、采矿、取土、堆放固体废弃物或者进行其他破坏基本农田的活动。</w:t>
            </w:r>
            <w:r>
              <w:rPr>
                <w:rFonts w:ascii="MicrosoftYaHei" w:hAnsi="MicrosoftYaHei"/>
                <w:snapToGrid w:val="0"/>
                <w:kern w:val="0"/>
                <w:sz w:val="21"/>
                <w:szCs w:val="21"/>
              </w:rPr>
              <w:t>禁止任何单位和个人占用基本农田发展林果业和挖塘养鱼。</w:t>
            </w:r>
            <w:r>
              <w:rPr>
                <w:rFonts w:hint="eastAsia" w:ascii="MicrosoftYaHei" w:hAnsi="MicrosoftYaHei"/>
                <w:snapToGrid w:val="0"/>
                <w:kern w:val="0"/>
                <w:sz w:val="21"/>
                <w:szCs w:val="21"/>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r>
              <w:rPr>
                <w:rFonts w:hint="eastAsia" w:hAnsi="宋体"/>
                <w:snapToGrid w:val="0"/>
                <w:kern w:val="0"/>
                <w:sz w:val="21"/>
                <w:szCs w:val="21"/>
              </w:rPr>
              <w:t>”</w:t>
            </w:r>
            <w:r>
              <w:rPr>
                <w:rFonts w:hint="eastAsia" w:ascii="MicrosoftYaHei" w:hAnsi="MicrosoftYaHei"/>
                <w:snapToGrid w:val="0"/>
                <w:kern w:val="0"/>
                <w:sz w:val="21"/>
                <w:szCs w:val="21"/>
              </w:rPr>
              <w:t>本项目位</w:t>
            </w:r>
            <w:r>
              <w:rPr>
                <w:rFonts w:hint="eastAsia" w:hAnsi="宋体"/>
                <w:snapToGrid w:val="0"/>
                <w:kern w:val="0"/>
                <w:sz w:val="21"/>
                <w:szCs w:val="21"/>
              </w:rPr>
              <w:t>页岩油</w:t>
            </w:r>
            <w:r>
              <w:rPr>
                <w:rFonts w:hint="eastAsia" w:ascii="MicrosoftYaHei" w:hAnsi="MicrosoftYaHei"/>
                <w:snapToGrid w:val="0"/>
                <w:kern w:val="0"/>
                <w:sz w:val="21"/>
                <w:szCs w:val="21"/>
              </w:rPr>
              <w:t>勘探项目，为国家能源建设项目，项目占地均为临时占地，无永久占地，项目临时占用的永久基本农田在工程建设结束后及时进行复垦，不涉及农用地的转用和征收。</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根据《自然资源部农业农村部关于加强和改进永久保护农田保护工作的通知》（自然资规[2019]1号）第八条规定，石油、天然气、页岩气、煤层气等油气战略性矿产的地质勘查，经批准可临时占用永久基本农田布设探井。项目为页岩油勘探工程，且部分占地临时占用永久基本农田，临时用地应按《中华人民共和国土地管理法》《土地复垦条例》等相关规定办理临时用地手续，目前正在办理临时用地手续。根据《四川省自然资源厅关于解决油气勘探开发用地问题的复函》（川自然资函[2019]197号）文件要求，油气勘探开发项目可在无法避让永久基本农田的情况下，办理临时用地。</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目前建设单位与地方政府及自然资源局正在办理临时用地手续，为保护项目对土地的利用及影响，建议建设单位应按照相关规定尽快在项目开工建设前向相关单位办理关于临时占用永久基本农田的相关手续。</w:t>
            </w:r>
          </w:p>
          <w:p>
            <w:pPr>
              <w:autoSpaceDE w:val="0"/>
              <w:autoSpaceDN w:val="0"/>
              <w:adjustRightInd w:val="0"/>
              <w:snapToGrid w:val="0"/>
              <w:ind w:firstLine="420"/>
              <w:rPr>
                <w:rFonts w:hAnsi="宋体"/>
                <w:snapToGrid w:val="0"/>
                <w:kern w:val="0"/>
                <w:sz w:val="21"/>
                <w:szCs w:val="21"/>
              </w:rPr>
            </w:pPr>
            <w:r>
              <w:rPr>
                <w:rFonts w:hAnsi="宋体"/>
                <w:snapToGrid w:val="0"/>
                <w:kern w:val="0"/>
                <w:sz w:val="21"/>
                <w:szCs w:val="21"/>
              </w:rPr>
              <w:t>综上，项目符合</w:t>
            </w:r>
            <w:r>
              <w:rPr>
                <w:rFonts w:hint="eastAsia" w:hAnsi="宋体"/>
                <w:snapToGrid w:val="0"/>
                <w:kern w:val="0"/>
                <w:sz w:val="21"/>
                <w:szCs w:val="21"/>
              </w:rPr>
              <w:t>《基本农田保护条例(2011修订)》《自然资源部农业农村部关于加强和改进永久保护农田保护工作的通知》（自然资规[2019]1号）《四川省自然资源厅关于解决油气勘探开发用地问题的复函》（川自然资函[2019]197号）等永久基本农田相关法律政策的要求。</w:t>
            </w:r>
          </w:p>
          <w:p>
            <w:pPr>
              <w:autoSpaceDE w:val="0"/>
              <w:autoSpaceDN w:val="0"/>
              <w:adjustRightInd w:val="0"/>
              <w:snapToGrid w:val="0"/>
              <w:ind w:firstLine="422"/>
              <w:rPr>
                <w:rFonts w:hAnsi="宋体"/>
                <w:snapToGrid w:val="0"/>
                <w:kern w:val="0"/>
                <w:sz w:val="21"/>
                <w:szCs w:val="21"/>
              </w:rPr>
            </w:pPr>
            <w:r>
              <w:rPr>
                <w:rFonts w:hAnsi="宋体"/>
                <w:b/>
                <w:snapToGrid w:val="0"/>
                <w:kern w:val="0"/>
                <w:sz w:val="21"/>
                <w:szCs w:val="21"/>
              </w:rPr>
              <w:t>9</w:t>
            </w:r>
            <w:r>
              <w:rPr>
                <w:rFonts w:hint="eastAsia" w:hAnsi="宋体"/>
                <w:b/>
                <w:snapToGrid w:val="0"/>
                <w:kern w:val="0"/>
                <w:sz w:val="21"/>
                <w:szCs w:val="21"/>
              </w:rPr>
              <w:t>、与其他环境保护相关规划政策符合性分析</w:t>
            </w:r>
          </w:p>
          <w:p>
            <w:pPr>
              <w:autoSpaceDE w:val="0"/>
              <w:autoSpaceDN w:val="0"/>
              <w:adjustRightInd w:val="0"/>
              <w:snapToGrid w:val="0"/>
              <w:ind w:firstLine="420"/>
              <w:rPr>
                <w:bCs/>
                <w:snapToGrid w:val="0"/>
                <w:kern w:val="0"/>
                <w:sz w:val="21"/>
                <w:szCs w:val="21"/>
              </w:rPr>
            </w:pPr>
            <w:r>
              <w:rPr>
                <w:bCs/>
                <w:snapToGrid w:val="0"/>
                <w:kern w:val="0"/>
                <w:sz w:val="21"/>
                <w:szCs w:val="21"/>
              </w:rPr>
              <w:t>（1）与自然资源部《关于规范临时用地管理的通知》（自然资规</w:t>
            </w:r>
            <w:r>
              <w:rPr>
                <w:rFonts w:hint="eastAsia"/>
                <w:bCs/>
                <w:snapToGrid w:val="0"/>
                <w:kern w:val="0"/>
                <w:sz w:val="21"/>
                <w:szCs w:val="21"/>
              </w:rPr>
              <w:t>〔</w:t>
            </w:r>
            <w:r>
              <w:rPr>
                <w:bCs/>
                <w:snapToGrid w:val="0"/>
                <w:kern w:val="0"/>
                <w:sz w:val="21"/>
                <w:szCs w:val="21"/>
              </w:rPr>
              <w:t>2021</w:t>
            </w:r>
            <w:r>
              <w:rPr>
                <w:rFonts w:hint="eastAsia"/>
                <w:bCs/>
                <w:snapToGrid w:val="0"/>
                <w:kern w:val="0"/>
                <w:sz w:val="21"/>
                <w:szCs w:val="21"/>
              </w:rPr>
              <w:t>〕</w:t>
            </w:r>
            <w:r>
              <w:rPr>
                <w:bCs/>
                <w:snapToGrid w:val="0"/>
                <w:kern w:val="0"/>
                <w:sz w:val="21"/>
                <w:szCs w:val="21"/>
              </w:rPr>
              <w:t>2号）符合性分析</w:t>
            </w:r>
          </w:p>
          <w:p>
            <w:pPr>
              <w:autoSpaceDE w:val="0"/>
              <w:autoSpaceDN w:val="0"/>
              <w:adjustRightInd w:val="0"/>
              <w:snapToGrid w:val="0"/>
              <w:ind w:firstLine="422"/>
              <w:jc w:val="center"/>
              <w:rPr>
                <w:b/>
                <w:bCs/>
                <w:snapToGrid w:val="0"/>
                <w:kern w:val="0"/>
                <w:sz w:val="21"/>
                <w:szCs w:val="21"/>
              </w:rPr>
            </w:pPr>
            <w:r>
              <w:rPr>
                <w:rFonts w:hint="eastAsia"/>
                <w:b/>
                <w:snapToGrid w:val="0"/>
                <w:kern w:val="0"/>
                <w:sz w:val="21"/>
                <w:szCs w:val="21"/>
              </w:rPr>
              <w:t>表1-</w:t>
            </w:r>
            <w:r>
              <w:rPr>
                <w:b/>
                <w:snapToGrid w:val="0"/>
                <w:kern w:val="0"/>
                <w:sz w:val="21"/>
                <w:szCs w:val="21"/>
              </w:rPr>
              <w:t xml:space="preserve">6 </w:t>
            </w:r>
            <w:r>
              <w:rPr>
                <w:rFonts w:hint="eastAsia"/>
                <w:b/>
                <w:snapToGrid w:val="0"/>
                <w:kern w:val="0"/>
                <w:sz w:val="21"/>
                <w:szCs w:val="21"/>
              </w:rPr>
              <w:t>项目与</w:t>
            </w:r>
            <w:r>
              <w:rPr>
                <w:b/>
                <w:bCs/>
                <w:snapToGrid w:val="0"/>
                <w:kern w:val="0"/>
                <w:sz w:val="21"/>
                <w:szCs w:val="21"/>
              </w:rPr>
              <w:t>《关于规范临时用地管理的通知》符合性分析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5335"/>
              <w:gridCol w:w="1642"/>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序号</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bCs/>
                      <w:snapToGrid w:val="0"/>
                      <w:kern w:val="0"/>
                      <w:sz w:val="21"/>
                      <w:szCs w:val="21"/>
                    </w:rPr>
                    <w:t>管理的通知内容</w:t>
                  </w:r>
                </w:p>
              </w:tc>
              <w:tc>
                <w:tcPr>
                  <w:tcW w:w="96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拟建项目对比分析</w:t>
                  </w:r>
                </w:p>
              </w:tc>
              <w:tc>
                <w:tcPr>
                  <w:tcW w:w="65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
                      <w:snapToGrid w:val="0"/>
                      <w:kern w:val="0"/>
                      <w:sz w:val="21"/>
                      <w:szCs w:val="21"/>
                    </w:rPr>
                  </w:pPr>
                  <w:r>
                    <w:rPr>
                      <w:rFonts w:hint="eastAsia"/>
                      <w:b/>
                      <w:snapToGrid w:val="0"/>
                      <w:kern w:val="0"/>
                      <w:sz w:val="21"/>
                      <w:szCs w:val="21"/>
                    </w:rPr>
                    <w:t>一</w:t>
                  </w:r>
                  <w:r>
                    <w:rPr>
                      <w:b/>
                      <w:snapToGrid w:val="0"/>
                      <w:kern w:val="0"/>
                      <w:sz w:val="21"/>
                      <w:szCs w:val="21"/>
                    </w:rPr>
                    <w:t>、临时用地使用范围</w:t>
                  </w:r>
                </w:p>
              </w:tc>
              <w:tc>
                <w:tcPr>
                  <w:tcW w:w="651"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建设项目施工过程中建设的直接服务于施工人员的临时办公和生活用房，包括临时办公用房、生活用房、工棚等使用的土地；直接服务于工程施工的项目自用辅助工程，包括农用地表土剥离堆放场、材料堆场、制梁场、拌合站、钢筋加工厂、施工便道、运输便道、地上线路架设、地下管线敷设作业，以及能源、交通、水利等基础设施项目的取土场、弃土（渣）场等使用的土地。</w:t>
                  </w:r>
                </w:p>
              </w:tc>
              <w:tc>
                <w:tcPr>
                  <w:tcW w:w="960"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拟建项目属于</w:t>
                  </w:r>
                  <w:r>
                    <w:rPr>
                      <w:rFonts w:hint="eastAsia"/>
                      <w:bCs/>
                      <w:snapToGrid w:val="0"/>
                      <w:kern w:val="0"/>
                      <w:sz w:val="21"/>
                      <w:szCs w:val="21"/>
                    </w:rPr>
                    <w:t>油气资源勘查中钻井井场等钻井及配套设施使用的土地，在临时用地使用范围内</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w:t>
                  </w:r>
                </w:p>
              </w:tc>
              <w:tc>
                <w:tcPr>
                  <w:tcW w:w="960"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符合法律、法规规定的其他需要临时使用的土地。</w:t>
                  </w:r>
                </w:p>
              </w:tc>
              <w:tc>
                <w:tcPr>
                  <w:tcW w:w="960"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
                      <w:snapToGrid w:val="0"/>
                      <w:kern w:val="0"/>
                      <w:sz w:val="21"/>
                      <w:szCs w:val="21"/>
                    </w:rPr>
                  </w:pPr>
                  <w:r>
                    <w:rPr>
                      <w:b/>
                      <w:snapToGrid w:val="0"/>
                      <w:kern w:val="0"/>
                      <w:sz w:val="21"/>
                      <w:szCs w:val="21"/>
                    </w:rPr>
                    <w:t>二、临时用地选址要求和使用期限</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tc>
              <w:tc>
                <w:tcPr>
                  <w:tcW w:w="960"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r>
                    <w:rPr>
                      <w:bCs/>
                      <w:snapToGrid w:val="0"/>
                      <w:kern w:val="0"/>
                      <w:sz w:val="21"/>
                      <w:szCs w:val="21"/>
                    </w:rPr>
                    <w:t>拟建项目属于临时工程，不在城镇开发边界内，工程开始时进行表土剥离，工程结束后进行土地复垦</w:t>
                  </w:r>
                  <w:r>
                    <w:rPr>
                      <w:rFonts w:hint="eastAsia"/>
                      <w:bCs/>
                      <w:snapToGrid w:val="0"/>
                      <w:kern w:val="0"/>
                      <w:sz w:val="21"/>
                      <w:szCs w:val="21"/>
                    </w:rPr>
                    <w:t>，</w:t>
                  </w:r>
                  <w:r>
                    <w:rPr>
                      <w:bCs/>
                      <w:snapToGrid w:val="0"/>
                      <w:kern w:val="0"/>
                      <w:sz w:val="21"/>
                      <w:szCs w:val="21"/>
                    </w:rPr>
                    <w:t>能恢复原种植条件。工程满足</w:t>
                  </w:r>
                  <w:r>
                    <w:rPr>
                      <w:rFonts w:hint="eastAsia"/>
                      <w:bCs/>
                      <w:snapToGrid w:val="0"/>
                      <w:kern w:val="0"/>
                      <w:sz w:val="21"/>
                      <w:szCs w:val="21"/>
                    </w:rPr>
                    <w:t>自然资规〔2019〕1号相关规定</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2</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临时用地使用期限一般不超过两年。建设周期较长的能源、交通、水利等基础设施建设项目施工使用的临时用地，期限不超过四年。城镇开发边界内临时建设用地规划许可、临时建设工程规划许可的期限应当与临时用地期限相衔接。临时用地使用期限，从批准之日起算。</w:t>
                  </w:r>
                </w:p>
              </w:tc>
              <w:tc>
                <w:tcPr>
                  <w:tcW w:w="960"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
                      <w:snapToGrid w:val="0"/>
                      <w:kern w:val="0"/>
                      <w:sz w:val="21"/>
                      <w:szCs w:val="21"/>
                    </w:rPr>
                  </w:pPr>
                  <w:r>
                    <w:rPr>
                      <w:b/>
                      <w:snapToGrid w:val="0"/>
                      <w:kern w:val="0"/>
                      <w:sz w:val="21"/>
                      <w:szCs w:val="21"/>
                    </w:rPr>
                    <w:t>三、规范临时用地审批</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县（市）自然资源主管部门负责临时用地审批，其中涉及占用耕地和永久基本农田的，由市级或者市级以上自然资源主管部门负责审批。不得下放临时用地审批权或者委托相关部门行使审批权。城镇开发边界内使用临时用地的，可以一并申请临时建设用地规划许可和临时用地审批，具备条件的还可以同时申请临时建设工程规划许可，一并出具相关批准文件。油气资源探采合一开发涉及的钻井及配套设施建设用地，可先以临时用地方式批准使用，勘探结束转入生产使用的，办理建设用地审批手续；不转入生产的，油气企业应当完成土地复垦，按期归还。</w:t>
                  </w:r>
                </w:p>
              </w:tc>
              <w:tc>
                <w:tcPr>
                  <w:tcW w:w="960"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r>
                    <w:rPr>
                      <w:rFonts w:hint="eastAsia"/>
                      <w:bCs/>
                      <w:snapToGrid w:val="0"/>
                      <w:kern w:val="0"/>
                      <w:sz w:val="21"/>
                      <w:szCs w:val="21"/>
                    </w:rPr>
                    <w:t>拟建项目正在进行临时用地、临时用地补偿协议签订，并编制土地复垦方案</w:t>
                  </w:r>
                  <w:r>
                    <w:rPr>
                      <w:bCs/>
                      <w:snapToGrid w:val="0"/>
                      <w:kern w:val="0"/>
                      <w:sz w:val="21"/>
                      <w:szCs w:val="21"/>
                    </w:rPr>
                    <w:t>，在</w:t>
                  </w:r>
                  <w:r>
                    <w:rPr>
                      <w:rFonts w:hint="eastAsia"/>
                      <w:bCs/>
                      <w:snapToGrid w:val="0"/>
                      <w:kern w:val="0"/>
                      <w:sz w:val="21"/>
                      <w:szCs w:val="21"/>
                    </w:rPr>
                    <w:t>自然资源主管部门进行临时用地审批</w:t>
                  </w:r>
                  <w:r>
                    <w:rPr>
                      <w:bCs/>
                      <w:snapToGrid w:val="0"/>
                      <w:kern w:val="0"/>
                      <w:sz w:val="21"/>
                      <w:szCs w:val="21"/>
                    </w:rPr>
                    <w:t>，评价要求项目动工前需取得临时用地文件</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2</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申请临时用地应当提供临时用地申请书、临时使用土地合同、项目建设依据文件、土地复垦方案报告表、土地权属材料、勘测定界材料、土地利用现状照片及其他必要的材料。临时用地申请人根据土地权属，与县（市）自然资源主管部门或者农村集体经济组织、村民委员会签订临时使用土地合同，明确临时用地的地点、四至范围、面积和现状地类，以及临时使用土地的用途、使用期限、土地复垦标准、补偿费用和支付方式、违约责任等。临时用地申请人应当编制临时用地土地复垦方案报告表，由有关自然资源主管部门负责审核。其中，所申请使用的临时用地位于项目建设用地报批时已批准土地复垦方案范围内的，不再重复编制土地复垦方案报告表。</w:t>
                  </w:r>
                </w:p>
              </w:tc>
              <w:tc>
                <w:tcPr>
                  <w:tcW w:w="960"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
                      <w:snapToGrid w:val="0"/>
                      <w:kern w:val="0"/>
                      <w:sz w:val="21"/>
                      <w:szCs w:val="21"/>
                    </w:rPr>
                  </w:pPr>
                  <w:r>
                    <w:rPr>
                      <w:b/>
                      <w:snapToGrid w:val="0"/>
                      <w:kern w:val="0"/>
                      <w:sz w:val="21"/>
                      <w:szCs w:val="21"/>
                    </w:rPr>
                    <w:t>四、落实临时用地恢复责任</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tc>
              <w:tc>
                <w:tcPr>
                  <w:tcW w:w="960"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r>
                    <w:rPr>
                      <w:rFonts w:hint="eastAsia"/>
                      <w:bCs/>
                      <w:snapToGrid w:val="0"/>
                      <w:kern w:val="0"/>
                      <w:sz w:val="21"/>
                      <w:szCs w:val="21"/>
                    </w:rPr>
                    <w:t>拟建工程属于油气资源勘察，工程结束后进行土地复垦，并按期归还土地</w:t>
                  </w: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2</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960"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3</w:t>
                  </w:r>
                </w:p>
              </w:tc>
              <w:tc>
                <w:tcPr>
                  <w:tcW w:w="3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rPr>
                      <w:bCs/>
                      <w:snapToGrid w:val="0"/>
                      <w:kern w:val="0"/>
                      <w:sz w:val="21"/>
                      <w:szCs w:val="21"/>
                    </w:rPr>
                  </w:pPr>
                  <w:r>
                    <w:rPr>
                      <w:rFonts w:hint="eastAsia"/>
                      <w:bCs/>
                      <w:snapToGrid w:val="0"/>
                      <w:kern w:val="0"/>
                      <w:sz w:val="21"/>
                      <w:szCs w:val="21"/>
                    </w:rPr>
                    <w:t>县（市）自然资源主管部门依法监督临时用地使用人履行复垦义务情况，对逾期不恢复种植条件、违反土地复垦规定的行为，责令限期改正，并依照法律法规的规定进行处罚。按年度统计，县（市）范围内的临时用地，超期一年以上未完成土地复垦规模达到应复垦规模20%以上的，省级自然资源主管部门应当要求所在县（市）暂停审批新的临时用地，根据县（市）整改情况恢复审批。</w:t>
                  </w:r>
                </w:p>
              </w:tc>
              <w:tc>
                <w:tcPr>
                  <w:tcW w:w="960"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Cs/>
                      <w:snapToGrid w:val="0"/>
                      <w:kern w:val="0"/>
                      <w:sz w:val="21"/>
                      <w:szCs w:val="21"/>
                    </w:rPr>
                  </w:pPr>
                </w:p>
              </w:tc>
              <w:tc>
                <w:tcPr>
                  <w:tcW w:w="651"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r>
          </w:tbl>
          <w:p>
            <w:pPr>
              <w:autoSpaceDE w:val="0"/>
              <w:autoSpaceDN w:val="0"/>
              <w:adjustRightInd w:val="0"/>
              <w:snapToGrid w:val="0"/>
              <w:ind w:firstLine="420"/>
              <w:rPr>
                <w:snapToGrid w:val="0"/>
                <w:kern w:val="0"/>
                <w:sz w:val="21"/>
                <w:szCs w:val="21"/>
              </w:rPr>
            </w:pPr>
            <w:r>
              <w:rPr>
                <w:snapToGrid w:val="0"/>
                <w:kern w:val="0"/>
                <w:sz w:val="21"/>
                <w:szCs w:val="21"/>
              </w:rPr>
              <w:t>根据上表分析可知，项目符合</w:t>
            </w:r>
            <w:r>
              <w:rPr>
                <w:bCs/>
                <w:snapToGrid w:val="0"/>
                <w:kern w:val="0"/>
                <w:sz w:val="21"/>
                <w:szCs w:val="21"/>
              </w:rPr>
              <w:t>《关于规范临时用地管理的通知》（自然资规</w:t>
            </w:r>
            <w:r>
              <w:rPr>
                <w:rFonts w:hint="eastAsia"/>
                <w:bCs/>
                <w:snapToGrid w:val="0"/>
                <w:kern w:val="0"/>
                <w:sz w:val="21"/>
                <w:szCs w:val="21"/>
              </w:rPr>
              <w:t>〔</w:t>
            </w:r>
            <w:r>
              <w:rPr>
                <w:bCs/>
                <w:snapToGrid w:val="0"/>
                <w:kern w:val="0"/>
                <w:sz w:val="21"/>
                <w:szCs w:val="21"/>
              </w:rPr>
              <w:t>2021</w:t>
            </w:r>
            <w:r>
              <w:rPr>
                <w:rFonts w:hint="eastAsia"/>
                <w:bCs/>
                <w:snapToGrid w:val="0"/>
                <w:kern w:val="0"/>
                <w:sz w:val="21"/>
                <w:szCs w:val="21"/>
              </w:rPr>
              <w:t>〕</w:t>
            </w:r>
            <w:r>
              <w:rPr>
                <w:bCs/>
                <w:snapToGrid w:val="0"/>
                <w:kern w:val="0"/>
                <w:sz w:val="21"/>
                <w:szCs w:val="21"/>
              </w:rPr>
              <w:t>2号）中相关规定。</w:t>
            </w:r>
          </w:p>
          <w:p>
            <w:pPr>
              <w:autoSpaceDE w:val="0"/>
              <w:autoSpaceDN w:val="0"/>
              <w:adjustRightInd w:val="0"/>
              <w:snapToGrid w:val="0"/>
              <w:ind w:firstLine="420"/>
              <w:rPr>
                <w:snapToGrid w:val="0"/>
                <w:kern w:val="0"/>
                <w:sz w:val="21"/>
                <w:szCs w:val="21"/>
              </w:rPr>
            </w:pPr>
            <w:r>
              <w:rPr>
                <w:rFonts w:hint="eastAsia"/>
                <w:snapToGrid w:val="0"/>
                <w:kern w:val="0"/>
                <w:sz w:val="21"/>
                <w:szCs w:val="21"/>
              </w:rPr>
              <w:t>（</w:t>
            </w:r>
            <w:r>
              <w:rPr>
                <w:snapToGrid w:val="0"/>
                <w:kern w:val="0"/>
                <w:sz w:val="21"/>
                <w:szCs w:val="21"/>
              </w:rPr>
              <w:t>2</w:t>
            </w:r>
            <w:r>
              <w:rPr>
                <w:rFonts w:hint="eastAsia"/>
                <w:snapToGrid w:val="0"/>
                <w:kern w:val="0"/>
                <w:sz w:val="21"/>
                <w:szCs w:val="21"/>
              </w:rPr>
              <w:t>）与《陆上石油天然气开采水基钻井废弃物处理处置及资源化利用技术规范》（SY/T 7466-2020）符合性分析</w:t>
            </w:r>
          </w:p>
          <w:p>
            <w:pPr>
              <w:autoSpaceDE w:val="0"/>
              <w:autoSpaceDN w:val="0"/>
              <w:adjustRightInd w:val="0"/>
              <w:snapToGrid w:val="0"/>
              <w:ind w:firstLine="422"/>
              <w:jc w:val="center"/>
              <w:rPr>
                <w:b/>
                <w:bCs/>
                <w:snapToGrid w:val="0"/>
                <w:kern w:val="0"/>
                <w:sz w:val="21"/>
                <w:szCs w:val="21"/>
              </w:rPr>
            </w:pPr>
            <w:r>
              <w:rPr>
                <w:rFonts w:hint="eastAsia"/>
                <w:b/>
                <w:snapToGrid w:val="0"/>
                <w:kern w:val="0"/>
                <w:sz w:val="21"/>
                <w:szCs w:val="21"/>
              </w:rPr>
              <w:t>表1-</w:t>
            </w:r>
            <w:r>
              <w:rPr>
                <w:b/>
                <w:snapToGrid w:val="0"/>
                <w:kern w:val="0"/>
                <w:sz w:val="21"/>
                <w:szCs w:val="21"/>
              </w:rPr>
              <w:t xml:space="preserve">7 </w:t>
            </w:r>
            <w:r>
              <w:rPr>
                <w:rFonts w:hint="eastAsia"/>
                <w:b/>
                <w:snapToGrid w:val="0"/>
                <w:kern w:val="0"/>
                <w:sz w:val="21"/>
                <w:szCs w:val="21"/>
              </w:rPr>
              <w:t>项目与《陆上石油天然气开采水基钻井废弃物处理处置及资源化利用技术规范》（SY/T 7466-2020）</w:t>
            </w:r>
            <w:r>
              <w:rPr>
                <w:b/>
                <w:bCs/>
                <w:snapToGrid w:val="0"/>
                <w:kern w:val="0"/>
                <w:sz w:val="21"/>
                <w:szCs w:val="21"/>
              </w:rPr>
              <w:t>符合性分析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3653"/>
              <w:gridCol w:w="3068"/>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序号</w:t>
                  </w:r>
                </w:p>
              </w:tc>
              <w:tc>
                <w:tcPr>
                  <w:tcW w:w="354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规范要求</w:t>
                  </w:r>
                </w:p>
              </w:tc>
              <w:tc>
                <w:tcPr>
                  <w:tcW w:w="2977"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本项目情况</w:t>
                  </w:r>
                </w:p>
              </w:tc>
              <w:tc>
                <w:tcPr>
                  <w:tcW w:w="1071"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354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固液分离后产生的固体废物含水率宜不大于60%且不呈流动态。固液分离产生的固体废物应首先考虑资源化利用，不能资源化利用的应进行安全处置。处理过程中产生的污水优先考虑井场就地回用，包括但不限于设备清洗用水等。无法回用的废水（包括无法回用的污水、无法回收配浆的废钴井液等)，可拉运至污水集中处理站进行处理或进入回注处理站。</w:t>
                  </w:r>
                </w:p>
              </w:tc>
              <w:tc>
                <w:tcPr>
                  <w:tcW w:w="2977" w:type="dxa"/>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项目水基岩屑在清洁化操作平台进行固液分离等减量化处理，处理后水基岩屑含水率6</w:t>
                  </w:r>
                  <w:r>
                    <w:rPr>
                      <w:snapToGrid w:val="0"/>
                      <w:kern w:val="0"/>
                      <w:sz w:val="21"/>
                      <w:szCs w:val="21"/>
                    </w:rPr>
                    <w:t>0</w:t>
                  </w:r>
                  <w:r>
                    <w:rPr>
                      <w:rFonts w:hint="eastAsia"/>
                      <w:snapToGrid w:val="0"/>
                      <w:kern w:val="0"/>
                      <w:sz w:val="21"/>
                      <w:szCs w:val="21"/>
                    </w:rPr>
                    <w:t>%，处理后的水基钻井岩屑外运砖厂用于制备烧结砖。水基岩屑减量化处理过程中产生的污水优先回用于项目水基泥浆配置，剩余部分外运至四川鑫泓废水处理厂作达标处理。</w:t>
                  </w:r>
                </w:p>
              </w:tc>
              <w:tc>
                <w:tcPr>
                  <w:tcW w:w="1071"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3544" w:type="dxa"/>
                  <w:vAlign w:val="center"/>
                </w:tcPr>
                <w:p>
                  <w:pPr>
                    <w:autoSpaceDE w:val="0"/>
                    <w:autoSpaceDN w:val="0"/>
                    <w:adjustRightInd w:val="0"/>
                    <w:snapToGrid w:val="0"/>
                    <w:spacing w:line="240" w:lineRule="auto"/>
                    <w:ind w:firstLine="0" w:firstLineChars="0"/>
                    <w:rPr>
                      <w:snapToGrid w:val="0"/>
                      <w:kern w:val="0"/>
                      <w:sz w:val="21"/>
                      <w:szCs w:val="21"/>
                    </w:rPr>
                  </w:pPr>
                  <w:r>
                    <w:rPr>
                      <w:snapToGrid w:val="0"/>
                      <w:kern w:val="0"/>
                      <w:sz w:val="21"/>
                      <w:szCs w:val="21"/>
                    </w:rPr>
                    <w:t>液相资源化利用要求：</w:t>
                  </w:r>
                </w:p>
                <w:p>
                  <w:pPr>
                    <w:adjustRightInd w:val="0"/>
                    <w:snapToGrid w:val="0"/>
                    <w:spacing w:line="240" w:lineRule="auto"/>
                    <w:ind w:firstLine="0" w:firstLineChars="0"/>
                    <w:rPr>
                      <w:snapToGrid w:val="0"/>
                      <w:kern w:val="0"/>
                      <w:sz w:val="21"/>
                      <w:szCs w:val="21"/>
                    </w:rPr>
                  </w:pPr>
                  <w:r>
                    <w:rPr>
                      <w:snapToGrid w:val="0"/>
                      <w:kern w:val="0"/>
                      <w:sz w:val="21"/>
                      <w:szCs w:val="21"/>
                    </w:rPr>
                    <w:t>固液分离技术分离后的液相相关指标达到井队钻井液配浆要求，宜首先考虑钻井液配浆。无法回用配浆的液相，</w:t>
                  </w:r>
                  <w:r>
                    <w:rPr>
                      <w:rFonts w:hint="eastAsia"/>
                      <w:snapToGrid w:val="0"/>
                      <w:kern w:val="0"/>
                      <w:sz w:val="21"/>
                      <w:szCs w:val="21"/>
                    </w:rPr>
                    <w:t>宜</w:t>
                  </w:r>
                  <w:r>
                    <w:rPr>
                      <w:snapToGrid w:val="0"/>
                      <w:kern w:val="0"/>
                      <w:sz w:val="21"/>
                      <w:szCs w:val="21"/>
                    </w:rPr>
                    <w:t>作为设备清洗用水等。</w:t>
                  </w:r>
                </w:p>
              </w:tc>
              <w:tc>
                <w:tcPr>
                  <w:tcW w:w="2977" w:type="dxa"/>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项目固液分离过程中产生的污水优先回用于项目水基泥浆配置，剩余部分外运至四川鑫泓废水处理厂作达标处理。</w:t>
                  </w:r>
                </w:p>
              </w:tc>
              <w:tc>
                <w:tcPr>
                  <w:tcW w:w="1071"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3544" w:type="dxa"/>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固相资源化利用要求：</w:t>
                  </w:r>
                </w:p>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清水钻进、空气钻或达到环保要求的水基钻井液产生的废弃物，宜物理固液分离后制备铺路基土用于铺垫井场，或作为免烧砖骨料等产品﹔聚合物钻井液废弃物、聚磺钻井液废弃物等其他体系的水基钻井废弃物，固液分离处理或无害化处理后宜制备免烧砖、免烧砌块、免烧陶粒、烧结砖等产品。水基钻井废弃物经固液分离后，可作为水泥窑协同处置的原料。其协同处置过程的技术要求和污染控制要求，应符合《水泥窑协同处置固体废物技术规范》（GB30760-2014）等要求。</w:t>
                  </w:r>
                </w:p>
              </w:tc>
              <w:tc>
                <w:tcPr>
                  <w:tcW w:w="2977" w:type="dxa"/>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项目水基钻井液钻井过程产生的水基岩屑在清洁化操作平台进行固液分离等减量化处理，处理后的水基钻井岩屑外运砖厂用于制备烧结砖。</w:t>
                  </w:r>
                </w:p>
              </w:tc>
              <w:tc>
                <w:tcPr>
                  <w:tcW w:w="1071"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符合</w:t>
                  </w:r>
                </w:p>
              </w:tc>
            </w:tr>
          </w:tbl>
          <w:p>
            <w:pPr>
              <w:autoSpaceDE w:val="0"/>
              <w:autoSpaceDN w:val="0"/>
              <w:adjustRightInd w:val="0"/>
              <w:snapToGrid w:val="0"/>
              <w:ind w:firstLine="420"/>
              <w:rPr>
                <w:snapToGrid w:val="0"/>
                <w:kern w:val="0"/>
                <w:sz w:val="21"/>
                <w:szCs w:val="21"/>
              </w:rPr>
            </w:pPr>
            <w:r>
              <w:rPr>
                <w:rFonts w:hint="eastAsia"/>
                <w:snapToGrid w:val="0"/>
                <w:kern w:val="0"/>
                <w:sz w:val="21"/>
                <w:szCs w:val="21"/>
              </w:rPr>
              <w:t>根据上表分析可知，项目符合《陆上石油天然气开采水基钻井废弃物处理处置及资源化利用技术规范》（SY/T 7466-2020）中相关要求。</w:t>
            </w:r>
          </w:p>
          <w:p>
            <w:pPr>
              <w:autoSpaceDE w:val="0"/>
              <w:autoSpaceDN w:val="0"/>
              <w:adjustRightInd w:val="0"/>
              <w:snapToGrid w:val="0"/>
              <w:ind w:firstLine="420"/>
              <w:rPr>
                <w:rFonts w:hAnsi="宋体"/>
                <w:snapToGrid w:val="0"/>
                <w:kern w:val="0"/>
                <w:sz w:val="21"/>
                <w:szCs w:val="21"/>
              </w:rPr>
            </w:pPr>
            <w:r>
              <w:rPr>
                <w:rFonts w:hint="eastAsia"/>
                <w:snapToGrid w:val="0"/>
                <w:kern w:val="0"/>
                <w:sz w:val="21"/>
                <w:szCs w:val="21"/>
              </w:rPr>
              <w:t>（</w:t>
            </w:r>
            <w:r>
              <w:rPr>
                <w:snapToGrid w:val="0"/>
                <w:kern w:val="0"/>
                <w:sz w:val="21"/>
                <w:szCs w:val="21"/>
              </w:rPr>
              <w:t>3</w:t>
            </w:r>
            <w:r>
              <w:rPr>
                <w:rFonts w:hint="eastAsia"/>
                <w:snapToGrid w:val="0"/>
                <w:kern w:val="0"/>
                <w:sz w:val="21"/>
                <w:szCs w:val="21"/>
              </w:rPr>
              <w:t>）</w:t>
            </w:r>
            <w:r>
              <w:rPr>
                <w:rFonts w:hint="eastAsia" w:hAnsi="宋体"/>
                <w:snapToGrid w:val="0"/>
                <w:kern w:val="0"/>
                <w:sz w:val="21"/>
                <w:szCs w:val="21"/>
              </w:rPr>
              <w:t>与《地下水管理条例》（国令第</w:t>
            </w:r>
            <w:r>
              <w:rPr>
                <w:rFonts w:hAnsi="宋体"/>
                <w:snapToGrid w:val="0"/>
                <w:kern w:val="0"/>
                <w:sz w:val="21"/>
                <w:szCs w:val="21"/>
              </w:rPr>
              <w:t>748</w:t>
            </w:r>
            <w:r>
              <w:rPr>
                <w:rFonts w:hint="eastAsia" w:hAnsi="宋体"/>
                <w:snapToGrid w:val="0"/>
                <w:kern w:val="0"/>
                <w:sz w:val="21"/>
                <w:szCs w:val="21"/>
              </w:rPr>
              <w:t>号）符合性分析</w:t>
            </w:r>
          </w:p>
          <w:p>
            <w:pPr>
              <w:autoSpaceDE w:val="0"/>
              <w:autoSpaceDN w:val="0"/>
              <w:adjustRightInd w:val="0"/>
              <w:snapToGrid w:val="0"/>
              <w:ind w:firstLine="420"/>
              <w:rPr>
                <w:rFonts w:hAnsi="宋体"/>
                <w:snapToGrid w:val="0"/>
                <w:kern w:val="0"/>
                <w:sz w:val="21"/>
                <w:szCs w:val="21"/>
              </w:rPr>
            </w:pPr>
            <w:r>
              <w:rPr>
                <w:rFonts w:hint="eastAsia" w:hAnsi="宋体"/>
                <w:snapToGrid w:val="0"/>
                <w:kern w:val="0"/>
                <w:sz w:val="21"/>
                <w:szCs w:val="21"/>
              </w:rPr>
              <w:t>项目《地下水管理条例》（国令第</w:t>
            </w:r>
            <w:r>
              <w:rPr>
                <w:rFonts w:hAnsi="宋体"/>
                <w:snapToGrid w:val="0"/>
                <w:kern w:val="0"/>
                <w:sz w:val="21"/>
                <w:szCs w:val="21"/>
              </w:rPr>
              <w:t>748</w:t>
            </w:r>
            <w:r>
              <w:rPr>
                <w:rFonts w:hint="eastAsia" w:hAnsi="宋体"/>
                <w:snapToGrid w:val="0"/>
                <w:kern w:val="0"/>
                <w:sz w:val="21"/>
                <w:szCs w:val="21"/>
              </w:rPr>
              <w:t>号）的符合性分析见表</w:t>
            </w:r>
            <w:r>
              <w:rPr>
                <w:rFonts w:hAnsi="宋体"/>
                <w:snapToGrid w:val="0"/>
                <w:kern w:val="0"/>
                <w:sz w:val="21"/>
                <w:szCs w:val="21"/>
              </w:rPr>
              <w:t>1-8</w:t>
            </w:r>
            <w:r>
              <w:rPr>
                <w:rFonts w:hint="eastAsia" w:hAnsi="宋体"/>
                <w:snapToGrid w:val="0"/>
                <w:kern w:val="0"/>
                <w:sz w:val="21"/>
                <w:szCs w:val="21"/>
              </w:rPr>
              <w:t>。</w:t>
            </w:r>
          </w:p>
          <w:p>
            <w:pPr>
              <w:autoSpaceDE w:val="0"/>
              <w:autoSpaceDN w:val="0"/>
              <w:adjustRightInd w:val="0"/>
              <w:snapToGrid w:val="0"/>
              <w:ind w:firstLine="422"/>
              <w:jc w:val="center"/>
              <w:rPr>
                <w:rFonts w:hAnsi="宋体"/>
                <w:b/>
                <w:snapToGrid w:val="0"/>
                <w:kern w:val="0"/>
                <w:sz w:val="21"/>
                <w:szCs w:val="21"/>
              </w:rPr>
            </w:pPr>
            <w:r>
              <w:rPr>
                <w:rFonts w:hint="eastAsia" w:hAnsi="宋体"/>
                <w:b/>
                <w:snapToGrid w:val="0"/>
                <w:kern w:val="0"/>
                <w:sz w:val="21"/>
                <w:szCs w:val="21"/>
              </w:rPr>
              <w:t>表</w:t>
            </w:r>
            <w:r>
              <w:rPr>
                <w:rFonts w:hAnsi="宋体"/>
                <w:b/>
                <w:snapToGrid w:val="0"/>
                <w:kern w:val="0"/>
                <w:sz w:val="21"/>
                <w:szCs w:val="21"/>
              </w:rPr>
              <w:t xml:space="preserve">1-8  </w:t>
            </w:r>
            <w:r>
              <w:rPr>
                <w:rFonts w:hint="eastAsia" w:hAnsi="宋体"/>
                <w:b/>
                <w:snapToGrid w:val="0"/>
                <w:kern w:val="0"/>
                <w:sz w:val="21"/>
                <w:szCs w:val="21"/>
              </w:rPr>
              <w:t>项目《地下水管理条例》的符合性分析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3675"/>
              <w:gridCol w:w="320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序号</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要求</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本项目情况</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四十、禁止下列污染或者可能污染地下水的行为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利用渗井、渗坑、裂隙、溶洞以及私设暗管等逃避监管的方式排放水污染物</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本项目不涉及废水直接排放，</w:t>
                  </w:r>
                  <w:r>
                    <w:rPr>
                      <w:rFonts w:hint="eastAsia" w:ascii="宋体" w:hAnsi="宋体"/>
                      <w:snapToGrid w:val="0"/>
                      <w:kern w:val="0"/>
                      <w:sz w:val="21"/>
                      <w:szCs w:val="21"/>
                    </w:rPr>
                    <w:t>生产作业废水优先回用，不可回用部分拉运至</w:t>
                  </w:r>
                  <w:r>
                    <w:rPr>
                      <w:rFonts w:hint="eastAsia"/>
                      <w:snapToGrid w:val="0"/>
                      <w:kern w:val="0"/>
                      <w:sz w:val="21"/>
                      <w:szCs w:val="21"/>
                    </w:rPr>
                    <w:t>四川鑫泓废水处理厂</w:t>
                  </w:r>
                  <w:r>
                    <w:rPr>
                      <w:rFonts w:hint="eastAsia" w:hAnsi="宋体"/>
                      <w:snapToGrid w:val="0"/>
                      <w:kern w:val="0"/>
                      <w:sz w:val="21"/>
                      <w:szCs w:val="21"/>
                    </w:rPr>
                    <w:t>作达标处理</w:t>
                  </w:r>
                  <w:r>
                    <w:rPr>
                      <w:rFonts w:hint="eastAsia" w:ascii="宋体" w:hAnsi="宋体"/>
                      <w:snapToGrid w:val="0"/>
                      <w:kern w:val="0"/>
                      <w:sz w:val="21"/>
                      <w:szCs w:val="21"/>
                    </w:rPr>
                    <w:t>，</w:t>
                  </w:r>
                  <w:r>
                    <w:rPr>
                      <w:rFonts w:hint="eastAsia" w:hAnsi="宋体"/>
                      <w:snapToGrid w:val="0"/>
                      <w:kern w:val="0"/>
                      <w:sz w:val="21"/>
                      <w:szCs w:val="21"/>
                    </w:rPr>
                    <w:t>生活污水经旱厕收集后</w:t>
                  </w:r>
                  <w:r>
                    <w:rPr>
                      <w:rFonts w:cs="Arial"/>
                      <w:snapToGrid w:val="0"/>
                      <w:kern w:val="0"/>
                      <w:sz w:val="21"/>
                      <w:szCs w:val="21"/>
                    </w:rPr>
                    <w:t>用于周边农田施肥</w:t>
                  </w:r>
                  <w:r>
                    <w:rPr>
                      <w:rFonts w:hint="eastAsia" w:hAnsi="宋体"/>
                      <w:snapToGrid w:val="0"/>
                      <w:kern w:val="0"/>
                      <w:sz w:val="21"/>
                      <w:szCs w:val="21"/>
                    </w:rPr>
                    <w:t>。</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利用岩层孔隙、裂隙、溶洞、废弃矿坑等贮存石化原料及产品、农药、危险废物、城镇污水处理设施产生的污泥和处理后的污泥或者其他有毒有害物质</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本项目设置原料和固体废物等均在场地内暂存，固体废物随钻转运处置，不涉及利用岩层孔隙、裂隙、溶洞、废弃矿坑等贮存原料和废料</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利用无防渗漏措施的沟渠、坑塘等输送或者贮存含有毒污染物的废水、含病原体的污水和其他废弃物</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本项目原材料和产生的固废在泥浆循环系统和清洁化操作平台区域使用和暂存，随钻按要求转运处置；产生的废水在废水罐暂存回用，不可回用部分由罐车定期转运至</w:t>
                  </w:r>
                  <w:r>
                    <w:rPr>
                      <w:rFonts w:hint="eastAsia"/>
                      <w:snapToGrid w:val="0"/>
                      <w:kern w:val="0"/>
                      <w:sz w:val="21"/>
                      <w:szCs w:val="21"/>
                    </w:rPr>
                    <w:t>四川鑫泓废水处理厂</w:t>
                  </w:r>
                  <w:r>
                    <w:rPr>
                      <w:rFonts w:hint="eastAsia" w:hAnsi="宋体"/>
                      <w:snapToGrid w:val="0"/>
                      <w:kern w:val="0"/>
                      <w:sz w:val="21"/>
                      <w:szCs w:val="21"/>
                    </w:rPr>
                    <w:t>处置</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法律、法规禁止的其他污染或者可能污染地下水的行为</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不涉及</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四十一、企事业单位应当采取措施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兴建地下工程设施或者进行地下勘探、采矿等活动，依法编制的环境影响评价文件中，应当包括地下水污染防治的内容，并采取防护性措施</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本项目属于地下矿产资源勘探，报告设置了地下水环境影响专题评价，进行地下水环境影响分析和提出相关防护措施</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6</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化学品生产企业以及工业集聚区、矿山开采区、尾矿库、危险废物处置场、垃圾填埋场等的运营、管理单位，应当采取防渗漏等措施，并建设地下水水质监测井进行监测</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本项目拟对井场所在区域进行分区防渗，并按相关导则要求设置地下水跟踪监测计划</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7</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加油站等的地下油罐应当使用双层罐或者采取建造防渗池等其他有效措施，并进行防渗漏监测</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拟建项目不属于加油站项目</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w:t>
                  </w:r>
                </w:p>
              </w:tc>
              <w:tc>
                <w:tcPr>
                  <w:tcW w:w="21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存放可溶性剧毒废渣的场所，应当采取防水、防渗漏、防流失的措施</w:t>
                  </w:r>
                </w:p>
              </w:tc>
              <w:tc>
                <w:tcPr>
                  <w:tcW w:w="187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本项目清洁化操作平台进行固废收集、暂存，拟采取重点防渗措施</w:t>
                  </w:r>
                </w:p>
              </w:tc>
              <w:tc>
                <w:tcPr>
                  <w:tcW w:w="4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符合</w:t>
                  </w:r>
                </w:p>
              </w:tc>
            </w:tr>
          </w:tbl>
          <w:p>
            <w:pPr>
              <w:ind w:firstLine="420"/>
              <w:outlineLvl w:val="0"/>
              <w:rPr>
                <w:rFonts w:hAnsi="宋体"/>
                <w:snapToGrid w:val="0"/>
                <w:kern w:val="0"/>
                <w:sz w:val="21"/>
                <w:szCs w:val="21"/>
              </w:rPr>
            </w:pPr>
            <w:r>
              <w:rPr>
                <w:rFonts w:hint="eastAsia" w:hAnsi="宋体"/>
                <w:snapToGrid w:val="0"/>
                <w:kern w:val="0"/>
                <w:sz w:val="21"/>
                <w:szCs w:val="21"/>
              </w:rPr>
              <w:t>综上，拟建项目符合《地下水管理条例》（国令第</w:t>
            </w:r>
            <w:r>
              <w:rPr>
                <w:rFonts w:hAnsi="宋体"/>
                <w:snapToGrid w:val="0"/>
                <w:kern w:val="0"/>
                <w:sz w:val="21"/>
                <w:szCs w:val="21"/>
              </w:rPr>
              <w:t>748</w:t>
            </w:r>
            <w:r>
              <w:rPr>
                <w:rFonts w:hint="eastAsia" w:hAnsi="宋体"/>
                <w:snapToGrid w:val="0"/>
                <w:kern w:val="0"/>
                <w:sz w:val="21"/>
                <w:szCs w:val="21"/>
              </w:rPr>
              <w:t>号）管控要求。</w:t>
            </w:r>
          </w:p>
          <w:p>
            <w:pPr>
              <w:adjustRightInd w:val="0"/>
              <w:ind w:firstLine="420"/>
              <w:rPr>
                <w:snapToGrid w:val="0"/>
                <w:kern w:val="0"/>
                <w:sz w:val="21"/>
                <w:szCs w:val="21"/>
              </w:rPr>
            </w:pPr>
            <w:r>
              <w:rPr>
                <w:rFonts w:hint="eastAsia"/>
                <w:snapToGrid w:val="0"/>
                <w:kern w:val="0"/>
                <w:sz w:val="21"/>
                <w:szCs w:val="21"/>
              </w:rPr>
              <w:t>（</w:t>
            </w:r>
            <w:r>
              <w:rPr>
                <w:snapToGrid w:val="0"/>
                <w:kern w:val="0"/>
                <w:sz w:val="21"/>
                <w:szCs w:val="21"/>
              </w:rPr>
              <w:t>5</w:t>
            </w:r>
            <w:r>
              <w:rPr>
                <w:rFonts w:hint="eastAsia"/>
                <w:snapToGrid w:val="0"/>
                <w:kern w:val="0"/>
                <w:sz w:val="21"/>
                <w:szCs w:val="21"/>
              </w:rPr>
              <w:t>）与《四川省、重庆市长江经济带发展负面清单实施细则（试行，2022年版）》及《长江经济带发展负面清单指南（试行，</w:t>
            </w:r>
            <w:r>
              <w:rPr>
                <w:snapToGrid w:val="0"/>
                <w:kern w:val="0"/>
                <w:sz w:val="21"/>
                <w:szCs w:val="21"/>
              </w:rPr>
              <w:t>2022</w:t>
            </w:r>
            <w:r>
              <w:rPr>
                <w:rFonts w:hint="eastAsia"/>
                <w:snapToGrid w:val="0"/>
                <w:kern w:val="0"/>
                <w:sz w:val="21"/>
                <w:szCs w:val="21"/>
              </w:rPr>
              <w:t>年版）》符合性分析</w:t>
            </w:r>
          </w:p>
          <w:p>
            <w:pPr>
              <w:pStyle w:val="6"/>
              <w:rPr>
                <w:rFonts w:ascii="Times New Roman" w:hAnsi="Times New Roman" w:eastAsia="宋体"/>
                <w:snapToGrid w:val="0"/>
                <w:kern w:val="0"/>
                <w:sz w:val="21"/>
              </w:rPr>
            </w:pPr>
            <w:r>
              <w:rPr>
                <w:rFonts w:ascii="Times New Roman" w:hAnsi="Times New Roman" w:eastAsia="宋体"/>
                <w:snapToGrid w:val="0"/>
                <w:kern w:val="0"/>
                <w:sz w:val="21"/>
              </w:rPr>
              <w:t>四川省推动长江经济带发展领导小组办公室、重庆市推动长江经济带发展领导小组办公室发布了“关于印发《四川省、重庆市长江经济带发展负面清单实施细则（试行，2022年版）》的通知”（川长江办〔2022〕17号），该通知要求“以推动长江经济带高质量发展为目标，按照最严格的生态环境保护要求，对不符合《长江经济带发展负面清单指南（试行）》的投资建设行为一律禁止，确保长江生态功能逐步恢复，环境质量持续改善”。拟建项目与其主要内容符合性分析详见表1-9。</w:t>
            </w:r>
          </w:p>
          <w:p>
            <w:pPr>
              <w:pStyle w:val="6"/>
              <w:ind w:firstLine="422"/>
              <w:jc w:val="center"/>
              <w:rPr>
                <w:rFonts w:ascii="宋体" w:hAnsi="宋体" w:eastAsia="宋体"/>
                <w:b/>
                <w:bCs w:val="0"/>
                <w:snapToGrid w:val="0"/>
                <w:kern w:val="0"/>
                <w:sz w:val="21"/>
              </w:rPr>
            </w:pPr>
            <w:r>
              <w:rPr>
                <w:rFonts w:hint="eastAsia" w:ascii="宋体" w:hAnsi="宋体" w:eastAsia="宋体"/>
                <w:b/>
                <w:bCs w:val="0"/>
                <w:snapToGrid w:val="0"/>
                <w:kern w:val="0"/>
                <w:sz w:val="21"/>
              </w:rPr>
              <w:t>表</w:t>
            </w:r>
            <w:r>
              <w:rPr>
                <w:rFonts w:ascii="Times New Roman" w:hAnsi="Times New Roman" w:eastAsia="宋体"/>
                <w:b/>
                <w:bCs w:val="0"/>
                <w:snapToGrid w:val="0"/>
                <w:kern w:val="0"/>
                <w:sz w:val="21"/>
              </w:rPr>
              <w:t xml:space="preserve">1-9  </w:t>
            </w:r>
            <w:r>
              <w:rPr>
                <w:rFonts w:hint="eastAsia" w:ascii="宋体" w:hAnsi="宋体" w:eastAsia="宋体"/>
                <w:b/>
                <w:bCs w:val="0"/>
                <w:snapToGrid w:val="0"/>
                <w:kern w:val="0"/>
                <w:sz w:val="21"/>
              </w:rPr>
              <w:t>与《四川省、重庆市长江经济带发展负面清单实施细则</w:t>
            </w:r>
          </w:p>
          <w:p>
            <w:pPr>
              <w:pStyle w:val="6"/>
              <w:ind w:firstLine="422"/>
              <w:jc w:val="center"/>
              <w:rPr>
                <w:rFonts w:ascii="宋体" w:hAnsi="宋体" w:eastAsia="宋体"/>
                <w:b/>
                <w:bCs w:val="0"/>
                <w:snapToGrid w:val="0"/>
                <w:kern w:val="0"/>
                <w:sz w:val="21"/>
              </w:rPr>
            </w:pPr>
            <w:r>
              <w:rPr>
                <w:rFonts w:hint="eastAsia" w:ascii="宋体" w:hAnsi="宋体" w:eastAsia="宋体"/>
                <w:b/>
                <w:bCs w:val="0"/>
                <w:snapToGrid w:val="0"/>
                <w:kern w:val="0"/>
                <w:sz w:val="21"/>
              </w:rPr>
              <w:t>（试行，2022年版）》符合性分析表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4697"/>
              <w:gridCol w:w="2285"/>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b/>
                      <w:snapToGrid w:val="0"/>
                      <w:kern w:val="0"/>
                      <w:sz w:val="21"/>
                    </w:rPr>
                  </w:pPr>
                  <w:r>
                    <w:rPr>
                      <w:rFonts w:ascii="Times New Roman" w:hAnsi="Times New Roman" w:eastAsia="宋体"/>
                      <w:b/>
                      <w:snapToGrid w:val="0"/>
                      <w:kern w:val="0"/>
                      <w:sz w:val="21"/>
                    </w:rPr>
                    <w:t>序号</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b/>
                      <w:snapToGrid w:val="0"/>
                      <w:kern w:val="0"/>
                      <w:sz w:val="21"/>
                    </w:rPr>
                  </w:pPr>
                  <w:r>
                    <w:rPr>
                      <w:rFonts w:ascii="Times New Roman" w:hAnsi="Times New Roman" w:eastAsia="宋体"/>
                      <w:b/>
                      <w:snapToGrid w:val="0"/>
                      <w:kern w:val="0"/>
                      <w:sz w:val="21"/>
                    </w:rPr>
                    <w:t>负面清单实施细则要求</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b/>
                      <w:snapToGrid w:val="0"/>
                      <w:kern w:val="0"/>
                      <w:sz w:val="21"/>
                    </w:rPr>
                  </w:pPr>
                  <w:r>
                    <w:rPr>
                      <w:rFonts w:ascii="Times New Roman" w:hAnsi="Times New Roman" w:eastAsia="宋体"/>
                      <w:b/>
                      <w:snapToGrid w:val="0"/>
                      <w:kern w:val="0"/>
                      <w:sz w:val="21"/>
                    </w:rPr>
                    <w:t>项目情况</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b/>
                      <w:snapToGrid w:val="0"/>
                      <w:kern w:val="0"/>
                      <w:sz w:val="21"/>
                    </w:rPr>
                  </w:pPr>
                  <w:r>
                    <w:rPr>
                      <w:rFonts w:ascii="Times New Roman" w:hAnsi="Times New Roman" w:eastAsia="宋体"/>
                      <w:b/>
                      <w:snapToGrid w:val="0"/>
                      <w:kern w:val="0"/>
                      <w:sz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snapToGrid w:val="0"/>
                      <w:kern w:val="0"/>
                      <w:sz w:val="21"/>
                    </w:rPr>
                    <w:t>第五条禁止新建、改建和扩建不符合全国港口布局规划，以及《四川省内河水运发展规划》《泸州—宜宾—乐山港口群布局规划》《重庆港总体规划(2035年）》等省级港口布局规划及市级港口总体规划的码头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本项目为页岩油勘探项目，不属于港口项目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第六条 禁止新建、改建和扩建不符合《长江于线过江通道布局规划(2020—2035年）》的过长江通道项目（含桥梁、隧道），国家发展改革委同意过长江通道线位调整的除外。</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本项目为页岩油勘探项目，不属于过江通道</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第七条 禁止在自然保护区核心区、缓冲区的岸线和河段范围内投资建设旅游和生产经营项目。自然保护区的内部未分区的，依照核心区和缓冲区的规定管控。</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本项目为页岩油勘探项目，项目选址不涉及</w:t>
                  </w:r>
                  <w:r>
                    <w:rPr>
                      <w:rStyle w:val="63"/>
                      <w:rFonts w:hint="default" w:ascii="Times New Roman" w:hAnsi="Times New Roman"/>
                      <w:bCs/>
                      <w:snapToGrid w:val="0"/>
                      <w:color w:val="auto"/>
                      <w:kern w:val="0"/>
                      <w:sz w:val="21"/>
                      <w:szCs w:val="21"/>
                    </w:rPr>
                    <w:t>自然保护区</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本项目为页岩油勘探项目，项目选址不涉及</w:t>
                  </w:r>
                  <w:r>
                    <w:rPr>
                      <w:rStyle w:val="63"/>
                      <w:rFonts w:hint="default" w:ascii="Times New Roman" w:hAnsi="Times New Roman"/>
                      <w:bCs/>
                      <w:snapToGrid w:val="0"/>
                      <w:color w:val="auto"/>
                      <w:kern w:val="0"/>
                      <w:sz w:val="21"/>
                      <w:szCs w:val="21"/>
                    </w:rPr>
                    <w:t>风景名胜区</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第九条禁止在饮用水水源准保护区的岸线和河段范围内新建、扩建对水体污染严重的建设项目，禁止改建增加排污量的建设项目。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本项目为页岩油勘探项目，项目选址不在</w:t>
                  </w:r>
                  <w:r>
                    <w:rPr>
                      <w:rStyle w:val="63"/>
                      <w:rFonts w:hint="default" w:ascii="Times New Roman" w:hAnsi="Times New Roman"/>
                      <w:bCs/>
                      <w:snapToGrid w:val="0"/>
                      <w:color w:val="auto"/>
                      <w:kern w:val="0"/>
                      <w:sz w:val="21"/>
                      <w:szCs w:val="21"/>
                    </w:rPr>
                    <w:t>饮用水水源准保护区范围内</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6</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第十条饮用水水源二级保护区的岸线和河段范围内，除遵守准保护区规定外，禁止新建、改建、扩建排放污染物的投资建设项目；禁止从事对水体有污染的水产养殖等活动。</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本项目为页岩油勘探项目，项目选址不在</w:t>
                  </w:r>
                  <w:r>
                    <w:rPr>
                      <w:rStyle w:val="63"/>
                      <w:rFonts w:hint="default" w:ascii="Times New Roman" w:hAnsi="Times New Roman"/>
                      <w:bCs/>
                      <w:snapToGrid w:val="0"/>
                      <w:color w:val="auto"/>
                      <w:kern w:val="0"/>
                      <w:sz w:val="21"/>
                      <w:szCs w:val="21"/>
                    </w:rPr>
                    <w:t>饮用水水源二级保护区范围内</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7</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本项目为页岩油勘探项目，项目选址不在</w:t>
                  </w:r>
                  <w:r>
                    <w:rPr>
                      <w:rStyle w:val="63"/>
                      <w:rFonts w:hint="default" w:ascii="Times New Roman" w:hAnsi="Times New Roman"/>
                      <w:bCs/>
                      <w:snapToGrid w:val="0"/>
                      <w:color w:val="auto"/>
                      <w:kern w:val="0"/>
                      <w:sz w:val="21"/>
                      <w:szCs w:val="21"/>
                    </w:rPr>
                    <w:t>饮用水水源一级保护区范围内</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第十二条 禁止在水产种质资源保护区岸线和河段范围内新建围湖造田、围湖造地或挖沙采石等投资建设项目。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本项目为页岩油勘探项目，项目选址不涉及</w:t>
                  </w:r>
                  <w:r>
                    <w:rPr>
                      <w:rStyle w:val="63"/>
                      <w:rFonts w:hint="default" w:ascii="Times New Roman" w:hAnsi="Times New Roman"/>
                      <w:bCs/>
                      <w:snapToGrid w:val="0"/>
                      <w:color w:val="auto"/>
                      <w:kern w:val="0"/>
                      <w:sz w:val="21"/>
                      <w:szCs w:val="21"/>
                    </w:rPr>
                    <w:t>水产种质资源保护区</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9</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本项目为页岩油勘探项目，项目选址不涉及</w:t>
                  </w:r>
                  <w:r>
                    <w:rPr>
                      <w:rStyle w:val="63"/>
                      <w:rFonts w:hint="default" w:ascii="Times New Roman" w:hAnsi="Times New Roman"/>
                      <w:bCs/>
                      <w:snapToGrid w:val="0"/>
                      <w:color w:val="auto"/>
                      <w:kern w:val="0"/>
                      <w:sz w:val="21"/>
                      <w:szCs w:val="21"/>
                    </w:rPr>
                    <w:t>国家湿地公园</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10</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本项目为页岩油勘探项目，项目选址不占用长江流域河湖岸线</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11</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Style w:val="63"/>
                      <w:rFonts w:hint="default" w:ascii="Times New Roman" w:hAnsi="Times New Roman"/>
                      <w:bCs/>
                      <w:snapToGrid w:val="0"/>
                      <w:color w:val="auto"/>
                      <w:kern w:val="0"/>
                      <w:sz w:val="21"/>
                      <w:szCs w:val="21"/>
                    </w:rPr>
                    <w:t>第十五条 禁止在《全国重要江河湖泊水功能区划》划定的</w:t>
                  </w:r>
                  <w:r>
                    <w:rPr>
                      <w:rFonts w:ascii="Times New Roman" w:hAnsi="Times New Roman" w:eastAsia="宋体"/>
                      <w:bCs w:val="0"/>
                      <w:snapToGrid w:val="0"/>
                      <w:kern w:val="0"/>
                      <w:sz w:val="21"/>
                    </w:rPr>
                    <w:t>河段及湖泊保护区、保留区内投资建设不利于水资源及自然生态保护的项目。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本项目为页岩油勘探项目，项目选址不涉及</w:t>
                  </w:r>
                  <w:r>
                    <w:rPr>
                      <w:rStyle w:val="63"/>
                      <w:rFonts w:hint="default" w:ascii="Times New Roman" w:hAnsi="Times New Roman"/>
                      <w:bCs/>
                      <w:snapToGrid w:val="0"/>
                      <w:color w:val="auto"/>
                      <w:kern w:val="0"/>
                      <w:sz w:val="21"/>
                      <w:szCs w:val="21"/>
                    </w:rPr>
                    <w:t>《全国重要江河湖泊水功能区划》划定的</w:t>
                  </w:r>
                  <w:r>
                    <w:rPr>
                      <w:rFonts w:ascii="Times New Roman" w:hAnsi="Times New Roman" w:eastAsia="宋体"/>
                      <w:bCs w:val="0"/>
                      <w:snapToGrid w:val="0"/>
                      <w:kern w:val="0"/>
                      <w:sz w:val="21"/>
                    </w:rPr>
                    <w:t>河段及湖泊保护区、保留区</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12</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第十六条禁止在长江流域江河、湖泊新设、改设或者扩大排污口，经有管辖权的生态环境主管部门或者长江流域生态环境监督管理机构同意的除外。</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本项目为页岩油勘探项目，项目不设置排污口</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13</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snapToGrid w:val="0"/>
                      <w:kern w:val="0"/>
                      <w:sz w:val="21"/>
                    </w:rPr>
                  </w:pPr>
                  <w:r>
                    <w:rPr>
                      <w:rFonts w:ascii="Times New Roman" w:hAnsi="Times New Roman" w:eastAsia="宋体"/>
                      <w:bCs w:val="0"/>
                      <w:snapToGrid w:val="0"/>
                      <w:kern w:val="0"/>
                      <w:sz w:val="21"/>
                    </w:rPr>
                    <w:t>第十七条禁止在长江于流、大渡河、峨江、赤水河、汜江、嘉陵江、乌江、汉江和51个（四川省45个、重庆市6个）水生生物保护区开展生产性捕捞。</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本项目为页岩油勘探项目，不涉及水生生物生产性捕捞</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14</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第十八条禁止在长江于支流、重要湖泊岸线一公里范围内新建、扩建化工园区和化工项目。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本项目为页岩油勘探项目，不属于化工园区及化工项目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15</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第十九条禁止在长江于流岸线三公里范围内和重要支流岸线一公里范围内新建、改建、扩建尾矿库、冶炼渣库、磷石膏库，以提升安全、生态环境保护水平为目的的改建除外。</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本项目为页岩油勘探项目，不属于尾矿库、冶炼渣库、磷石膏库项目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16</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第二十条禁止在生态保护红线区域、永久基本农田集中区域和其他需要特别保护的区域内选址建设尾矿库、冶炼渣库、磷石膏库。</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本项目为页岩油勘探项目，项目临时占用永久基本农田，不属于尾矿库、冶炼渣库、磷石膏库项目，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17</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第二十一条禁止在合规园区外新建、扩建钢铁、石化、化工、焦化、建材、有色、制浆造纸等高污染项目。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w:t>
                  </w:r>
                  <w:r>
                    <w:rPr>
                      <w:rFonts w:ascii="Times New Roman" w:hAnsi="Times New Roman" w:eastAsia="宋体"/>
                      <w:bCs w:val="0"/>
                      <w:snapToGrid w:val="0"/>
                      <w:kern w:val="0"/>
                      <w:sz w:val="21"/>
                    </w:rPr>
                    <w:t>钢铁、石化、化工、焦化、建材、有色、制浆造纸等高污染项目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18</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第二十二条禁止新建、扩建不符合国家石化、现代煤化工等产业布局规划的项目。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本项目为页岩油勘探项目，不属于石化、煤化工项目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19</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w:t>
                  </w:r>
                  <w:r>
                    <w:rPr>
                      <w:rFonts w:ascii="Times New Roman" w:hAnsi="Times New Roman" w:eastAsia="宋体"/>
                      <w:bCs w:val="0"/>
                      <w:snapToGrid w:val="0"/>
                      <w:kern w:val="0"/>
                      <w:sz w:val="21"/>
                    </w:rPr>
                    <w:t>《产业结构调整指导目录》中的</w:t>
                  </w:r>
                  <w:r>
                    <w:rPr>
                      <w:rFonts w:ascii="Times New Roman" w:hAnsi="Times New Roman" w:eastAsia="宋体"/>
                      <w:snapToGrid w:val="0"/>
                      <w:kern w:val="0"/>
                      <w:sz w:val="21"/>
                    </w:rPr>
                    <w:t>淘汰类及限制类项目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20</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第二十四条禁止新建、扩建不符合国家产能置换要求的严重过剩产能行业的项目。对于不符合国家产能置换要求的严重过剩产能行业，不得以其他任何名义、任何方式备案新增产能项目。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w:t>
                  </w:r>
                  <w:r>
                    <w:rPr>
                      <w:rFonts w:ascii="Times New Roman" w:hAnsi="Times New Roman" w:eastAsia="宋体"/>
                      <w:bCs w:val="0"/>
                      <w:snapToGrid w:val="0"/>
                      <w:kern w:val="0"/>
                      <w:sz w:val="21"/>
                    </w:rPr>
                    <w:t>严重过剩产能行业的项目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21</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五条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w:t>
                  </w:r>
                  <w:r>
                    <w:rPr>
                      <w:rFonts w:ascii="Times New Roman" w:hAnsi="Times New Roman" w:eastAsia="宋体"/>
                      <w:bCs w:val="0"/>
                      <w:snapToGrid w:val="0"/>
                      <w:kern w:val="0"/>
                      <w:sz w:val="21"/>
                    </w:rPr>
                    <w:t>不属于燃油汽车投资项目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22</w:t>
                  </w:r>
                </w:p>
              </w:tc>
              <w:tc>
                <w:tcPr>
                  <w:tcW w:w="2747"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rPr>
                      <w:rFonts w:ascii="Times New Roman" w:hAnsi="Times New Roman" w:eastAsia="宋体"/>
                      <w:bCs w:val="0"/>
                      <w:snapToGrid w:val="0"/>
                      <w:kern w:val="0"/>
                      <w:sz w:val="21"/>
                    </w:rPr>
                  </w:pPr>
                  <w:r>
                    <w:rPr>
                      <w:rFonts w:ascii="Times New Roman" w:hAnsi="Times New Roman" w:eastAsia="宋体"/>
                      <w:bCs w:val="0"/>
                      <w:snapToGrid w:val="0"/>
                      <w:kern w:val="0"/>
                      <w:sz w:val="21"/>
                    </w:rPr>
                    <w:t>第二十六条禁止新建、扩建不符合要求的高耗能、高排放、低水平项目。</w:t>
                  </w:r>
                </w:p>
              </w:tc>
              <w:tc>
                <w:tcPr>
                  <w:tcW w:w="13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本项目为页岩油勘探项目，不属于高耗能、高票房及低水平项目</w:t>
                  </w:r>
                </w:p>
              </w:tc>
              <w:tc>
                <w:tcPr>
                  <w:tcW w:w="536" w:type="pct"/>
                  <w:tcBorders>
                    <w:top w:val="single" w:color="auto" w:sz="4" w:space="0"/>
                    <w:left w:val="single" w:color="auto" w:sz="4" w:space="0"/>
                    <w:bottom w:val="single" w:color="auto" w:sz="4" w:space="0"/>
                    <w:right w:val="single" w:color="auto" w:sz="4" w:space="0"/>
                  </w:tcBorders>
                  <w:vAlign w:val="center"/>
                </w:tcPr>
                <w:p>
                  <w:pPr>
                    <w:pStyle w:val="6"/>
                    <w:adjustRightInd w:val="0"/>
                    <w:snapToGrid w:val="0"/>
                    <w:spacing w:line="240" w:lineRule="auto"/>
                    <w:ind w:firstLine="0" w:firstLineChars="0"/>
                    <w:jc w:val="center"/>
                    <w:rPr>
                      <w:rFonts w:ascii="Times New Roman" w:hAnsi="Times New Roman" w:eastAsia="宋体"/>
                      <w:snapToGrid w:val="0"/>
                      <w:kern w:val="0"/>
                      <w:sz w:val="21"/>
                    </w:rPr>
                  </w:pPr>
                  <w:r>
                    <w:rPr>
                      <w:rFonts w:ascii="Times New Roman" w:hAnsi="Times New Roman" w:eastAsia="宋体"/>
                      <w:snapToGrid w:val="0"/>
                      <w:kern w:val="0"/>
                      <w:sz w:val="21"/>
                    </w:rPr>
                    <w:t>符合</w:t>
                  </w:r>
                </w:p>
              </w:tc>
            </w:tr>
          </w:tbl>
          <w:p>
            <w:pPr>
              <w:pStyle w:val="6"/>
              <w:rPr>
                <w:rFonts w:ascii="宋体" w:hAnsi="宋体" w:eastAsia="宋体"/>
                <w:snapToGrid w:val="0"/>
                <w:kern w:val="0"/>
                <w:sz w:val="21"/>
              </w:rPr>
            </w:pPr>
            <w:r>
              <w:rPr>
                <w:rFonts w:hint="eastAsia" w:ascii="宋体" w:hAnsi="宋体" w:eastAsia="宋体"/>
                <w:snapToGrid w:val="0"/>
                <w:kern w:val="0"/>
                <w:sz w:val="21"/>
              </w:rPr>
              <w:t>根据上表可知，项目建设符合《四川省长江经济带发展负面清单实施细则（试行）》的要求。</w:t>
            </w:r>
          </w:p>
          <w:p>
            <w:pPr>
              <w:pStyle w:val="6"/>
              <w:rPr>
                <w:rFonts w:ascii="Times New Roman" w:hAnsi="Times New Roman" w:eastAsia="宋体"/>
                <w:snapToGrid w:val="0"/>
                <w:kern w:val="0"/>
                <w:sz w:val="21"/>
              </w:rPr>
            </w:pPr>
            <w:r>
              <w:rPr>
                <w:rFonts w:hint="eastAsia" w:ascii="Times New Roman" w:hAnsi="Times New Roman" w:eastAsia="宋体"/>
                <w:snapToGrid w:val="0"/>
                <w:kern w:val="0"/>
                <w:sz w:val="21"/>
              </w:rPr>
              <w:t>项目与推动长江经济带发展领导小组办公室文件《关于印发</w:t>
            </w:r>
            <w:r>
              <w:rPr>
                <w:rFonts w:ascii="Times New Roman" w:hAnsi="Times New Roman" w:eastAsia="宋体"/>
                <w:snapToGrid w:val="0"/>
                <w:kern w:val="0"/>
                <w:sz w:val="21"/>
              </w:rPr>
              <w:t>&lt;</w:t>
            </w:r>
            <w:r>
              <w:rPr>
                <w:rFonts w:hint="eastAsia" w:ascii="Times New Roman" w:hAnsi="Times New Roman" w:eastAsia="宋体"/>
                <w:snapToGrid w:val="0"/>
                <w:kern w:val="0"/>
                <w:sz w:val="21"/>
              </w:rPr>
              <w:t>长江经济带发展负面清单指南</w:t>
            </w:r>
            <w:r>
              <w:rPr>
                <w:rFonts w:ascii="Times New Roman" w:hAnsi="Times New Roman" w:eastAsia="宋体"/>
                <w:snapToGrid w:val="0"/>
                <w:kern w:val="0"/>
                <w:sz w:val="21"/>
              </w:rPr>
              <w:t>(</w:t>
            </w:r>
            <w:r>
              <w:rPr>
                <w:rFonts w:hint="eastAsia" w:ascii="Times New Roman" w:hAnsi="Times New Roman" w:eastAsia="宋体"/>
                <w:snapToGrid w:val="0"/>
                <w:kern w:val="0"/>
                <w:sz w:val="21"/>
              </w:rPr>
              <w:t>试行，</w:t>
            </w:r>
            <w:r>
              <w:rPr>
                <w:rFonts w:ascii="Times New Roman" w:hAnsi="Times New Roman" w:eastAsia="宋体"/>
                <w:snapToGrid w:val="0"/>
                <w:kern w:val="0"/>
                <w:sz w:val="21"/>
              </w:rPr>
              <w:t>2022</w:t>
            </w:r>
            <w:r>
              <w:rPr>
                <w:rFonts w:hint="eastAsia" w:ascii="Times New Roman" w:hAnsi="Times New Roman" w:eastAsia="宋体"/>
                <w:snapToGrid w:val="0"/>
                <w:kern w:val="0"/>
                <w:sz w:val="21"/>
              </w:rPr>
              <w:t>年版</w:t>
            </w:r>
            <w:r>
              <w:rPr>
                <w:rFonts w:ascii="Times New Roman" w:hAnsi="Times New Roman" w:eastAsia="宋体"/>
                <w:snapToGrid w:val="0"/>
                <w:kern w:val="0"/>
                <w:sz w:val="21"/>
              </w:rPr>
              <w:t>)&gt;</w:t>
            </w:r>
            <w:r>
              <w:rPr>
                <w:rFonts w:hint="eastAsia" w:ascii="Times New Roman" w:hAnsi="Times New Roman" w:eastAsia="宋体"/>
                <w:snapToGrid w:val="0"/>
                <w:kern w:val="0"/>
                <w:sz w:val="21"/>
              </w:rPr>
              <w:t>的通知》的符合性分析见表</w:t>
            </w:r>
            <w:r>
              <w:rPr>
                <w:rFonts w:ascii="Times New Roman" w:hAnsi="Times New Roman" w:eastAsia="宋体"/>
                <w:snapToGrid w:val="0"/>
                <w:kern w:val="0"/>
                <w:sz w:val="21"/>
              </w:rPr>
              <w:t>1-10</w:t>
            </w:r>
            <w:r>
              <w:rPr>
                <w:rFonts w:hint="eastAsia" w:ascii="Times New Roman" w:hAnsi="Times New Roman" w:eastAsia="宋体"/>
                <w:snapToGrid w:val="0"/>
                <w:kern w:val="0"/>
                <w:sz w:val="21"/>
              </w:rPr>
              <w:t>。</w:t>
            </w:r>
          </w:p>
          <w:p>
            <w:pPr>
              <w:pStyle w:val="6"/>
              <w:ind w:firstLine="422"/>
              <w:jc w:val="center"/>
              <w:rPr>
                <w:rFonts w:ascii="宋体" w:hAnsi="宋体" w:eastAsia="宋体"/>
                <w:b/>
                <w:snapToGrid w:val="0"/>
                <w:kern w:val="0"/>
                <w:sz w:val="21"/>
              </w:rPr>
            </w:pPr>
            <w:r>
              <w:rPr>
                <w:rFonts w:hint="eastAsia" w:ascii="宋体" w:hAnsi="宋体" w:eastAsia="宋体"/>
                <w:b/>
                <w:snapToGrid w:val="0"/>
                <w:kern w:val="0"/>
                <w:sz w:val="21"/>
              </w:rPr>
              <w:t>表</w:t>
            </w:r>
            <w:r>
              <w:rPr>
                <w:rFonts w:ascii="Times New Roman" w:hAnsi="Times New Roman" w:eastAsia="宋体"/>
                <w:b/>
                <w:snapToGrid w:val="0"/>
                <w:kern w:val="0"/>
                <w:sz w:val="21"/>
              </w:rPr>
              <w:t xml:space="preserve">1-10  </w:t>
            </w:r>
            <w:r>
              <w:rPr>
                <w:rFonts w:hint="eastAsia" w:ascii="宋体" w:hAnsi="宋体" w:eastAsia="宋体"/>
                <w:b/>
                <w:snapToGrid w:val="0"/>
                <w:kern w:val="0"/>
                <w:sz w:val="21"/>
              </w:rPr>
              <w:t>与《</w:t>
            </w:r>
            <w:r>
              <w:rPr>
                <w:rFonts w:hint="eastAsia" w:ascii="Times New Roman" w:hAnsi="Times New Roman" w:eastAsia="宋体"/>
                <w:b/>
                <w:snapToGrid w:val="0"/>
                <w:kern w:val="0"/>
                <w:sz w:val="21"/>
              </w:rPr>
              <w:t>长江经济带发展负面清单指南</w:t>
            </w:r>
            <w:r>
              <w:rPr>
                <w:rFonts w:ascii="Times New Roman" w:hAnsi="Times New Roman" w:eastAsia="宋体"/>
                <w:b/>
                <w:snapToGrid w:val="0"/>
                <w:kern w:val="0"/>
                <w:sz w:val="21"/>
              </w:rPr>
              <w:t>(</w:t>
            </w:r>
            <w:r>
              <w:rPr>
                <w:rFonts w:hint="eastAsia" w:ascii="Times New Roman" w:hAnsi="Times New Roman" w:eastAsia="宋体"/>
                <w:b/>
                <w:snapToGrid w:val="0"/>
                <w:kern w:val="0"/>
                <w:sz w:val="21"/>
              </w:rPr>
              <w:t>试行，</w:t>
            </w:r>
            <w:r>
              <w:rPr>
                <w:rFonts w:ascii="Times New Roman" w:hAnsi="Times New Roman" w:eastAsia="宋体"/>
                <w:b/>
                <w:snapToGrid w:val="0"/>
                <w:kern w:val="0"/>
                <w:sz w:val="21"/>
              </w:rPr>
              <w:t>2022</w:t>
            </w:r>
            <w:r>
              <w:rPr>
                <w:rFonts w:hint="eastAsia" w:ascii="Times New Roman" w:hAnsi="Times New Roman" w:eastAsia="宋体"/>
                <w:b/>
                <w:snapToGrid w:val="0"/>
                <w:kern w:val="0"/>
                <w:sz w:val="21"/>
              </w:rPr>
              <w:t>年版</w:t>
            </w:r>
            <w:r>
              <w:rPr>
                <w:rFonts w:ascii="Times New Roman" w:hAnsi="Times New Roman" w:eastAsia="宋体"/>
                <w:b/>
                <w:snapToGrid w:val="0"/>
                <w:kern w:val="0"/>
                <w:sz w:val="21"/>
              </w:rPr>
              <w:t>)</w:t>
            </w:r>
            <w:r>
              <w:rPr>
                <w:rFonts w:hint="eastAsia" w:ascii="宋体" w:hAnsi="宋体" w:eastAsia="宋体"/>
                <w:b/>
                <w:snapToGrid w:val="0"/>
                <w:kern w:val="0"/>
                <w:sz w:val="21"/>
              </w:rPr>
              <w:t>》符合性分析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696"/>
              <w:gridCol w:w="211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序号</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要求</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项目情况</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1</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禁止建设不符合全国和省级港口布局规划以及港口总体规划的码头项目，禁止建设不符合《长江干线过江通道布局规划》的过长江通道项目。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snapToGrid w:val="0"/>
                      <w:kern w:val="0"/>
                      <w:sz w:val="21"/>
                      <w:szCs w:val="21"/>
                    </w:rPr>
                    <w:t>本项目为页岩油勘探项目，不属于</w:t>
                  </w:r>
                  <w:r>
                    <w:rPr>
                      <w:rFonts w:hint="eastAsia" w:hAnsi="宋体"/>
                      <w:snapToGrid w:val="0"/>
                      <w:kern w:val="0"/>
                      <w:sz w:val="21"/>
                      <w:szCs w:val="21"/>
                    </w:rPr>
                    <w:t>码头项目，不属于过长江通道项目</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2</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本项目选址不涉及自然保护区核心区、缓冲区，不涉及风景名胜区核心景区</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3</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本项目选址不在饮用水水源一级保护区和饮用水水源二级保护区范围内</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4</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本项目选址不涉及水产种质资源保护区，不涉及国家湿地公园</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5</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本项目选址不涉及长江流域河湖岸线，不涉及《长江岸线保护和开发利用总体规划》划定的岸线保护区和保留区，不涉及《全国重要江河湖泊水功能区划》划定的河段及湖泊保护区、保留区</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6</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禁止未经许可在长江干支流及湖泊新设、改设或扩大排污口。</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，不在长江干支流及湖泊新设、改设或扩大排污口</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7</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禁止在“一江一口两湖七河”和</w:t>
                  </w:r>
                  <w:r>
                    <w:rPr>
                      <w:rFonts w:hAnsi="宋体"/>
                      <w:snapToGrid w:val="0"/>
                      <w:kern w:val="0"/>
                      <w:sz w:val="21"/>
                      <w:szCs w:val="21"/>
                    </w:rPr>
                    <w:t>332</w:t>
                  </w:r>
                  <w:r>
                    <w:rPr>
                      <w:rFonts w:hint="eastAsia" w:hAnsi="宋体"/>
                      <w:snapToGrid w:val="0"/>
                      <w:kern w:val="0"/>
                      <w:sz w:val="21"/>
                      <w:szCs w:val="21"/>
                    </w:rPr>
                    <w:t>个水生生物保护区开展生产性捕捞。</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，不涉及生产性捕捞</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8</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，不属于化工园区及化工项目，不属于尾矿库、冶炼渣库和磷石膏库项目，项目不在长江干支流、重要湖泊岸线一公里范围内，</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9</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禁止在合规园区外新建、扩建钢铁、石化、化工、焦化、建材、有色、制浆造纸等高污染项目。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，不属于钢铁、石化、化工、焦化、建材、有色、制浆造纸等高污染项目</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10</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禁止新建、扩建不符合国家石化、现代煤化工等产业布局规划的项目。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，不属于石化、现代煤化工项目</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11</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，不属于落后产能项目，不属于严重过剩产能行业的项目，不属于高耗能高排放项目</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12</w:t>
                  </w:r>
                </w:p>
              </w:tc>
              <w:tc>
                <w:tcPr>
                  <w:tcW w:w="27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hAnsi="宋体"/>
                      <w:snapToGrid w:val="0"/>
                      <w:kern w:val="0"/>
                      <w:sz w:val="21"/>
                      <w:szCs w:val="21"/>
                    </w:rPr>
                  </w:pPr>
                  <w:r>
                    <w:rPr>
                      <w:rFonts w:hint="eastAsia" w:hAnsi="宋体"/>
                      <w:snapToGrid w:val="0"/>
                      <w:kern w:val="0"/>
                      <w:sz w:val="21"/>
                      <w:szCs w:val="21"/>
                    </w:rPr>
                    <w:t>法律法规及相关政策文件有更加严格规定的从其规定。</w:t>
                  </w:r>
                </w:p>
              </w:tc>
              <w:tc>
                <w:tcPr>
                  <w:tcW w:w="12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本项目为</w:t>
                  </w:r>
                  <w:r>
                    <w:rPr>
                      <w:rFonts w:hint="eastAsia"/>
                      <w:snapToGrid w:val="0"/>
                      <w:kern w:val="0"/>
                      <w:sz w:val="21"/>
                      <w:szCs w:val="21"/>
                    </w:rPr>
                    <w:t>页岩油勘探项目</w:t>
                  </w:r>
                  <w:r>
                    <w:rPr>
                      <w:rFonts w:hint="eastAsia" w:hAnsi="宋体"/>
                      <w:snapToGrid w:val="0"/>
                      <w:kern w:val="0"/>
                      <w:sz w:val="21"/>
                      <w:szCs w:val="21"/>
                    </w:rPr>
                    <w:t>，项目建设符合相关法律法规要求</w:t>
                  </w:r>
                </w:p>
              </w:tc>
              <w:tc>
                <w:tcPr>
                  <w:tcW w:w="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符合</w:t>
                  </w:r>
                </w:p>
              </w:tc>
            </w:tr>
          </w:tbl>
          <w:p>
            <w:pPr>
              <w:pStyle w:val="6"/>
              <w:ind w:firstLine="422"/>
              <w:jc w:val="center"/>
              <w:rPr>
                <w:rFonts w:ascii="Times New Roman" w:hAnsi="Times New Roman" w:eastAsia="宋体"/>
                <w:b/>
                <w:snapToGrid w:val="0"/>
                <w:kern w:val="0"/>
                <w:sz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kern w:val="0"/>
                <w:sz w:val="21"/>
                <w:szCs w:val="21"/>
              </w:rPr>
            </w:pPr>
          </w:p>
          <w:p>
            <w:pPr>
              <w:autoSpaceDE w:val="0"/>
              <w:autoSpaceDN w:val="0"/>
              <w:adjustRightInd w:val="0"/>
              <w:snapToGrid w:val="0"/>
              <w:spacing w:line="240" w:lineRule="auto"/>
              <w:ind w:firstLine="0" w:firstLineChars="0"/>
              <w:jc w:val="center"/>
              <w:rPr>
                <w:rFonts w:hint="eastAsia"/>
                <w:kern w:val="0"/>
                <w:sz w:val="21"/>
                <w:szCs w:val="21"/>
              </w:rPr>
            </w:pPr>
          </w:p>
        </w:tc>
      </w:tr>
    </w:tbl>
    <w:p>
      <w:pPr>
        <w:ind w:firstLine="420"/>
        <w:outlineLvl w:val="0"/>
        <w:rPr>
          <w:sz w:val="21"/>
          <w:szCs w:val="21"/>
        </w:rPr>
        <w:sectPr>
          <w:pgSz w:w="11906" w:h="16838"/>
          <w:pgMar w:top="1440" w:right="1440" w:bottom="1440" w:left="1440" w:header="851" w:footer="1077" w:gutter="0"/>
          <w:cols w:space="720" w:num="1"/>
          <w:docGrid w:linePitch="326" w:charSpace="0"/>
        </w:sectPr>
      </w:pPr>
    </w:p>
    <w:p>
      <w:pPr>
        <w:pStyle w:val="2"/>
        <w:rPr>
          <w:rFonts w:eastAsia="宋体"/>
          <w:snapToGrid w:val="0"/>
          <w:color w:val="auto"/>
          <w:sz w:val="24"/>
          <w:szCs w:val="21"/>
        </w:rPr>
      </w:pPr>
      <w:r>
        <w:rPr>
          <w:rFonts w:eastAsia="宋体"/>
          <w:snapToGrid w:val="0"/>
          <w:color w:val="auto"/>
          <w:sz w:val="24"/>
          <w:szCs w:val="21"/>
        </w:rPr>
        <w:t>二、建设内容</w:t>
      </w:r>
    </w:p>
    <w:tbl>
      <w:tblPr>
        <w:tblStyle w:val="22"/>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57" w:type="dxa"/>
            <w:vAlign w:val="center"/>
          </w:tcPr>
          <w:p>
            <w:pPr>
              <w:adjustRightInd w:val="0"/>
              <w:snapToGrid w:val="0"/>
              <w:spacing w:line="240" w:lineRule="auto"/>
              <w:ind w:firstLine="0" w:firstLineChars="0"/>
              <w:jc w:val="center"/>
              <w:rPr>
                <w:kern w:val="0"/>
                <w:sz w:val="21"/>
                <w:szCs w:val="21"/>
              </w:rPr>
            </w:pPr>
            <w:r>
              <w:rPr>
                <w:kern w:val="0"/>
                <w:sz w:val="21"/>
                <w:szCs w:val="21"/>
              </w:rPr>
              <w:t>地理位置</w:t>
            </w:r>
          </w:p>
        </w:tc>
        <w:tc>
          <w:tcPr>
            <w:tcW w:w="8427" w:type="dxa"/>
            <w:vAlign w:val="center"/>
          </w:tcPr>
          <w:p>
            <w:pPr>
              <w:ind w:firstLine="420"/>
              <w:jc w:val="center"/>
              <w:rPr>
                <w:sz w:val="21"/>
                <w:szCs w:val="21"/>
              </w:rPr>
            </w:pPr>
            <w:r>
              <w:rPr>
                <w:rFonts w:hint="eastAsia"/>
                <w:sz w:val="21"/>
                <w:szCs w:val="21"/>
              </w:rPr>
              <w:t>平安7井钻井工程位于四川省达州市通川区北山镇石龙村2组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dxa"/>
            <w:tcBorders>
              <w:bottom w:val="single" w:color="auto" w:sz="4" w:space="0"/>
            </w:tcBorders>
            <w:vAlign w:val="center"/>
          </w:tcPr>
          <w:p>
            <w:pPr>
              <w:adjustRightInd w:val="0"/>
              <w:snapToGrid w:val="0"/>
              <w:spacing w:line="240" w:lineRule="auto"/>
              <w:ind w:firstLine="0" w:firstLineChars="0"/>
              <w:jc w:val="center"/>
              <w:rPr>
                <w:kern w:val="0"/>
                <w:sz w:val="21"/>
                <w:szCs w:val="21"/>
              </w:rPr>
            </w:pPr>
            <w:r>
              <w:rPr>
                <w:kern w:val="0"/>
                <w:sz w:val="21"/>
                <w:szCs w:val="21"/>
              </w:rPr>
              <w:t>项目组成及规模</w:t>
            </w:r>
          </w:p>
        </w:tc>
        <w:tc>
          <w:tcPr>
            <w:tcW w:w="8427" w:type="dxa"/>
            <w:tcBorders>
              <w:bottom w:val="single" w:color="auto" w:sz="4" w:space="0"/>
            </w:tcBorders>
            <w:vAlign w:val="center"/>
          </w:tcPr>
          <w:p>
            <w:pPr>
              <w:adjustRightInd w:val="0"/>
              <w:snapToGrid w:val="0"/>
              <w:ind w:firstLine="0" w:firstLineChars="0"/>
              <w:rPr>
                <w:b/>
                <w:snapToGrid w:val="0"/>
                <w:kern w:val="0"/>
                <w:sz w:val="21"/>
                <w:szCs w:val="21"/>
              </w:rPr>
            </w:pPr>
            <w:r>
              <w:rPr>
                <w:rFonts w:hint="eastAsia"/>
                <w:b/>
                <w:snapToGrid w:val="0"/>
                <w:kern w:val="0"/>
                <w:sz w:val="21"/>
                <w:szCs w:val="21"/>
              </w:rPr>
              <w:t>1、项目由来</w:t>
            </w:r>
          </w:p>
          <w:p>
            <w:pPr>
              <w:adjustRightInd w:val="0"/>
              <w:snapToGrid w:val="0"/>
              <w:ind w:firstLine="420"/>
              <w:rPr>
                <w:snapToGrid w:val="0"/>
                <w:kern w:val="0"/>
                <w:sz w:val="21"/>
                <w:szCs w:val="21"/>
              </w:rPr>
            </w:pPr>
            <w:r>
              <w:rPr>
                <w:bCs/>
                <w:snapToGrid w:val="0"/>
                <w:kern w:val="0"/>
                <w:sz w:val="21"/>
                <w:szCs w:val="21"/>
              </w:rPr>
              <w:t>平昌地区属川东北低缓构造带，位于大巴山山前高陡构造与川中斜坡的过渡部位。在大地构造位置上属于扬子准地台与秦岭地槽褶皱系之间的过渡带，位于大陆板块的外缘，其北缘为大巴山断褶带，该带北面以城口-房县断裂及其西北的米仓山北缘断裂与秦岭地槽褶皱系相接，该带西段往南西延伸则为川北低平褶皱带，再往南西方向与川中平缓褶皱带为邻，川北地区即位于川北低平褶皱带的东部。</w:t>
            </w:r>
          </w:p>
          <w:p>
            <w:pPr>
              <w:adjustRightInd w:val="0"/>
              <w:snapToGrid w:val="0"/>
              <w:ind w:firstLine="420"/>
              <w:rPr>
                <w:sz w:val="21"/>
                <w:szCs w:val="21"/>
              </w:rPr>
            </w:pPr>
            <w:r>
              <w:rPr>
                <w:sz w:val="21"/>
                <w:szCs w:val="21"/>
              </w:rPr>
              <w:t>2019年大庆油田接受仪陇平昌流转区块后转变勘探思路，针对页岩储层开展针对性研究，发现侏罗系凉高山组、自流井组大安寨段页岩厚度大、物性好，营山、龙岗区块钻井揭示凉高山组、大二亚段黑色页岩集中发育，单层厚度大，有机质丰度高。利用资源丰度计算，仪陇-平昌地区大安寨段页岩油资源量为16.23×10</w:t>
            </w:r>
            <w:r>
              <w:rPr>
                <w:sz w:val="21"/>
                <w:szCs w:val="21"/>
                <w:vertAlign w:val="superscript"/>
              </w:rPr>
              <w:t>8</w:t>
            </w:r>
            <w:r>
              <w:rPr>
                <w:sz w:val="21"/>
                <w:szCs w:val="21"/>
              </w:rPr>
              <w:t>t，页岩气资源量为（1.30～1.96）×10</w:t>
            </w:r>
            <w:r>
              <w:rPr>
                <w:sz w:val="21"/>
                <w:szCs w:val="21"/>
                <w:vertAlign w:val="superscript"/>
              </w:rPr>
              <w:t>12</w:t>
            </w:r>
            <w:r>
              <w:rPr>
                <w:sz w:val="21"/>
                <w:szCs w:val="21"/>
              </w:rPr>
              <w:t>m</w:t>
            </w:r>
            <w:r>
              <w:rPr>
                <w:sz w:val="21"/>
                <w:szCs w:val="21"/>
                <w:vertAlign w:val="superscript"/>
              </w:rPr>
              <w:t>3</w:t>
            </w:r>
            <w:r>
              <w:rPr>
                <w:sz w:val="21"/>
                <w:szCs w:val="21"/>
              </w:rPr>
              <w:t>，凉高山组页岩油资源量为26.75×10</w:t>
            </w:r>
            <w:r>
              <w:rPr>
                <w:sz w:val="21"/>
                <w:szCs w:val="21"/>
                <w:vertAlign w:val="superscript"/>
              </w:rPr>
              <w:t>8</w:t>
            </w:r>
            <w:r>
              <w:rPr>
                <w:sz w:val="21"/>
                <w:szCs w:val="21"/>
              </w:rPr>
              <w:t>t，天然气资源量为1.72×10</w:t>
            </w:r>
            <w:r>
              <w:rPr>
                <w:sz w:val="21"/>
                <w:szCs w:val="21"/>
                <w:vertAlign w:val="superscript"/>
              </w:rPr>
              <w:t>12</w:t>
            </w:r>
            <w:r>
              <w:rPr>
                <w:sz w:val="21"/>
                <w:szCs w:val="21"/>
              </w:rPr>
              <w:t>m</w:t>
            </w:r>
            <w:r>
              <w:rPr>
                <w:sz w:val="21"/>
                <w:szCs w:val="21"/>
                <w:vertAlign w:val="superscript"/>
              </w:rPr>
              <w:t>3</w:t>
            </w:r>
            <w:r>
              <w:rPr>
                <w:sz w:val="21"/>
                <w:szCs w:val="21"/>
              </w:rPr>
              <w:t>。综合评价侏罗系凉高山组和自流井组大安寨段页岩储层具有“孔隙度高、成熟度高、气油比高、页理发育、埋深适中”的特点，是四川盆地页岩油气勘探首选层系。2019年为了探索平昌地区侏罗系生烃中心页岩含油气性，部署区域风险探井平安1井，于侏罗系凉高山组获工业油气流，日产原油112.8t/d，日产天然气11.45×10</w:t>
            </w:r>
            <w:r>
              <w:rPr>
                <w:sz w:val="21"/>
                <w:szCs w:val="21"/>
                <w:vertAlign w:val="superscript"/>
              </w:rPr>
              <w:t>4</w:t>
            </w:r>
            <w:r>
              <w:rPr>
                <w:sz w:val="21"/>
                <w:szCs w:val="21"/>
              </w:rPr>
              <w:t>m</w:t>
            </w:r>
            <w:r>
              <w:rPr>
                <w:sz w:val="21"/>
                <w:szCs w:val="21"/>
                <w:vertAlign w:val="superscript"/>
              </w:rPr>
              <w:t>3</w:t>
            </w:r>
            <w:r>
              <w:rPr>
                <w:sz w:val="21"/>
                <w:szCs w:val="21"/>
              </w:rPr>
              <w:t>/d，自2019年以来在探矿权区内平昌、潼南、营山等地针对页岩油部署平安1井、平页1井、营浅1井、营浅2井、潼深1井、营页1H井等井。为了进一步落实平昌地区侏罗系页岩油气规模并为储量提交提供基础部署平安7井。</w:t>
            </w:r>
          </w:p>
          <w:p>
            <w:pPr>
              <w:adjustRightInd w:val="0"/>
              <w:snapToGrid w:val="0"/>
              <w:ind w:firstLine="420"/>
              <w:rPr>
                <w:snapToGrid w:val="0"/>
                <w:kern w:val="0"/>
                <w:sz w:val="21"/>
                <w:szCs w:val="21"/>
              </w:rPr>
            </w:pPr>
            <w:r>
              <w:rPr>
                <w:snapToGrid w:val="0"/>
                <w:kern w:val="0"/>
                <w:sz w:val="21"/>
                <w:szCs w:val="21"/>
              </w:rPr>
              <w:t>（2）采矿权及周边井位布置情况</w:t>
            </w:r>
          </w:p>
          <w:p>
            <w:pPr>
              <w:adjustRightInd w:val="0"/>
              <w:snapToGrid w:val="0"/>
              <w:ind w:firstLine="420"/>
              <w:rPr>
                <w:snapToGrid w:val="0"/>
                <w:kern w:val="0"/>
                <w:sz w:val="21"/>
                <w:szCs w:val="21"/>
              </w:rPr>
            </w:pPr>
            <w:r>
              <w:rPr>
                <w:snapToGrid w:val="0"/>
                <w:kern w:val="0"/>
                <w:sz w:val="21"/>
                <w:szCs w:val="21"/>
              </w:rPr>
              <w:t>平安7井属于《四川省四川盆地东北平昌-万源地区油气勘查》探矿许可证范围内项目，所属构造为</w:t>
            </w:r>
            <w:r>
              <w:rPr>
                <w:rFonts w:hint="eastAsia"/>
                <w:snapToGrid w:val="0"/>
                <w:kern w:val="0"/>
                <w:sz w:val="21"/>
                <w:szCs w:val="21"/>
              </w:rPr>
              <w:t>四川盆地川北低缓构造带</w:t>
            </w:r>
            <w:r>
              <w:rPr>
                <w:snapToGrid w:val="0"/>
                <w:kern w:val="0"/>
                <w:sz w:val="21"/>
                <w:szCs w:val="21"/>
              </w:rPr>
              <w:t>，井口位于平昌三维：Line920/Trace784，项目位于未确定产能建设规模的陆地油气开采区块。</w:t>
            </w:r>
          </w:p>
          <w:p>
            <w:pPr>
              <w:adjustRightInd w:val="0"/>
              <w:snapToGrid w:val="0"/>
              <w:ind w:firstLine="420"/>
              <w:rPr>
                <w:snapToGrid w:val="0"/>
                <w:kern w:val="0"/>
                <w:sz w:val="21"/>
                <w:szCs w:val="21"/>
              </w:rPr>
            </w:pPr>
            <w:r>
              <w:rPr>
                <w:rFonts w:hint="eastAsia"/>
                <w:snapToGrid w:val="0"/>
                <w:kern w:val="0"/>
                <w:sz w:val="21"/>
                <w:szCs w:val="21"/>
              </w:rPr>
              <w:t>中国石油天然气股份有限公司已于202</w:t>
            </w:r>
            <w:r>
              <w:rPr>
                <w:snapToGrid w:val="0"/>
                <w:kern w:val="0"/>
                <w:sz w:val="21"/>
                <w:szCs w:val="21"/>
              </w:rPr>
              <w:t>2</w:t>
            </w:r>
            <w:r>
              <w:rPr>
                <w:rFonts w:hint="eastAsia"/>
                <w:snapToGrid w:val="0"/>
                <w:kern w:val="0"/>
                <w:sz w:val="21"/>
                <w:szCs w:val="21"/>
              </w:rPr>
              <w:t>年</w:t>
            </w:r>
            <w:r>
              <w:rPr>
                <w:snapToGrid w:val="0"/>
                <w:kern w:val="0"/>
                <w:sz w:val="21"/>
                <w:szCs w:val="21"/>
              </w:rPr>
              <w:t>6</w:t>
            </w:r>
            <w:r>
              <w:rPr>
                <w:rFonts w:hint="eastAsia"/>
                <w:snapToGrid w:val="0"/>
                <w:kern w:val="0"/>
                <w:sz w:val="21"/>
                <w:szCs w:val="21"/>
              </w:rPr>
              <w:t>月</w:t>
            </w:r>
            <w:r>
              <w:rPr>
                <w:snapToGrid w:val="0"/>
                <w:kern w:val="0"/>
                <w:sz w:val="21"/>
                <w:szCs w:val="21"/>
              </w:rPr>
              <w:t>20</w:t>
            </w:r>
            <w:r>
              <w:rPr>
                <w:rFonts w:hint="eastAsia"/>
                <w:snapToGrid w:val="0"/>
                <w:kern w:val="0"/>
                <w:sz w:val="21"/>
                <w:szCs w:val="21"/>
              </w:rPr>
              <w:t>日取得《</w:t>
            </w:r>
            <w:r>
              <w:rPr>
                <w:snapToGrid w:val="0"/>
                <w:kern w:val="0"/>
                <w:sz w:val="21"/>
                <w:szCs w:val="21"/>
              </w:rPr>
              <w:t>四川省四川盆地东北平昌-万源地区油气勘查</w:t>
            </w:r>
            <w:r>
              <w:rPr>
                <w:rFonts w:hint="eastAsia"/>
                <w:snapToGrid w:val="0"/>
                <w:kern w:val="0"/>
                <w:sz w:val="21"/>
                <w:szCs w:val="21"/>
              </w:rPr>
              <w:t>》探矿许可证（证号：</w:t>
            </w:r>
            <w:r>
              <w:rPr>
                <w:snapToGrid w:val="0"/>
                <w:kern w:val="0"/>
                <w:sz w:val="21"/>
                <w:szCs w:val="21"/>
              </w:rPr>
              <w:t>T1000002022111018001272</w:t>
            </w:r>
            <w:r>
              <w:rPr>
                <w:rFonts w:hint="eastAsia"/>
                <w:snapToGrid w:val="0"/>
                <w:kern w:val="0"/>
                <w:sz w:val="21"/>
                <w:szCs w:val="21"/>
              </w:rPr>
              <w:t>），探矿内包括四川省达州市达川区、通川区、万源市、宣汉县，巴中市巴州区、</w:t>
            </w:r>
            <w:r>
              <w:rPr>
                <w:rFonts w:hint="eastAsia"/>
                <w:b/>
                <w:snapToGrid w:val="0"/>
                <w:kern w:val="0"/>
                <w:sz w:val="21"/>
                <w:szCs w:val="21"/>
              </w:rPr>
              <w:t>平昌县</w:t>
            </w:r>
            <w:r>
              <w:rPr>
                <w:rFonts w:hint="eastAsia"/>
                <w:snapToGrid w:val="0"/>
                <w:kern w:val="0"/>
                <w:sz w:val="21"/>
                <w:szCs w:val="21"/>
              </w:rPr>
              <w:t>、通江县，勘查面积</w:t>
            </w:r>
            <w:r>
              <w:rPr>
                <w:snapToGrid w:val="0"/>
                <w:kern w:val="0"/>
                <w:sz w:val="21"/>
                <w:szCs w:val="21"/>
              </w:rPr>
              <w:t>4628.2602</w:t>
            </w:r>
            <w:r>
              <w:rPr>
                <w:rFonts w:hint="eastAsia"/>
                <w:snapToGrid w:val="0"/>
                <w:kern w:val="0"/>
                <w:sz w:val="21"/>
                <w:szCs w:val="21"/>
              </w:rPr>
              <w:t>平方千米，探矿权许可证有限期限为202</w:t>
            </w:r>
            <w:r>
              <w:rPr>
                <w:snapToGrid w:val="0"/>
                <w:kern w:val="0"/>
                <w:sz w:val="21"/>
                <w:szCs w:val="21"/>
              </w:rPr>
              <w:t>2</w:t>
            </w:r>
            <w:r>
              <w:rPr>
                <w:rFonts w:hint="eastAsia"/>
                <w:snapToGrid w:val="0"/>
                <w:kern w:val="0"/>
                <w:sz w:val="21"/>
                <w:szCs w:val="21"/>
              </w:rPr>
              <w:t>年</w:t>
            </w:r>
            <w:r>
              <w:rPr>
                <w:snapToGrid w:val="0"/>
                <w:kern w:val="0"/>
                <w:sz w:val="21"/>
                <w:szCs w:val="21"/>
              </w:rPr>
              <w:t>5</w:t>
            </w:r>
            <w:r>
              <w:rPr>
                <w:rFonts w:hint="eastAsia"/>
                <w:snapToGrid w:val="0"/>
                <w:kern w:val="0"/>
                <w:sz w:val="21"/>
                <w:szCs w:val="21"/>
              </w:rPr>
              <w:t>月</w:t>
            </w:r>
            <w:r>
              <w:rPr>
                <w:snapToGrid w:val="0"/>
                <w:kern w:val="0"/>
                <w:sz w:val="21"/>
                <w:szCs w:val="21"/>
              </w:rPr>
              <w:t>10</w:t>
            </w:r>
            <w:r>
              <w:rPr>
                <w:rFonts w:hint="eastAsia"/>
                <w:snapToGrid w:val="0"/>
                <w:kern w:val="0"/>
                <w:sz w:val="21"/>
                <w:szCs w:val="21"/>
              </w:rPr>
              <w:t>日至202</w:t>
            </w:r>
            <w:r>
              <w:rPr>
                <w:snapToGrid w:val="0"/>
                <w:kern w:val="0"/>
                <w:sz w:val="21"/>
                <w:szCs w:val="21"/>
              </w:rPr>
              <w:t>7</w:t>
            </w:r>
            <w:r>
              <w:rPr>
                <w:rFonts w:hint="eastAsia"/>
                <w:snapToGrid w:val="0"/>
                <w:kern w:val="0"/>
                <w:sz w:val="21"/>
                <w:szCs w:val="21"/>
              </w:rPr>
              <w:t>年</w:t>
            </w:r>
            <w:r>
              <w:rPr>
                <w:snapToGrid w:val="0"/>
                <w:kern w:val="0"/>
                <w:sz w:val="21"/>
                <w:szCs w:val="21"/>
              </w:rPr>
              <w:t>5</w:t>
            </w:r>
            <w:r>
              <w:rPr>
                <w:rFonts w:hint="eastAsia"/>
                <w:snapToGrid w:val="0"/>
                <w:kern w:val="0"/>
                <w:sz w:val="21"/>
                <w:szCs w:val="21"/>
              </w:rPr>
              <w:t>月</w:t>
            </w:r>
            <w:r>
              <w:rPr>
                <w:snapToGrid w:val="0"/>
                <w:kern w:val="0"/>
                <w:sz w:val="21"/>
                <w:szCs w:val="21"/>
              </w:rPr>
              <w:t>9</w:t>
            </w:r>
            <w:r>
              <w:rPr>
                <w:rFonts w:hint="eastAsia"/>
                <w:snapToGrid w:val="0"/>
                <w:kern w:val="0"/>
                <w:sz w:val="21"/>
                <w:szCs w:val="21"/>
              </w:rPr>
              <w:t>日。</w:t>
            </w:r>
            <w:r>
              <w:rPr>
                <w:snapToGrid w:val="0"/>
                <w:kern w:val="0"/>
                <w:sz w:val="21"/>
                <w:szCs w:val="21"/>
              </w:rPr>
              <w:t>平安7井</w:t>
            </w:r>
            <w:r>
              <w:rPr>
                <w:rFonts w:hint="eastAsia"/>
                <w:snapToGrid w:val="0"/>
                <w:kern w:val="0"/>
                <w:sz w:val="21"/>
                <w:szCs w:val="21"/>
              </w:rPr>
              <w:t>位于达州市通川区，属于《</w:t>
            </w:r>
            <w:r>
              <w:rPr>
                <w:snapToGrid w:val="0"/>
                <w:kern w:val="0"/>
                <w:sz w:val="21"/>
                <w:szCs w:val="21"/>
              </w:rPr>
              <w:t>四川省四川盆地东北平昌-万源地区油气勘查</w:t>
            </w:r>
            <w:r>
              <w:rPr>
                <w:rFonts w:hint="eastAsia"/>
                <w:snapToGrid w:val="0"/>
                <w:kern w:val="0"/>
                <w:sz w:val="21"/>
                <w:szCs w:val="21"/>
              </w:rPr>
              <w:t>》探矿许可证探矿范围，所在区域勘探权属中国石油天然气股份有限公司所有，拟建项目所在区域探矿权范围见图2-1。</w:t>
            </w:r>
          </w:p>
          <w:p>
            <w:pPr>
              <w:adjustRightInd w:val="0"/>
              <w:snapToGrid w:val="0"/>
              <w:ind w:firstLine="420"/>
              <w:jc w:val="center"/>
              <w:rPr>
                <w:snapToGrid w:val="0"/>
                <w:kern w:val="0"/>
                <w:sz w:val="21"/>
                <w:szCs w:val="21"/>
                <w:highlight w:val="yellow"/>
              </w:rPr>
            </w:pPr>
            <w:r>
              <w:rPr>
                <w:snapToGrid w:val="0"/>
                <w:kern w:val="0"/>
                <w:sz w:val="21"/>
                <w:szCs w:val="21"/>
                <w:highlight w:val="yellow"/>
              </w:rPr>
              <w:pict>
                <v:shape id="矩形标注 25" o:spid="_x0000_s1028" o:spt="61" type="#_x0000_t61" style="position:absolute;left:0pt;margin-left:167.75pt;margin-top:162.65pt;height:23.9pt;width:76.55pt;z-index:25166336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" adj="-7216,26607">
                  <v:path/>
                  <v:fill on="t" focussize="0,0"/>
                  <v:stroke weight="1pt" color="#FF0000" joinstyle="miter"/>
                  <v:imagedata o:title=""/>
                  <o:lock v:ext="edit"/>
                  <v:textbox>
                    <w:txbxContent>
                      <w:p>
                        <w:pPr>
                          <w:ind w:firstLine="0" w:firstLineChars="0"/>
                          <w:jc w:val="center"/>
                          <w:rPr>
                            <w:color w:val="FF0000"/>
                          </w:rPr>
                        </w:pPr>
                        <w:r>
                          <w:rPr>
                            <w:rFonts w:hint="eastAsia"/>
                            <w:color w:val="FF0000"/>
                          </w:rPr>
                          <w:t>项目所在地</w:t>
                        </w:r>
                      </w:p>
                    </w:txbxContent>
                  </v:textbox>
                </v:shape>
              </w:pict>
            </w:r>
            <w:r>
              <w:rPr>
                <w:rFonts w:eastAsia="Times New Roman"/>
                <w:snapToGrid w:val="0"/>
                <w:kern w:val="0"/>
                <w:sz w:val="21"/>
                <w:szCs w:val="21"/>
                <w:shd w:val="clear" w:color="auto" w:fill="000000"/>
              </w:rPr>
              <w:drawing>
                <wp:inline distT="0" distB="0" distL="0" distR="0">
                  <wp:extent cx="5039360" cy="3223895"/>
                  <wp:effectExtent l="0" t="0" r="8890" b="0"/>
                  <wp:docPr id="27" name="图片 27" descr="G:\公司\1环评\2024\大庆油田\平安103井\7资料\矿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公司\1环评\2024\大庆油田\平安103井\7资料\矿权.jpg"/>
                          <pic:cNvPicPr>
                            <a:picLocks noChangeAspect="1" noChangeArrowheads="1"/>
                          </pic:cNvPicPr>
                        </pic:nvPicPr>
                        <pic:blipFill>
                          <a:blip r:embed="rId14" cstate="print">
                            <a:extLst>
                              <a:ext uri="{28A0092B-C50C-407E-A947-70E740481C1C}">
                                <a14:useLocalDpi xmlns:a14="http://schemas.microsoft.com/office/drawing/2010/main" val="0"/>
                              </a:ext>
                            </a:extLst>
                          </a:blip>
                          <a:srcRect b="9533"/>
                          <a:stretch>
                            <a:fillRect/>
                          </a:stretch>
                        </pic:blipFill>
                        <pic:spPr>
                          <a:xfrm>
                            <a:off x="0" y="0"/>
                            <a:ext cx="5040000" cy="3224100"/>
                          </a:xfrm>
                          <a:prstGeom prst="rect">
                            <a:avLst/>
                          </a:prstGeom>
                          <a:noFill/>
                          <a:ln>
                            <a:noFill/>
                          </a:ln>
                        </pic:spPr>
                      </pic:pic>
                    </a:graphicData>
                  </a:graphic>
                </wp:inline>
              </w:drawing>
            </w:r>
          </w:p>
          <w:p>
            <w:pPr>
              <w:autoSpaceDE w:val="0"/>
              <w:autoSpaceDN w:val="0"/>
              <w:adjustRightInd w:val="0"/>
              <w:snapToGrid w:val="0"/>
              <w:ind w:firstLine="0" w:firstLineChars="0"/>
              <w:jc w:val="center"/>
              <w:rPr>
                <w:kern w:val="0"/>
                <w:sz w:val="21"/>
                <w:szCs w:val="21"/>
              </w:rPr>
            </w:pPr>
            <w:r>
              <w:rPr>
                <w:rFonts w:hint="eastAsia"/>
                <w:b/>
                <w:snapToGrid w:val="0"/>
                <w:kern w:val="0"/>
                <w:sz w:val="21"/>
                <w:szCs w:val="21"/>
              </w:rPr>
              <w:t>图</w:t>
            </w:r>
            <w:r>
              <w:rPr>
                <w:b/>
                <w:snapToGrid w:val="0"/>
                <w:kern w:val="0"/>
                <w:sz w:val="21"/>
                <w:szCs w:val="21"/>
              </w:rPr>
              <w:t xml:space="preserve">2-1  </w:t>
            </w:r>
            <w:r>
              <w:rPr>
                <w:rFonts w:hint="eastAsia"/>
                <w:b/>
                <w:snapToGrid w:val="0"/>
                <w:kern w:val="0"/>
                <w:sz w:val="21"/>
                <w:szCs w:val="21"/>
              </w:rPr>
              <w:t>探矿权范围图</w:t>
            </w:r>
          </w:p>
          <w:p>
            <w:pPr>
              <w:adjustRightInd w:val="0"/>
              <w:snapToGrid w:val="0"/>
              <w:ind w:firstLine="422"/>
              <w:rPr>
                <w:b/>
                <w:kern w:val="0"/>
                <w:sz w:val="21"/>
                <w:szCs w:val="21"/>
              </w:rPr>
            </w:pPr>
            <w:r>
              <w:rPr>
                <w:b/>
                <w:kern w:val="0"/>
                <w:sz w:val="21"/>
                <w:szCs w:val="21"/>
              </w:rPr>
              <w:t>2、建设内容</w:t>
            </w:r>
          </w:p>
          <w:p>
            <w:pPr>
              <w:adjustRightInd w:val="0"/>
              <w:snapToGrid w:val="0"/>
              <w:ind w:firstLine="420"/>
              <w:rPr>
                <w:snapToGrid w:val="0"/>
                <w:kern w:val="0"/>
                <w:sz w:val="21"/>
                <w:szCs w:val="21"/>
              </w:rPr>
            </w:pPr>
            <w:r>
              <w:rPr>
                <w:rFonts w:hint="eastAsia"/>
                <w:snapToGrid w:val="0"/>
                <w:kern w:val="0"/>
                <w:sz w:val="21"/>
                <w:szCs w:val="21"/>
              </w:rPr>
              <w:t>根据项目的工程特点，可将项目实施分为两个阶段：钻前工程</w:t>
            </w:r>
            <w:r>
              <w:rPr>
                <w:snapToGrid w:val="0"/>
                <w:kern w:val="0"/>
                <w:sz w:val="21"/>
                <w:szCs w:val="21"/>
              </w:rPr>
              <w:t>、钻井工程</w:t>
            </w:r>
            <w:r>
              <w:rPr>
                <w:rFonts w:hint="eastAsia"/>
                <w:snapToGrid w:val="0"/>
                <w:kern w:val="0"/>
                <w:sz w:val="21"/>
                <w:szCs w:val="21"/>
              </w:rPr>
              <w:t>。工程为勘探井项目，不涉及运营期，因此不对运营期工程进行分析。项目勘探结束后若具备商业开采价值，建设单位将实施“探转采”并建设地面站场及管道集输工程等内容，届时需另行环评。根据本项目特点，项目不涉及运营期、退役期及管道工程的建设、运营及退役处置。</w:t>
            </w:r>
          </w:p>
          <w:p>
            <w:pPr>
              <w:adjustRightInd w:val="0"/>
              <w:snapToGrid w:val="0"/>
              <w:ind w:firstLine="420"/>
              <w:rPr>
                <w:snapToGrid w:val="0"/>
                <w:kern w:val="0"/>
                <w:sz w:val="21"/>
                <w:szCs w:val="21"/>
              </w:rPr>
            </w:pPr>
            <w:r>
              <w:rPr>
                <w:rFonts w:hint="eastAsia"/>
                <w:snapToGrid w:val="0"/>
                <w:kern w:val="0"/>
                <w:sz w:val="21"/>
                <w:szCs w:val="21"/>
              </w:rPr>
              <w:t>钻前工程：包括新建井场、道路、清洁化操作平台、应急池、燃烧池及临时房屋、设备基础、给排水、供配电等工程。</w:t>
            </w:r>
          </w:p>
          <w:p>
            <w:pPr>
              <w:adjustRightInd w:val="0"/>
              <w:snapToGrid w:val="0"/>
              <w:ind w:firstLine="420"/>
              <w:rPr>
                <w:snapToGrid w:val="0"/>
                <w:kern w:val="0"/>
                <w:sz w:val="21"/>
                <w:szCs w:val="21"/>
              </w:rPr>
            </w:pPr>
            <w:r>
              <w:rPr>
                <w:rFonts w:hint="eastAsia"/>
                <w:snapToGrid w:val="0"/>
                <w:kern w:val="0"/>
                <w:sz w:val="21"/>
                <w:szCs w:val="21"/>
              </w:rPr>
              <w:t>钻井工程：根据项目钻井设计，拟建工程钻井采用清水+水基钻井液进行钻进。其中导管（0~30m）使用清水钻井液钻进，井场所在区域为砂泥岩构造裂隙水，含水层厚度一般为</w:t>
            </w:r>
            <w:r>
              <w:rPr>
                <w:snapToGrid w:val="0"/>
                <w:kern w:val="0"/>
                <w:sz w:val="21"/>
                <w:szCs w:val="21"/>
              </w:rPr>
              <w:t>2</w:t>
            </w:r>
            <w:r>
              <w:rPr>
                <w:rFonts w:hint="eastAsia"/>
                <w:snapToGrid w:val="0"/>
                <w:kern w:val="0"/>
                <w:sz w:val="21"/>
                <w:szCs w:val="21"/>
              </w:rPr>
              <w:t>0~30m，本工程导管（0~</w:t>
            </w:r>
            <w:r>
              <w:rPr>
                <w:snapToGrid w:val="0"/>
                <w:kern w:val="0"/>
                <w:sz w:val="21"/>
                <w:szCs w:val="21"/>
              </w:rPr>
              <w:t>3</w:t>
            </w:r>
            <w:r>
              <w:rPr>
                <w:rFonts w:hint="eastAsia"/>
                <w:snapToGrid w:val="0"/>
                <w:kern w:val="0"/>
                <w:sz w:val="21"/>
                <w:szCs w:val="21"/>
              </w:rPr>
              <w:t>0m）使用清水钻井液，导管深度超过地下水埋深及含水层厚度，设置合理，可有效保护浅层地下水；一开（30~502m）、二开（</w:t>
            </w:r>
            <w:r>
              <w:rPr>
                <w:snapToGrid w:val="0"/>
                <w:kern w:val="0"/>
                <w:sz w:val="21"/>
                <w:szCs w:val="21"/>
              </w:rPr>
              <w:t>502</w:t>
            </w:r>
            <w:r>
              <w:rPr>
                <w:rFonts w:hint="eastAsia"/>
                <w:snapToGrid w:val="0"/>
                <w:kern w:val="0"/>
                <w:sz w:val="21"/>
                <w:szCs w:val="21"/>
              </w:rPr>
              <w:t>m~</w:t>
            </w:r>
            <w:r>
              <w:rPr>
                <w:rFonts w:cs="Arial"/>
                <w:sz w:val="21"/>
                <w:szCs w:val="21"/>
              </w:rPr>
              <w:t>2965</w:t>
            </w:r>
            <w:r>
              <w:rPr>
                <w:rFonts w:hint="eastAsia"/>
                <w:snapToGrid w:val="0"/>
                <w:kern w:val="0"/>
                <w:sz w:val="21"/>
                <w:szCs w:val="21"/>
              </w:rPr>
              <w:t>m）、三开（</w:t>
            </w:r>
            <w:r>
              <w:rPr>
                <w:rFonts w:cs="Arial"/>
                <w:sz w:val="21"/>
                <w:szCs w:val="21"/>
              </w:rPr>
              <w:t>2965</w:t>
            </w:r>
            <w:r>
              <w:rPr>
                <w:rFonts w:hint="eastAsia"/>
                <w:snapToGrid w:val="0"/>
                <w:kern w:val="0"/>
                <w:sz w:val="21"/>
                <w:szCs w:val="21"/>
              </w:rPr>
              <w:t>m~</w:t>
            </w:r>
            <w:r>
              <w:rPr>
                <w:rFonts w:cs="Arial"/>
                <w:sz w:val="21"/>
                <w:szCs w:val="21"/>
              </w:rPr>
              <w:t>5072</w:t>
            </w:r>
            <w:r>
              <w:rPr>
                <w:rFonts w:hint="eastAsia"/>
                <w:snapToGrid w:val="0"/>
                <w:kern w:val="0"/>
                <w:sz w:val="21"/>
                <w:szCs w:val="21"/>
              </w:rPr>
              <w:t>m）使用水基泥浆钻进，有利于降低作业成本，对地层污染较小。钻井过程中包括有下套管和水泥固井等作业。整个钻井作业期间，水基泥浆循环使用，同时对钻井过程中产生的污染物进行治理。项目目的层为凉高山组</w:t>
            </w:r>
            <w:r>
              <w:rPr>
                <w:snapToGrid w:val="0"/>
                <w:kern w:val="0"/>
                <w:sz w:val="21"/>
                <w:szCs w:val="21"/>
              </w:rPr>
              <w:t>。</w:t>
            </w:r>
            <w:r>
              <w:rPr>
                <w:rFonts w:hint="eastAsia"/>
                <w:snapToGrid w:val="0"/>
                <w:kern w:val="0"/>
                <w:sz w:val="21"/>
                <w:szCs w:val="21"/>
              </w:rPr>
              <w:t>钻井作业施工结束后对目的层空隙及流体运移通道进行改造，改善储层孔隙度及油气运移通道，以此提高油气采收率。主要包括洗井、射孔、压裂、测试放喷，以及工程完工后设备的搬迁和井场清理等过程。</w:t>
            </w:r>
          </w:p>
          <w:p>
            <w:pPr>
              <w:adjustRightInd w:val="0"/>
              <w:snapToGrid w:val="0"/>
              <w:ind w:firstLine="420"/>
              <w:rPr>
                <w:snapToGrid w:val="0"/>
                <w:kern w:val="0"/>
                <w:sz w:val="21"/>
                <w:szCs w:val="21"/>
              </w:rPr>
            </w:pPr>
            <w:r>
              <w:rPr>
                <w:rFonts w:hint="eastAsia"/>
                <w:snapToGrid w:val="0"/>
                <w:kern w:val="0"/>
                <w:sz w:val="21"/>
                <w:szCs w:val="21"/>
              </w:rPr>
              <w:t>本钻井工程基本情况详见表2-1。</w:t>
            </w:r>
          </w:p>
          <w:p>
            <w:pPr>
              <w:adjustRightInd w:val="0"/>
              <w:snapToGrid w:val="0"/>
              <w:ind w:firstLine="0" w:firstLineChars="0"/>
              <w:jc w:val="center"/>
              <w:rPr>
                <w:b/>
                <w:snapToGrid w:val="0"/>
                <w:kern w:val="0"/>
                <w:sz w:val="21"/>
                <w:szCs w:val="21"/>
              </w:rPr>
            </w:pPr>
          </w:p>
          <w:p>
            <w:pPr>
              <w:adjustRightInd w:val="0"/>
              <w:snapToGrid w:val="0"/>
              <w:ind w:firstLine="0" w:firstLineChars="0"/>
              <w:jc w:val="center"/>
              <w:rPr>
                <w:b/>
                <w:snapToGrid w:val="0"/>
                <w:kern w:val="0"/>
                <w:sz w:val="21"/>
                <w:szCs w:val="21"/>
              </w:rPr>
            </w:pPr>
          </w:p>
          <w:p>
            <w:pPr>
              <w:adjustRightInd w:val="0"/>
              <w:snapToGrid w:val="0"/>
              <w:ind w:firstLine="0" w:firstLineChars="0"/>
              <w:jc w:val="center"/>
              <w:rPr>
                <w:b/>
                <w:snapToGrid w:val="0"/>
                <w:kern w:val="0"/>
                <w:sz w:val="21"/>
                <w:szCs w:val="21"/>
              </w:rPr>
            </w:pPr>
          </w:p>
          <w:p>
            <w:pPr>
              <w:adjustRightInd w:val="0"/>
              <w:snapToGrid w:val="0"/>
              <w:ind w:firstLine="0" w:firstLineChars="0"/>
              <w:jc w:val="center"/>
              <w:rPr>
                <w:b/>
                <w:snapToGrid w:val="0"/>
                <w:kern w:val="0"/>
                <w:sz w:val="21"/>
                <w:szCs w:val="21"/>
              </w:rPr>
            </w:pPr>
          </w:p>
          <w:p>
            <w:pPr>
              <w:adjustRightInd w:val="0"/>
              <w:snapToGrid w:val="0"/>
              <w:ind w:firstLine="0" w:firstLineChars="0"/>
              <w:jc w:val="center"/>
              <w:rPr>
                <w:b/>
                <w:snapToGrid w:val="0"/>
                <w:kern w:val="0"/>
                <w:sz w:val="21"/>
                <w:szCs w:val="21"/>
              </w:rPr>
            </w:pPr>
            <w:r>
              <w:rPr>
                <w:rFonts w:hint="eastAsia"/>
                <w:b/>
                <w:snapToGrid w:val="0"/>
                <w:kern w:val="0"/>
                <w:sz w:val="21"/>
                <w:szCs w:val="21"/>
              </w:rPr>
              <w:t>表2-1  井位坐标、目的层及井型</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71"/>
              <w:gridCol w:w="974"/>
              <w:gridCol w:w="858"/>
              <w:gridCol w:w="1001"/>
              <w:gridCol w:w="1001"/>
              <w:gridCol w:w="866"/>
              <w:gridCol w:w="96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井号</w:t>
                  </w:r>
                </w:p>
              </w:tc>
              <w:tc>
                <w:tcPr>
                  <w:tcW w:w="1156"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井位坐标</w:t>
                  </w:r>
                </w:p>
              </w:tc>
              <w:tc>
                <w:tcPr>
                  <w:tcW w:w="510"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海拔高度/m</w:t>
                  </w:r>
                </w:p>
              </w:tc>
              <w:tc>
                <w:tcPr>
                  <w:tcW w:w="59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设计井深/m</w:t>
                  </w:r>
                </w:p>
              </w:tc>
              <w:tc>
                <w:tcPr>
                  <w:tcW w:w="59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井型</w:t>
                  </w:r>
                </w:p>
              </w:tc>
              <w:tc>
                <w:tcPr>
                  <w:tcW w:w="51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类别</w:t>
                  </w:r>
                </w:p>
              </w:tc>
              <w:tc>
                <w:tcPr>
                  <w:tcW w:w="576"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目的层</w:t>
                  </w:r>
                </w:p>
              </w:tc>
              <w:tc>
                <w:tcPr>
                  <w:tcW w:w="595"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完钻层位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横坐标</w:t>
                  </w:r>
                </w:p>
              </w:tc>
              <w:tc>
                <w:tcPr>
                  <w:tcW w:w="57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纵坐标</w:t>
                  </w:r>
                </w:p>
              </w:tc>
              <w:tc>
                <w:tcPr>
                  <w:tcW w:w="51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c>
                <w:tcPr>
                  <w:tcW w:w="51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c>
                <w:tcPr>
                  <w:tcW w:w="57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c>
                <w:tcPr>
                  <w:tcW w:w="595"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58"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Arial"/>
                      <w:snapToGrid w:val="0"/>
                      <w:kern w:val="0"/>
                      <w:sz w:val="21"/>
                      <w:szCs w:val="21"/>
                    </w:rPr>
                  </w:pPr>
                  <w:r>
                    <w:rPr>
                      <w:rFonts w:hint="eastAsia" w:cs="Arial"/>
                      <w:snapToGrid w:val="0"/>
                      <w:kern w:val="0"/>
                      <w:sz w:val="21"/>
                      <w:szCs w:val="21"/>
                    </w:rPr>
                    <w:t>平安</w:t>
                  </w:r>
                  <w:r>
                    <w:rPr>
                      <w:rFonts w:cs="Arial"/>
                      <w:snapToGrid w:val="0"/>
                      <w:kern w:val="0"/>
                      <w:sz w:val="21"/>
                      <w:szCs w:val="21"/>
                    </w:rPr>
                    <w:t>7井</w:t>
                  </w:r>
                </w:p>
              </w:tc>
              <w:tc>
                <w:tcPr>
                  <w:tcW w:w="577"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Arial"/>
                      <w:snapToGrid w:val="0"/>
                      <w:kern w:val="0"/>
                      <w:sz w:val="21"/>
                      <w:szCs w:val="21"/>
                    </w:rPr>
                  </w:pPr>
                  <w:r>
                    <w:rPr>
                      <w:rFonts w:cs="Arial"/>
                      <w:snapToGrid w:val="0"/>
                      <w:kern w:val="0"/>
                      <w:sz w:val="21"/>
                      <w:szCs w:val="21"/>
                    </w:rPr>
                    <w:t>436438</w:t>
                  </w:r>
                </w:p>
              </w:tc>
              <w:tc>
                <w:tcPr>
                  <w:tcW w:w="579"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Arial"/>
                      <w:snapToGrid w:val="0"/>
                      <w:kern w:val="0"/>
                      <w:sz w:val="21"/>
                      <w:szCs w:val="21"/>
                    </w:rPr>
                  </w:pPr>
                  <w:r>
                    <w:rPr>
                      <w:rFonts w:cs="Arial"/>
                      <w:snapToGrid w:val="0"/>
                      <w:kern w:val="0"/>
                      <w:sz w:val="21"/>
                      <w:szCs w:val="21"/>
                    </w:rPr>
                    <w:t>3484637</w:t>
                  </w:r>
                </w:p>
              </w:tc>
              <w:tc>
                <w:tcPr>
                  <w:tcW w:w="510" w:type="pc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cs="Arial"/>
                      <w:snapToGrid w:val="0"/>
                      <w:kern w:val="0"/>
                      <w:sz w:val="21"/>
                      <w:szCs w:val="21"/>
                    </w:rPr>
                  </w:pPr>
                  <w:r>
                    <w:rPr>
                      <w:rFonts w:cs="Arial"/>
                      <w:sz w:val="21"/>
                      <w:szCs w:val="21"/>
                    </w:rPr>
                    <w:t>599.7</w:t>
                  </w:r>
                </w:p>
              </w:tc>
              <w:tc>
                <w:tcPr>
                  <w:tcW w:w="595" w:type="pct"/>
                  <w:tcBorders>
                    <w:top w:val="single" w:color="auto" w:sz="4" w:space="0"/>
                    <w:left w:val="single" w:color="auto" w:sz="4" w:space="0"/>
                    <w:right w:val="single" w:color="auto" w:sz="4" w:space="0"/>
                  </w:tcBorders>
                  <w:vAlign w:val="center"/>
                </w:tcPr>
                <w:p>
                  <w:pPr>
                    <w:spacing w:line="240" w:lineRule="auto"/>
                    <w:ind w:firstLine="0" w:firstLineChars="0"/>
                    <w:jc w:val="center"/>
                    <w:rPr>
                      <w:snapToGrid w:val="0"/>
                      <w:kern w:val="0"/>
                      <w:sz w:val="21"/>
                      <w:szCs w:val="21"/>
                      <w:highlight w:val="yellow"/>
                    </w:rPr>
                  </w:pPr>
                  <w:r>
                    <w:rPr>
                      <w:rFonts w:cs="Arial"/>
                      <w:snapToGrid w:val="0"/>
                      <w:kern w:val="0"/>
                      <w:sz w:val="21"/>
                      <w:szCs w:val="21"/>
                    </w:rPr>
                    <w:t>5072</w:t>
                  </w:r>
                </w:p>
              </w:tc>
              <w:tc>
                <w:tcPr>
                  <w:tcW w:w="5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水平井</w:t>
                  </w:r>
                </w:p>
              </w:tc>
              <w:tc>
                <w:tcPr>
                  <w:tcW w:w="5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勘探井</w:t>
                  </w:r>
                </w:p>
              </w:tc>
              <w:tc>
                <w:tcPr>
                  <w:tcW w:w="5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highlight w:val="yellow"/>
                    </w:rPr>
                  </w:pPr>
                  <w:r>
                    <w:rPr>
                      <w:rFonts w:hint="eastAsia"/>
                      <w:snapToGrid w:val="0"/>
                      <w:kern w:val="0"/>
                      <w:sz w:val="21"/>
                      <w:szCs w:val="21"/>
                    </w:rPr>
                    <w:t>凉高山组</w:t>
                  </w:r>
                </w:p>
              </w:tc>
              <w:tc>
                <w:tcPr>
                  <w:tcW w:w="5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napToGrid w:val="0"/>
                      <w:kern w:val="0"/>
                      <w:sz w:val="21"/>
                      <w:szCs w:val="21"/>
                    </w:rPr>
                  </w:pPr>
                  <w:r>
                    <w:rPr>
                      <w:rFonts w:hint="eastAsia"/>
                      <w:snapToGrid w:val="0"/>
                      <w:kern w:val="0"/>
                      <w:sz w:val="21"/>
                      <w:szCs w:val="21"/>
                    </w:rPr>
                    <w:t>凉高山组</w:t>
                  </w:r>
                </w:p>
              </w:tc>
            </w:tr>
          </w:tbl>
          <w:p>
            <w:pPr>
              <w:adjustRightInd w:val="0"/>
              <w:snapToGrid w:val="0"/>
              <w:ind w:firstLine="420"/>
              <w:rPr>
                <w:snapToGrid w:val="0"/>
                <w:kern w:val="0"/>
                <w:sz w:val="21"/>
                <w:szCs w:val="21"/>
              </w:rPr>
            </w:pPr>
            <w:r>
              <w:rPr>
                <w:rFonts w:hint="eastAsia"/>
                <w:snapToGrid w:val="0"/>
                <w:kern w:val="0"/>
                <w:sz w:val="21"/>
                <w:szCs w:val="21"/>
              </w:rPr>
              <w:t>主要工程内容及工程量见表2-2。</w:t>
            </w:r>
          </w:p>
          <w:p>
            <w:pPr>
              <w:adjustRightInd w:val="0"/>
              <w:snapToGrid w:val="0"/>
              <w:ind w:firstLine="0" w:firstLineChars="0"/>
              <w:jc w:val="center"/>
              <w:rPr>
                <w:b/>
                <w:kern w:val="0"/>
                <w:sz w:val="21"/>
                <w:szCs w:val="21"/>
              </w:rPr>
            </w:pPr>
            <w:r>
              <w:rPr>
                <w:b/>
                <w:kern w:val="0"/>
                <w:sz w:val="21"/>
                <w:szCs w:val="21"/>
              </w:rPr>
              <w:t>表2-2  平安</w:t>
            </w:r>
            <w:r>
              <w:rPr>
                <w:rFonts w:hint="eastAsia"/>
                <w:b/>
                <w:kern w:val="0"/>
                <w:sz w:val="21"/>
                <w:szCs w:val="21"/>
              </w:rPr>
              <w:t>7井</w:t>
            </w:r>
            <w:r>
              <w:rPr>
                <w:b/>
                <w:kern w:val="0"/>
                <w:sz w:val="21"/>
                <w:szCs w:val="21"/>
              </w:rPr>
              <w:t>主要内容和工程量表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72"/>
              <w:gridCol w:w="143"/>
              <w:gridCol w:w="715"/>
              <w:gridCol w:w="715"/>
              <w:gridCol w:w="5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名称</w:t>
                  </w: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rPr>
                      <w:b/>
                    </w:rPr>
                  </w:pPr>
                  <w:r>
                    <w:rPr>
                      <w:b/>
                    </w:rPr>
                    <w:t>建设内容</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rPr>
                      <w:b/>
                    </w:rPr>
                  </w:pPr>
                  <w:r>
                    <w:rPr>
                      <w:b/>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right w:val="single" w:color="auto" w:sz="4" w:space="0"/>
                  </w:tcBorders>
                  <w:vAlign w:val="center"/>
                </w:tcPr>
                <w:p>
                  <w:pPr>
                    <w:pStyle w:val="57"/>
                  </w:pPr>
                  <w:bookmarkStart w:id="3" w:name="_Hlk130063726"/>
                  <w:r>
                    <w:t>主体工程</w:t>
                  </w:r>
                </w:p>
              </w:tc>
              <w:tc>
                <w:tcPr>
                  <w:tcW w:w="425" w:type="pct"/>
                  <w:gridSpan w:val="2"/>
                  <w:vMerge w:val="restart"/>
                  <w:tcBorders>
                    <w:top w:val="single" w:color="auto" w:sz="4" w:space="0"/>
                    <w:left w:val="single" w:color="auto" w:sz="4" w:space="0"/>
                    <w:right w:val="single" w:color="auto" w:sz="4" w:space="0"/>
                  </w:tcBorders>
                  <w:vAlign w:val="center"/>
                </w:tcPr>
                <w:p>
                  <w:pPr>
                    <w:pStyle w:val="57"/>
                  </w:pPr>
                  <w:r>
                    <w:t>钻前工程</w:t>
                  </w:r>
                </w:p>
              </w:tc>
              <w:tc>
                <w:tcPr>
                  <w:tcW w:w="425" w:type="pct"/>
                  <w:tcBorders>
                    <w:top w:val="single" w:color="auto" w:sz="4" w:space="0"/>
                    <w:left w:val="single" w:color="auto" w:sz="4" w:space="0"/>
                    <w:bottom w:val="single" w:color="auto" w:sz="4" w:space="0"/>
                    <w:right w:val="single" w:color="auto" w:sz="4" w:space="0"/>
                  </w:tcBorders>
                  <w:vAlign w:val="center"/>
                </w:tcPr>
                <w:p>
                  <w:pPr>
                    <w:pStyle w:val="57"/>
                  </w:pPr>
                  <w:r>
                    <w:t>道路工程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pPr>
                  <w:r>
                    <w:rPr>
                      <w:rFonts w:hint="eastAsia"/>
                    </w:rPr>
                    <w:t>改建公路1.2km、新建公路0.228km</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top w:val="single" w:color="auto" w:sz="4" w:space="0"/>
                    <w:left w:val="single" w:color="auto" w:sz="4" w:space="0"/>
                    <w:right w:val="single" w:color="auto" w:sz="4" w:space="0"/>
                  </w:tcBorders>
                  <w:vAlign w:val="center"/>
                </w:tcPr>
                <w:p>
                  <w:pPr>
                    <w:pStyle w:val="57"/>
                  </w:pPr>
                </w:p>
              </w:tc>
              <w:tc>
                <w:tcPr>
                  <w:tcW w:w="425" w:type="pct"/>
                  <w:vMerge w:val="restart"/>
                  <w:tcBorders>
                    <w:top w:val="single" w:color="auto" w:sz="4" w:space="0"/>
                    <w:left w:val="single" w:color="auto" w:sz="4" w:space="0"/>
                    <w:right w:val="single" w:color="auto" w:sz="4" w:space="0"/>
                  </w:tcBorders>
                  <w:vAlign w:val="center"/>
                </w:tcPr>
                <w:p>
                  <w:pPr>
                    <w:pStyle w:val="57"/>
                  </w:pPr>
                  <w:r>
                    <w:t>井场工程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pPr>
                  <w:r>
                    <w:rPr>
                      <w:rFonts w:hint="eastAsia" w:hAnsi="宋体"/>
                      <w:snapToGrid w:val="0"/>
                    </w:rPr>
                    <w:t>井场规模</w:t>
                  </w:r>
                  <w:r>
                    <w:rPr>
                      <w:snapToGrid w:val="0"/>
                    </w:rPr>
                    <w:t>5775m</w:t>
                  </w:r>
                  <w:r>
                    <w:rPr>
                      <w:snapToGrid w:val="0"/>
                      <w:vertAlign w:val="superscript"/>
                    </w:rPr>
                    <w:t>2</w:t>
                  </w:r>
                  <w:r>
                    <w:rPr>
                      <w:rFonts w:hint="eastAsia" w:hAnsi="宋体"/>
                      <w:snapToGrid w:val="0"/>
                    </w:rPr>
                    <w:t>（</w:t>
                  </w:r>
                  <w:r>
                    <w:rPr>
                      <w:snapToGrid w:val="0"/>
                    </w:rPr>
                    <w:t>105m×55m</w:t>
                  </w:r>
                  <w:r>
                    <w:rPr>
                      <w:rFonts w:hint="eastAsia" w:hAnsi="宋体"/>
                      <w:snapToGrid w:val="0"/>
                    </w:rPr>
                    <w:t>），内设井架基础、机房基础及泵房基础及循环系统基础各1套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top w:val="single" w:color="auto" w:sz="4" w:space="0"/>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井场外南侧设置泥浆储备罐区，内设泥浆储备罐</w:t>
                  </w:r>
                  <w:r>
                    <w:rPr>
                      <w:rFonts w:hAnsi="宋体"/>
                      <w:snapToGrid w:val="0"/>
                    </w:rPr>
                    <w:t>6</w:t>
                  </w:r>
                  <w:r>
                    <w:rPr>
                      <w:rFonts w:hint="eastAsia" w:hAnsi="宋体"/>
                      <w:snapToGrid w:val="0"/>
                    </w:rPr>
                    <w:t>个，容积4</w:t>
                  </w:r>
                  <w:r>
                    <w:rPr>
                      <w:rFonts w:hAnsi="宋体"/>
                      <w:snapToGrid w:val="0"/>
                    </w:rPr>
                    <w:t>0m</w:t>
                  </w:r>
                  <w:r>
                    <w:rPr>
                      <w:rFonts w:hAnsi="宋体"/>
                      <w:snapToGrid w:val="0"/>
                      <w:vertAlign w:val="superscript"/>
                    </w:rPr>
                    <w:t>3</w:t>
                  </w:r>
                  <w:r>
                    <w:rPr>
                      <w:rFonts w:hAnsi="宋体"/>
                      <w:snapToGrid w:val="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425" w:type="pct"/>
                  <w:vMerge w:val="restart"/>
                  <w:tcBorders>
                    <w:top w:val="single" w:color="auto" w:sz="4" w:space="0"/>
                    <w:left w:val="single" w:color="auto" w:sz="4" w:space="0"/>
                    <w:right w:val="single" w:color="auto" w:sz="4" w:space="0"/>
                  </w:tcBorders>
                  <w:vAlign w:val="center"/>
                </w:tcPr>
                <w:p>
                  <w:pPr>
                    <w:pStyle w:val="57"/>
                  </w:pPr>
                  <w:r>
                    <w:t>清洁化操作平台</w:t>
                  </w:r>
                </w:p>
              </w:tc>
              <w:tc>
                <w:tcPr>
                  <w:tcW w:w="3303"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uto"/>
                    <w:ind w:firstLine="0" w:firstLineChars="0"/>
                    <w:rPr>
                      <w:rFonts w:hAnsi="宋体"/>
                      <w:snapToGrid w:val="0"/>
                      <w:kern w:val="0"/>
                      <w:sz w:val="21"/>
                      <w:szCs w:val="21"/>
                      <w:highlight w:val="yellow"/>
                    </w:rPr>
                  </w:pPr>
                  <w:r>
                    <w:rPr>
                      <w:rFonts w:hAnsi="宋体"/>
                      <w:snapToGrid w:val="0"/>
                      <w:kern w:val="0"/>
                      <w:sz w:val="21"/>
                      <w:szCs w:val="21"/>
                    </w:rPr>
                    <w:t>450</w:t>
                  </w:r>
                  <w:r>
                    <w:rPr>
                      <w:snapToGrid w:val="0"/>
                      <w:kern w:val="0"/>
                      <w:sz w:val="21"/>
                      <w:szCs w:val="21"/>
                    </w:rPr>
                    <w:t>m</w:t>
                  </w:r>
                  <w:r>
                    <w:rPr>
                      <w:snapToGrid w:val="0"/>
                      <w:kern w:val="0"/>
                      <w:sz w:val="21"/>
                      <w:szCs w:val="21"/>
                      <w:vertAlign w:val="superscript"/>
                    </w:rPr>
                    <w:t>2</w:t>
                  </w:r>
                  <w:r>
                    <w:rPr>
                      <w:rFonts w:hint="eastAsia" w:hAnsi="宋体"/>
                      <w:snapToGrid w:val="0"/>
                      <w:kern w:val="0"/>
                      <w:sz w:val="21"/>
                      <w:szCs w:val="21"/>
                    </w:rPr>
                    <w:t>，位于井场外西南，包括岩屑堆放区</w:t>
                  </w:r>
                  <w:r>
                    <w:rPr>
                      <w:snapToGrid w:val="0"/>
                      <w:kern w:val="0"/>
                      <w:sz w:val="21"/>
                      <w:szCs w:val="21"/>
                    </w:rPr>
                    <w:t>150m</w:t>
                  </w:r>
                  <w:r>
                    <w:rPr>
                      <w:snapToGrid w:val="0"/>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3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highlight w:val="yellow"/>
                    </w:rPr>
                  </w:pPr>
                  <w:r>
                    <w:rPr>
                      <w:snapToGrid w:val="0"/>
                      <w:kern w:val="0"/>
                      <w:sz w:val="21"/>
                      <w:szCs w:val="21"/>
                    </w:rPr>
                    <w:t>40m</w:t>
                  </w:r>
                  <w:r>
                    <w:rPr>
                      <w:snapToGrid w:val="0"/>
                      <w:kern w:val="0"/>
                      <w:sz w:val="21"/>
                      <w:szCs w:val="21"/>
                      <w:vertAlign w:val="superscript"/>
                    </w:rPr>
                    <w:t>3</w:t>
                  </w:r>
                  <w:r>
                    <w:rPr>
                      <w:rFonts w:hint="eastAsia" w:hAnsi="宋体"/>
                      <w:snapToGrid w:val="0"/>
                      <w:kern w:val="0"/>
                      <w:sz w:val="21"/>
                      <w:szCs w:val="21"/>
                    </w:rPr>
                    <w:t>废水罐</w:t>
                  </w:r>
                  <w:r>
                    <w:rPr>
                      <w:snapToGrid w:val="0"/>
                      <w:kern w:val="0"/>
                      <w:sz w:val="21"/>
                      <w:szCs w:val="21"/>
                    </w:rPr>
                    <w:t>4</w:t>
                  </w:r>
                  <w:r>
                    <w:rPr>
                      <w:rFonts w:hint="eastAsia" w:hAnsi="宋体"/>
                      <w:snapToGrid w:val="0"/>
                      <w:kern w:val="0"/>
                      <w:sz w:val="21"/>
                      <w:szCs w:val="21"/>
                    </w:rPr>
                    <w:t>个（分为</w:t>
                  </w:r>
                  <w:r>
                    <w:rPr>
                      <w:snapToGrid w:val="0"/>
                      <w:kern w:val="0"/>
                      <w:sz w:val="21"/>
                      <w:szCs w:val="21"/>
                    </w:rPr>
                    <w:t>1</w:t>
                  </w:r>
                  <w:r>
                    <w:rPr>
                      <w:rFonts w:hint="eastAsia" w:hAnsi="宋体"/>
                      <w:snapToGrid w:val="0"/>
                      <w:kern w:val="0"/>
                      <w:sz w:val="21"/>
                      <w:szCs w:val="21"/>
                    </w:rPr>
                    <w:t>个隔油罐、</w:t>
                  </w:r>
                  <w:r>
                    <w:rPr>
                      <w:snapToGrid w:val="0"/>
                      <w:kern w:val="0"/>
                      <w:sz w:val="21"/>
                      <w:szCs w:val="21"/>
                    </w:rPr>
                    <w:t>2</w:t>
                  </w:r>
                  <w:r>
                    <w:rPr>
                      <w:rFonts w:hint="eastAsia" w:hAnsi="宋体"/>
                      <w:snapToGrid w:val="0"/>
                      <w:kern w:val="0"/>
                      <w:sz w:val="21"/>
                      <w:szCs w:val="21"/>
                    </w:rPr>
                    <w:t>个沉淀罐、</w:t>
                  </w:r>
                  <w:r>
                    <w:rPr>
                      <w:snapToGrid w:val="0"/>
                      <w:kern w:val="0"/>
                      <w:sz w:val="21"/>
                      <w:szCs w:val="21"/>
                    </w:rPr>
                    <w:t>1</w:t>
                  </w:r>
                  <w:r>
                    <w:rPr>
                      <w:rFonts w:hint="eastAsia" w:hAnsi="宋体"/>
                      <w:snapToGrid w:val="0"/>
                      <w:kern w:val="0"/>
                      <w:sz w:val="21"/>
                      <w:szCs w:val="21"/>
                    </w:rPr>
                    <w:t>个回用罐）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3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highlight w:val="yellow"/>
                    </w:rPr>
                  </w:pPr>
                  <w:r>
                    <w:rPr>
                      <w:snapToGrid w:val="0"/>
                      <w:kern w:val="0"/>
                      <w:sz w:val="21"/>
                      <w:szCs w:val="21"/>
                    </w:rPr>
                    <w:t>2m</w:t>
                  </w:r>
                  <w:r>
                    <w:rPr>
                      <w:snapToGrid w:val="0"/>
                      <w:kern w:val="0"/>
                      <w:sz w:val="21"/>
                      <w:szCs w:val="21"/>
                      <w:vertAlign w:val="superscript"/>
                    </w:rPr>
                    <w:t>3</w:t>
                  </w:r>
                  <w:r>
                    <w:rPr>
                      <w:rFonts w:hint="eastAsia" w:hAnsi="宋体"/>
                      <w:snapToGrid w:val="0"/>
                      <w:kern w:val="0"/>
                      <w:sz w:val="21"/>
                      <w:szCs w:val="21"/>
                    </w:rPr>
                    <w:t>岩屑收集罐</w:t>
                  </w:r>
                  <w:r>
                    <w:rPr>
                      <w:snapToGrid w:val="0"/>
                      <w:kern w:val="0"/>
                      <w:sz w:val="21"/>
                      <w:szCs w:val="21"/>
                    </w:rPr>
                    <w:t>8</w:t>
                  </w:r>
                  <w:r>
                    <w:rPr>
                      <w:rFonts w:hint="eastAsia" w:hAnsi="宋体"/>
                      <w:snapToGrid w:val="0"/>
                      <w:kern w:val="0"/>
                      <w:sz w:val="21"/>
                      <w:szCs w:val="21"/>
                    </w:rPr>
                    <w:t>个，</w:t>
                  </w:r>
                  <w:r>
                    <w:rPr>
                      <w:snapToGrid w:val="0"/>
                      <w:kern w:val="0"/>
                      <w:sz w:val="21"/>
                      <w:szCs w:val="21"/>
                    </w:rPr>
                    <w:t>15m</w:t>
                  </w:r>
                  <w:r>
                    <w:rPr>
                      <w:snapToGrid w:val="0"/>
                      <w:kern w:val="0"/>
                      <w:sz w:val="21"/>
                      <w:szCs w:val="21"/>
                      <w:vertAlign w:val="superscript"/>
                    </w:rPr>
                    <w:t>3</w:t>
                  </w:r>
                  <w:r>
                    <w:rPr>
                      <w:rFonts w:hint="eastAsia" w:hAnsi="宋体"/>
                      <w:snapToGrid w:val="0"/>
                      <w:kern w:val="0"/>
                      <w:sz w:val="21"/>
                      <w:szCs w:val="21"/>
                    </w:rPr>
                    <w:t>搅拌罐</w:t>
                  </w:r>
                  <w:r>
                    <w:rPr>
                      <w:snapToGrid w:val="0"/>
                      <w:kern w:val="0"/>
                      <w:sz w:val="21"/>
                      <w:szCs w:val="21"/>
                    </w:rPr>
                    <w:t>2</w:t>
                  </w:r>
                  <w:r>
                    <w:rPr>
                      <w:rFonts w:hint="eastAsia" w:hAnsi="宋体"/>
                      <w:snapToGrid w:val="0"/>
                      <w:kern w:val="0"/>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bottom w:val="single" w:color="auto" w:sz="4" w:space="0"/>
                    <w:right w:val="single" w:color="auto" w:sz="4" w:space="0"/>
                  </w:tcBorders>
                  <w:vAlign w:val="center"/>
                </w:tcPr>
                <w:p>
                  <w:pPr>
                    <w:pStyle w:val="57"/>
                  </w:pPr>
                </w:p>
              </w:tc>
              <w:tc>
                <w:tcPr>
                  <w:tcW w:w="425" w:type="pct"/>
                  <w:vMerge w:val="continue"/>
                  <w:tcBorders>
                    <w:left w:val="single" w:color="auto" w:sz="4" w:space="0"/>
                    <w:bottom w:val="single" w:color="auto" w:sz="4" w:space="0"/>
                    <w:right w:val="single" w:color="auto" w:sz="4" w:space="0"/>
                  </w:tcBorders>
                  <w:vAlign w:val="center"/>
                </w:tcPr>
                <w:p>
                  <w:pPr>
                    <w:pStyle w:val="57"/>
                  </w:pPr>
                </w:p>
              </w:tc>
              <w:tc>
                <w:tcPr>
                  <w:tcW w:w="33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highlight w:val="yellow"/>
                    </w:rPr>
                  </w:pPr>
                  <w:r>
                    <w:rPr>
                      <w:snapToGrid w:val="0"/>
                      <w:kern w:val="0"/>
                      <w:sz w:val="21"/>
                      <w:szCs w:val="21"/>
                    </w:rPr>
                    <w:t>150m</w:t>
                  </w:r>
                  <w:r>
                    <w:rPr>
                      <w:snapToGrid w:val="0"/>
                      <w:kern w:val="0"/>
                      <w:sz w:val="21"/>
                      <w:szCs w:val="21"/>
                      <w:vertAlign w:val="superscript"/>
                    </w:rPr>
                    <w:t>2</w:t>
                  </w:r>
                  <w:r>
                    <w:rPr>
                      <w:rFonts w:hint="eastAsia"/>
                      <w:snapToGrid w:val="0"/>
                      <w:kern w:val="0"/>
                      <w:sz w:val="21"/>
                      <w:szCs w:val="21"/>
                    </w:rPr>
                    <w:t>岩屑堆放场，内设水基岩屑堆放场用于暂存废水基泥浆及水基岩屑；危废暂存间用于暂存油基岩屑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restart"/>
                  <w:tcBorders>
                    <w:top w:val="single" w:color="auto" w:sz="4" w:space="0"/>
                    <w:left w:val="single" w:color="auto" w:sz="4" w:space="0"/>
                    <w:right w:val="single" w:color="auto" w:sz="4" w:space="0"/>
                  </w:tcBorders>
                  <w:vAlign w:val="center"/>
                </w:tcPr>
                <w:p>
                  <w:pPr>
                    <w:pStyle w:val="57"/>
                  </w:pPr>
                  <w:r>
                    <w:t>池体工程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Ansi="宋体"/>
                      <w:snapToGrid w:val="0"/>
                      <w:kern w:val="0"/>
                      <w:sz w:val="21"/>
                      <w:szCs w:val="21"/>
                      <w:highlight w:val="yellow"/>
                    </w:rPr>
                  </w:pPr>
                  <w:r>
                    <w:rPr>
                      <w:rFonts w:hAnsi="宋体"/>
                      <w:snapToGrid w:val="0"/>
                      <w:kern w:val="0"/>
                      <w:sz w:val="21"/>
                      <w:szCs w:val="21"/>
                    </w:rPr>
                    <w:t>1</w:t>
                  </w:r>
                  <w:r>
                    <w:rPr>
                      <w:rFonts w:hint="eastAsia" w:hAnsi="宋体"/>
                      <w:snapToGrid w:val="0"/>
                      <w:kern w:val="0"/>
                      <w:sz w:val="21"/>
                      <w:szCs w:val="21"/>
                    </w:rPr>
                    <w:t>座应急池，位于井场外东侧，有效容积</w:t>
                  </w:r>
                  <w:r>
                    <w:rPr>
                      <w:rFonts w:hAnsi="宋体"/>
                      <w:snapToGrid w:val="0"/>
                      <w:kern w:val="0"/>
                      <w:sz w:val="21"/>
                      <w:szCs w:val="21"/>
                    </w:rPr>
                    <w:t>500m</w:t>
                  </w:r>
                  <w:r>
                    <w:rPr>
                      <w:rFonts w:hAnsi="宋体"/>
                      <w:snapToGrid w:val="0"/>
                      <w:kern w:val="0"/>
                      <w:sz w:val="21"/>
                      <w:szCs w:val="21"/>
                      <w:vertAlign w:val="superscript"/>
                    </w:rPr>
                    <w:t>3</w:t>
                  </w:r>
                  <w:r>
                    <w:rPr>
                      <w:rFonts w:hAnsi="宋体"/>
                      <w:snapToGrid w:val="0"/>
                      <w:kern w:val="0"/>
                      <w:sz w:val="21"/>
                      <w:szCs w:val="21"/>
                    </w:rPr>
                    <w:t>，分两格，容积分别为</w:t>
                  </w:r>
                  <w:r>
                    <w:rPr>
                      <w:rFonts w:hint="eastAsia" w:hAnsi="宋体"/>
                      <w:snapToGrid w:val="0"/>
                      <w:kern w:val="0"/>
                      <w:sz w:val="21"/>
                      <w:szCs w:val="21"/>
                    </w:rPr>
                    <w:t>2</w:t>
                  </w:r>
                  <w:r>
                    <w:rPr>
                      <w:rFonts w:hAnsi="宋体"/>
                      <w:snapToGrid w:val="0"/>
                      <w:kern w:val="0"/>
                      <w:sz w:val="21"/>
                      <w:szCs w:val="21"/>
                    </w:rPr>
                    <w:t>00m</w:t>
                  </w:r>
                  <w:r>
                    <w:rPr>
                      <w:rFonts w:hAnsi="宋体"/>
                      <w:snapToGrid w:val="0"/>
                      <w:kern w:val="0"/>
                      <w:sz w:val="21"/>
                      <w:szCs w:val="21"/>
                      <w:vertAlign w:val="superscript"/>
                    </w:rPr>
                    <w:t>3</w:t>
                  </w:r>
                  <w:r>
                    <w:rPr>
                      <w:rFonts w:hAnsi="宋体"/>
                      <w:snapToGrid w:val="0"/>
                      <w:kern w:val="0"/>
                      <w:sz w:val="21"/>
                      <w:szCs w:val="21"/>
                    </w:rPr>
                    <w:t>（10.5m×6m×3m）和</w:t>
                  </w:r>
                  <w:r>
                    <w:rPr>
                      <w:rFonts w:hint="eastAsia" w:hAnsi="宋体"/>
                      <w:snapToGrid w:val="0"/>
                      <w:kern w:val="0"/>
                      <w:sz w:val="21"/>
                      <w:szCs w:val="21"/>
                    </w:rPr>
                    <w:t>3</w:t>
                  </w:r>
                  <w:r>
                    <w:rPr>
                      <w:rFonts w:hAnsi="宋体"/>
                      <w:snapToGrid w:val="0"/>
                      <w:kern w:val="0"/>
                      <w:sz w:val="21"/>
                      <w:szCs w:val="21"/>
                    </w:rPr>
                    <w:t>00m</w:t>
                  </w:r>
                  <w:r>
                    <w:rPr>
                      <w:rFonts w:hAnsi="宋体"/>
                      <w:snapToGrid w:val="0"/>
                      <w:kern w:val="0"/>
                      <w:sz w:val="21"/>
                      <w:szCs w:val="21"/>
                      <w:vertAlign w:val="superscript"/>
                    </w:rPr>
                    <w:t>3</w:t>
                  </w:r>
                  <w:r>
                    <w:rPr>
                      <w:rFonts w:hint="eastAsia" w:hAnsi="宋体"/>
                      <w:snapToGrid w:val="0"/>
                      <w:kern w:val="0"/>
                      <w:sz w:val="21"/>
                      <w:szCs w:val="21"/>
                    </w:rPr>
                    <w:t>（</w:t>
                  </w:r>
                  <w:bookmarkStart w:id="4" w:name="_Hlk145968035"/>
                  <w:r>
                    <w:rPr>
                      <w:rFonts w:hAnsi="宋体"/>
                      <w:snapToGrid w:val="0"/>
                      <w:kern w:val="0"/>
                      <w:sz w:val="21"/>
                      <w:szCs w:val="21"/>
                    </w:rPr>
                    <w:t>10.5m×9.3m×3m</w:t>
                  </w:r>
                  <w:bookmarkEnd w:id="4"/>
                  <w:r>
                    <w:rPr>
                      <w:rFonts w:hint="eastAsia" w:hAnsi="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right w:val="single" w:color="auto" w:sz="4" w:space="0"/>
                  </w:tcBorders>
                  <w:vAlign w:val="center"/>
                </w:tcPr>
                <w:p>
                  <w:pPr>
                    <w:pStyle w:val="57"/>
                    <w:jc w:val="both"/>
                  </w:pPr>
                  <w:r>
                    <w:rPr>
                      <w:rFonts w:hint="eastAsia" w:hAnsi="宋体"/>
                      <w:snapToGrid w:val="0"/>
                    </w:rPr>
                    <w:t>1座燃烧池：位于井场外东北侧，距井口约</w:t>
                  </w:r>
                  <w:r>
                    <w:rPr>
                      <w:snapToGrid w:val="0"/>
                    </w:rPr>
                    <w:t>132m</w:t>
                  </w:r>
                  <w:r>
                    <w:rPr>
                      <w:rFonts w:hint="eastAsia" w:hAnsi="宋体"/>
                      <w:snapToGrid w:val="0"/>
                    </w:rPr>
                    <w:t>，占地约</w:t>
                  </w:r>
                  <w:r>
                    <w:rPr>
                      <w:snapToGrid w:val="0"/>
                    </w:rPr>
                    <w:t>113m</w:t>
                  </w:r>
                  <w:r>
                    <w:rPr>
                      <w:snapToGrid w:val="0"/>
                      <w:vertAlign w:val="superscript"/>
                    </w:rPr>
                    <w:t>2</w:t>
                  </w:r>
                  <w:r>
                    <w:rPr>
                      <w:rFonts w:hint="eastAsia" w:hAnsi="宋体"/>
                      <w:snapToGrid w:val="0"/>
                    </w:rPr>
                    <w:t>，</w:t>
                  </w:r>
                  <w:r>
                    <w:rPr>
                      <w:snapToGrid w:val="0"/>
                    </w:rPr>
                    <w:t>A</w:t>
                  </w:r>
                  <w:r>
                    <w:rPr>
                      <w:rFonts w:hint="eastAsia" w:hAnsi="宋体"/>
                      <w:snapToGrid w:val="0"/>
                    </w:rPr>
                    <w:t>类</w:t>
                  </w:r>
                  <w:r>
                    <w:rPr>
                      <w:rFonts w:hint="eastAsia"/>
                      <w:snapToGrid w:val="0"/>
                    </w:rPr>
                    <w:t>13</w:t>
                  </w:r>
                  <w:r>
                    <w:rPr>
                      <w:snapToGrid w:val="0"/>
                    </w:rPr>
                    <w:t>.8</w:t>
                  </w:r>
                  <w:r>
                    <w:rPr>
                      <w:rFonts w:hint="eastAsia"/>
                      <w:snapToGrid w:val="0"/>
                    </w:rPr>
                    <w:t>m(长)×</w:t>
                  </w:r>
                  <w:r>
                    <w:rPr>
                      <w:snapToGrid w:val="0"/>
                    </w:rPr>
                    <w:t>8.2</w:t>
                  </w:r>
                  <w:r>
                    <w:rPr>
                      <w:rFonts w:hint="eastAsia"/>
                      <w:snapToGrid w:val="0"/>
                    </w:rPr>
                    <w:t>m(宽)×</w:t>
                  </w:r>
                  <w:r>
                    <w:rPr>
                      <w:snapToGrid w:val="0"/>
                    </w:rPr>
                    <w:t>4</w:t>
                  </w:r>
                  <w:r>
                    <w:rPr>
                      <w:rFonts w:hint="eastAsia"/>
                      <w:snapToGrid w:val="0"/>
                    </w:rPr>
                    <w:t>m(高)×</w:t>
                  </w:r>
                  <w:r>
                    <w:rPr>
                      <w:snapToGrid w:val="0"/>
                    </w:rPr>
                    <w:t>1.4</w:t>
                  </w:r>
                  <w:r>
                    <w:rPr>
                      <w:rFonts w:hint="eastAsia"/>
                      <w:snapToGrid w:val="0"/>
                    </w:rPr>
                    <w:t>m(厚)</w:t>
                  </w:r>
                  <w:r>
                    <w:rPr>
                      <w:rFonts w:hint="eastAsia" w:hAnsi="宋体"/>
                      <w:snapToGrid w:val="0"/>
                    </w:rPr>
                    <w:t>，并配套</w:t>
                  </w:r>
                  <w:r>
                    <w:rPr>
                      <w:snapToGrid w:val="0"/>
                    </w:rPr>
                    <w:t>20m</w:t>
                  </w:r>
                  <w:r>
                    <w:rPr>
                      <w:snapToGrid w:val="0"/>
                      <w:vertAlign w:val="superscript"/>
                    </w:rPr>
                    <w:t>3</w:t>
                  </w:r>
                  <w:r>
                    <w:rPr>
                      <w:rFonts w:hint="eastAsia" w:hAnsi="宋体"/>
                      <w:snapToGrid w:val="0"/>
                    </w:rPr>
                    <w:t>集酸池</w:t>
                  </w:r>
                  <w:r>
                    <w:rPr>
                      <w:snapToGrid w:val="0"/>
                    </w:rPr>
                    <w:t>1</w:t>
                  </w:r>
                  <w:r>
                    <w:rPr>
                      <w:rFonts w:hint="eastAsia" w:hAnsi="宋体"/>
                      <w:snapToGrid w:val="0"/>
                    </w:rPr>
                    <w:t>个及排酸沟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bottom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Ansi="宋体"/>
                      <w:snapToGrid w:val="0"/>
                    </w:rPr>
                    <w:t>7</w:t>
                  </w:r>
                  <w:r>
                    <w:rPr>
                      <w:rFonts w:hint="eastAsia" w:hAnsi="宋体"/>
                      <w:snapToGrid w:val="0"/>
                    </w:rPr>
                    <w:t>个隔油池，</w:t>
                  </w:r>
                  <w:r>
                    <w:rPr>
                      <w:rFonts w:hint="eastAsia"/>
                      <w:snapToGrid w:val="0"/>
                    </w:rPr>
                    <w:t>其中</w:t>
                  </w:r>
                  <w:r>
                    <w:rPr>
                      <w:snapToGrid w:val="0"/>
                    </w:rPr>
                    <w:t>4</w:t>
                  </w:r>
                  <w:r>
                    <w:rPr>
                      <w:rFonts w:hint="eastAsia"/>
                      <w:snapToGrid w:val="0"/>
                    </w:rPr>
                    <w:t>个容积为</w:t>
                  </w:r>
                  <w:r>
                    <w:rPr>
                      <w:snapToGrid w:val="0"/>
                    </w:rPr>
                    <w:t>4m</w:t>
                  </w:r>
                  <w:r>
                    <w:rPr>
                      <w:snapToGrid w:val="0"/>
                      <w:vertAlign w:val="superscript"/>
                    </w:rPr>
                    <w:t>3</w:t>
                  </w:r>
                  <w:r>
                    <w:rPr>
                      <w:snapToGrid w:val="0"/>
                    </w:rPr>
                    <w:t>/</w:t>
                  </w:r>
                  <w:r>
                    <w:rPr>
                      <w:rFonts w:hint="eastAsia"/>
                      <w:snapToGrid w:val="0"/>
                    </w:rPr>
                    <w:t>个，分别位于井场四角，油罐区、泥浆储备罐区各1个，容积</w:t>
                  </w:r>
                  <w:r>
                    <w:rPr>
                      <w:snapToGrid w:val="0"/>
                    </w:rPr>
                    <w:t>4m</w:t>
                  </w:r>
                  <w:r>
                    <w:rPr>
                      <w:snapToGrid w:val="0"/>
                      <w:vertAlign w:val="superscript"/>
                    </w:rPr>
                    <w:t>3</w:t>
                  </w:r>
                  <w:r>
                    <w:rPr>
                      <w:snapToGrid w:val="0"/>
                    </w:rPr>
                    <w:t>/</w:t>
                  </w:r>
                  <w:r>
                    <w:rPr>
                      <w:rFonts w:hint="eastAsia"/>
                      <w:snapToGrid w:val="0"/>
                    </w:rPr>
                    <w:t>个；</w:t>
                  </w:r>
                  <w:r>
                    <w:rPr>
                      <w:snapToGrid w:val="0"/>
                    </w:rPr>
                    <w:t>1</w:t>
                  </w:r>
                  <w:r>
                    <w:rPr>
                      <w:rFonts w:hint="eastAsia" w:hAnsi="宋体"/>
                      <w:snapToGrid w:val="0"/>
                    </w:rPr>
                    <w:t>个</w:t>
                  </w:r>
                  <w:r>
                    <w:rPr>
                      <w:snapToGrid w:val="0"/>
                    </w:rPr>
                    <w:t>20m</w:t>
                  </w:r>
                  <w:r>
                    <w:rPr>
                      <w:snapToGrid w:val="0"/>
                      <w:vertAlign w:val="superscript"/>
                    </w:rPr>
                    <w:t>3</w:t>
                  </w:r>
                  <w:r>
                    <w:rPr>
                      <w:rFonts w:hint="eastAsia" w:hAnsi="宋体"/>
                      <w:snapToGrid w:val="0"/>
                    </w:rPr>
                    <w:t>，位于生活区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bottom w:val="single" w:color="auto" w:sz="4" w:space="0"/>
                    <w:right w:val="single" w:color="auto" w:sz="4" w:space="0"/>
                  </w:tcBorders>
                  <w:vAlign w:val="center"/>
                </w:tcPr>
                <w:p>
                  <w:pPr>
                    <w:pStyle w:val="57"/>
                  </w:pPr>
                </w:p>
              </w:tc>
              <w:tc>
                <w:tcPr>
                  <w:tcW w:w="425" w:type="pct"/>
                  <w:tcBorders>
                    <w:top w:val="single" w:color="auto" w:sz="4" w:space="0"/>
                    <w:left w:val="single" w:color="auto" w:sz="4" w:space="0"/>
                    <w:bottom w:val="single" w:color="auto" w:sz="4" w:space="0"/>
                    <w:right w:val="single" w:color="auto" w:sz="4" w:space="0"/>
                  </w:tcBorders>
                  <w:vAlign w:val="center"/>
                </w:tcPr>
                <w:p>
                  <w:pPr>
                    <w:pStyle w:val="57"/>
                  </w:pPr>
                  <w:r>
                    <w:t>公用工程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活动房基础</w:t>
                  </w:r>
                  <w:r>
                    <w:rPr>
                      <w:rFonts w:hAnsi="宋体"/>
                      <w:snapToGrid w:val="0"/>
                    </w:rPr>
                    <w:t>1</w:t>
                  </w:r>
                  <w:r>
                    <w:rPr>
                      <w:rFonts w:hint="eastAsia" w:hAnsi="宋体"/>
                      <w:snapToGrid w:val="0"/>
                    </w:rPr>
                    <w:t>套，位于生活区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restart"/>
                  <w:tcBorders>
                    <w:top w:val="single" w:color="auto" w:sz="4" w:space="0"/>
                    <w:left w:val="single" w:color="auto" w:sz="4" w:space="0"/>
                    <w:right w:val="single" w:color="auto" w:sz="4" w:space="0"/>
                  </w:tcBorders>
                  <w:vAlign w:val="center"/>
                </w:tcPr>
                <w:p>
                  <w:pPr>
                    <w:pStyle w:val="57"/>
                  </w:pPr>
                  <w:r>
                    <w:t>钻井工程</w:t>
                  </w:r>
                </w:p>
              </w:tc>
              <w:tc>
                <w:tcPr>
                  <w:tcW w:w="425" w:type="pct"/>
                  <w:tcBorders>
                    <w:top w:val="single" w:color="auto" w:sz="4" w:space="0"/>
                    <w:left w:val="single" w:color="auto" w:sz="4" w:space="0"/>
                    <w:bottom w:val="single" w:color="auto" w:sz="4" w:space="0"/>
                    <w:right w:val="single" w:color="auto" w:sz="4" w:space="0"/>
                  </w:tcBorders>
                  <w:vAlign w:val="center"/>
                </w:tcPr>
                <w:p>
                  <w:pPr>
                    <w:pStyle w:val="57"/>
                  </w:pPr>
                  <w:r>
                    <w:t>钻进作业</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rPr>
                      <w:kern w:val="28"/>
                    </w:rPr>
                  </w:pPr>
                  <w:bookmarkStart w:id="5" w:name="OLE_LINK40"/>
                  <w:r>
                    <w:rPr>
                      <w:rFonts w:hint="eastAsia" w:hAnsi="宋体"/>
                      <w:snapToGrid w:val="0"/>
                    </w:rPr>
                    <w:t>设计井深</w:t>
                  </w:r>
                  <w:r>
                    <w:rPr>
                      <w:snapToGrid w:val="0"/>
                    </w:rPr>
                    <w:t>5072m</w:t>
                  </w:r>
                  <w:r>
                    <w:rPr>
                      <w:rFonts w:hint="eastAsia" w:hAnsi="宋体"/>
                      <w:snapToGrid w:val="0"/>
                    </w:rPr>
                    <w:t>，水平井，采用ZJ50D钻机钻进</w:t>
                  </w:r>
                  <w:r>
                    <w:rPr>
                      <w:kern w:val="28"/>
                    </w:rPr>
                    <w:t>，钻进过程中水基泥浆和油基泥浆分别循环使用，对井眼采用套管+水泥固井保护</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rFonts w:hint="eastAsia"/>
                      <w:snapToGrid w:val="0"/>
                      <w:kern w:val="0"/>
                      <w:sz w:val="21"/>
                      <w:szCs w:val="21"/>
                    </w:rPr>
                    <w:t>测井、取心、录井</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Ansi="宋体"/>
                      <w:snapToGrid w:val="0"/>
                      <w:kern w:val="0"/>
                      <w:sz w:val="21"/>
                      <w:szCs w:val="21"/>
                    </w:rPr>
                  </w:pPr>
                  <w:r>
                    <w:rPr>
                      <w:rFonts w:hint="eastAsia" w:hAnsi="宋体"/>
                      <w:snapToGrid w:val="0"/>
                      <w:kern w:val="0"/>
                      <w:sz w:val="21"/>
                      <w:szCs w:val="21"/>
                    </w:rPr>
                    <w:t>测井主要为钻进至目的层后，通过下井筒下下入测井仪器，对目的层岩性、孔隙度、电导率及含油气性质等特性进行测量，以收集详细的目的层地质资料；</w:t>
                  </w:r>
                  <w:r>
                    <w:rPr>
                      <w:rFonts w:hint="eastAsia"/>
                      <w:snapToGrid w:val="0"/>
                      <w:kern w:val="0"/>
                      <w:sz w:val="21"/>
                      <w:szCs w:val="21"/>
                    </w:rPr>
                    <w:t>取心即为在设计取心井段，通过采用特殊定制的取心钻头，将设计取心井段岩样从井底取出至地面，在通过实验室分析以达到加深地层地质认识的目的；</w:t>
                  </w:r>
                  <w:r>
                    <w:rPr>
                      <w:rFonts w:hint="eastAsia" w:hAnsi="宋体"/>
                      <w:snapToGrid w:val="0"/>
                      <w:kern w:val="0"/>
                      <w:sz w:val="21"/>
                      <w:szCs w:val="21"/>
                    </w:rPr>
                    <w:t>录井是在钻井过程中，通过使用录井对专业工具和软件，收集和记录地下地质资料，并对钻井过程中的油气显示进行监控，以及时发现油气显示，随钻评价油气层，并做好油气显示判断，为预防井喷提供技术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rFonts w:hint="eastAsia"/>
                      <w:snapToGrid w:val="0"/>
                      <w:kern w:val="0"/>
                      <w:sz w:val="21"/>
                      <w:szCs w:val="21"/>
                    </w:rPr>
                    <w:t>固井作业</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rFonts w:hint="eastAsia"/>
                      <w:snapToGrid w:val="0"/>
                      <w:kern w:val="0"/>
                      <w:sz w:val="21"/>
                      <w:szCs w:val="21"/>
                    </w:rPr>
                    <w:t>每开次钻井作业结束后，均需进行下套管固井作业，全井段施套管保护+水泥固井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right w:val="single" w:color="auto" w:sz="4" w:space="0"/>
                  </w:tcBorders>
                  <w:vAlign w:val="center"/>
                </w:tcPr>
                <w:p>
                  <w:pPr>
                    <w:pStyle w:val="57"/>
                  </w:pPr>
                </w:p>
              </w:tc>
              <w:tc>
                <w:tcPr>
                  <w:tcW w:w="4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snapToGrid w:val="0"/>
                      <w:kern w:val="0"/>
                      <w:sz w:val="21"/>
                      <w:szCs w:val="21"/>
                    </w:rPr>
                    <w:t>分段射孔、压裂</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rFonts w:hint="eastAsia"/>
                      <w:snapToGrid w:val="0"/>
                      <w:kern w:val="0"/>
                      <w:sz w:val="21"/>
                      <w:szCs w:val="21"/>
                    </w:rPr>
                    <w:t>平安7井</w:t>
                  </w:r>
                  <w:r>
                    <w:rPr>
                      <w:snapToGrid w:val="0"/>
                      <w:kern w:val="0"/>
                      <w:sz w:val="21"/>
                      <w:szCs w:val="21"/>
                    </w:rPr>
                    <w:t>需对目的层段（水平段：</w:t>
                  </w:r>
                  <w:r>
                    <w:rPr>
                      <w:rFonts w:hint="eastAsia"/>
                      <w:snapToGrid w:val="0"/>
                      <w:kern w:val="0"/>
                      <w:sz w:val="21"/>
                      <w:szCs w:val="21"/>
                    </w:rPr>
                    <w:t>1</w:t>
                  </w:r>
                  <w:r>
                    <w:rPr>
                      <w:snapToGrid w:val="0"/>
                      <w:kern w:val="0"/>
                      <w:sz w:val="21"/>
                      <w:szCs w:val="21"/>
                    </w:rPr>
                    <w:t>417m）进行压裂，每100m进行一次射孔+压裂；共计射孔+压裂14次。采用分段射孔，分段加砂压裂，每段之间采用电缆可钻桥塞分层对压裂段进行分段暂闭；</w:t>
                  </w:r>
                </w:p>
                <w:p>
                  <w:pPr>
                    <w:spacing w:line="240" w:lineRule="auto"/>
                    <w:ind w:firstLine="0" w:firstLineChars="0"/>
                    <w:rPr>
                      <w:snapToGrid w:val="0"/>
                      <w:kern w:val="0"/>
                      <w:sz w:val="21"/>
                      <w:szCs w:val="21"/>
                    </w:rPr>
                  </w:pPr>
                  <w:r>
                    <w:rPr>
                      <w:snapToGrid w:val="0"/>
                      <w:kern w:val="0"/>
                      <w:sz w:val="21"/>
                      <w:szCs w:val="21"/>
                    </w:rPr>
                    <w:t>射孔：采用电缆分段射孔；</w:t>
                  </w:r>
                </w:p>
                <w:p>
                  <w:pPr>
                    <w:spacing w:line="240" w:lineRule="auto"/>
                    <w:ind w:firstLine="0" w:firstLineChars="0"/>
                    <w:rPr>
                      <w:snapToGrid w:val="0"/>
                      <w:kern w:val="0"/>
                      <w:sz w:val="21"/>
                      <w:szCs w:val="21"/>
                    </w:rPr>
                  </w:pPr>
                  <w:r>
                    <w:rPr>
                      <w:snapToGrid w:val="0"/>
                      <w:kern w:val="0"/>
                      <w:sz w:val="21"/>
                      <w:szCs w:val="21"/>
                    </w:rPr>
                    <w:t>加砂压裂：设置16台压裂车，14用2备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425" w:type="pct"/>
                  <w:gridSpan w:val="2"/>
                  <w:vMerge w:val="continue"/>
                  <w:tcBorders>
                    <w:left w:val="single" w:color="auto" w:sz="4" w:space="0"/>
                    <w:bottom w:val="single" w:color="auto" w:sz="4" w:space="0"/>
                    <w:right w:val="single" w:color="auto" w:sz="4" w:space="0"/>
                  </w:tcBorders>
                  <w:vAlign w:val="center"/>
                </w:tcPr>
                <w:p>
                  <w:pPr>
                    <w:pStyle w:val="57"/>
                  </w:pPr>
                </w:p>
              </w:tc>
              <w:tc>
                <w:tcPr>
                  <w:tcW w:w="425" w:type="pct"/>
                  <w:tcBorders>
                    <w:top w:val="single" w:color="auto" w:sz="4" w:space="0"/>
                    <w:left w:val="single" w:color="auto" w:sz="4" w:space="0"/>
                    <w:bottom w:val="single" w:color="auto" w:sz="4" w:space="0"/>
                    <w:right w:val="single" w:color="auto" w:sz="4" w:space="0"/>
                  </w:tcBorders>
                  <w:vAlign w:val="center"/>
                </w:tcPr>
                <w:p>
                  <w:pPr>
                    <w:pStyle w:val="57"/>
                  </w:pPr>
                  <w:r>
                    <w:t>试气作业</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t>完井测试（设置节流汇管坑、测试流程区），井口换装采气树及防喷器等井口系统，对目的层的</w:t>
                  </w:r>
                  <w:r>
                    <w:rPr>
                      <w:rFonts w:hint="eastAsia"/>
                    </w:rPr>
                    <w:t>页岩油</w:t>
                  </w:r>
                  <w:r>
                    <w:t>气性质进行测试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right w:val="single" w:color="auto" w:sz="4" w:space="0"/>
                  </w:tcBorders>
                  <w:vAlign w:val="center"/>
                </w:tcPr>
                <w:p>
                  <w:pPr>
                    <w:pStyle w:val="57"/>
                  </w:pPr>
                  <w:r>
                    <w:t>辅助工程</w:t>
                  </w:r>
                </w:p>
              </w:tc>
              <w:tc>
                <w:tcPr>
                  <w:tcW w:w="850" w:type="pct"/>
                  <w:gridSpan w:val="3"/>
                  <w:tcBorders>
                    <w:top w:val="single" w:color="auto" w:sz="4" w:space="0"/>
                    <w:left w:val="single" w:color="auto" w:sz="4" w:space="0"/>
                    <w:right w:val="single" w:color="auto" w:sz="4" w:space="0"/>
                  </w:tcBorders>
                  <w:vAlign w:val="center"/>
                </w:tcPr>
                <w:p>
                  <w:pPr>
                    <w:pStyle w:val="57"/>
                  </w:pPr>
                  <w:r>
                    <w:t>泥浆循环系统</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napToGrid w:val="0"/>
                      <w:kern w:val="0"/>
                      <w:sz w:val="21"/>
                      <w:szCs w:val="21"/>
                    </w:rPr>
                  </w:pPr>
                  <w:r>
                    <w:rPr>
                      <w:rFonts w:hint="eastAsia" w:hAnsi="宋体"/>
                      <w:snapToGrid w:val="0"/>
                      <w:kern w:val="0"/>
                      <w:sz w:val="21"/>
                      <w:szCs w:val="21"/>
                    </w:rPr>
                    <w:t>由泥浆循环罐、振动筛、除砂器、除泥器、离心机等设备设施组成；其中泥浆循环罐</w:t>
                  </w:r>
                  <w:r>
                    <w:rPr>
                      <w:snapToGrid w:val="0"/>
                      <w:kern w:val="0"/>
                      <w:sz w:val="21"/>
                      <w:szCs w:val="21"/>
                    </w:rPr>
                    <w:t>6</w:t>
                  </w:r>
                  <w:r>
                    <w:rPr>
                      <w:rFonts w:hint="eastAsia" w:hAnsi="宋体"/>
                      <w:snapToGrid w:val="0"/>
                      <w:kern w:val="0"/>
                      <w:sz w:val="21"/>
                      <w:szCs w:val="21"/>
                    </w:rPr>
                    <w:t>个（</w:t>
                  </w:r>
                  <w:r>
                    <w:rPr>
                      <w:rFonts w:hAnsi="宋体"/>
                      <w:snapToGrid w:val="0"/>
                      <w:kern w:val="0"/>
                      <w:sz w:val="21"/>
                      <w:szCs w:val="21"/>
                    </w:rPr>
                    <w:t>40m</w:t>
                  </w:r>
                  <w:r>
                    <w:rPr>
                      <w:rFonts w:hAnsi="宋体"/>
                      <w:snapToGrid w:val="0"/>
                      <w:kern w:val="0"/>
                      <w:sz w:val="21"/>
                      <w:szCs w:val="21"/>
                      <w:vertAlign w:val="superscript"/>
                    </w:rPr>
                    <w:t>3</w:t>
                  </w:r>
                  <w:r>
                    <w:rPr>
                      <w:rFonts w:hAnsi="宋体"/>
                      <w:snapToGrid w:val="0"/>
                      <w:kern w:val="0"/>
                      <w:sz w:val="21"/>
                      <w:szCs w:val="21"/>
                    </w:rPr>
                    <w:t>/</w:t>
                  </w:r>
                  <w:r>
                    <w:rPr>
                      <w:rFonts w:hint="eastAsia" w:hAnsi="宋体"/>
                      <w:snapToGrid w:val="0"/>
                      <w:kern w:val="0"/>
                      <w:sz w:val="21"/>
                      <w:szCs w:val="21"/>
                    </w:rPr>
                    <w:t>个），用于钻井工程中钻井液循环处理利用。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850" w:type="pct"/>
                  <w:gridSpan w:val="3"/>
                  <w:tcBorders>
                    <w:left w:val="single" w:color="auto" w:sz="4" w:space="0"/>
                    <w:right w:val="single" w:color="auto" w:sz="4" w:space="0"/>
                  </w:tcBorders>
                  <w:vAlign w:val="center"/>
                </w:tcPr>
                <w:p>
                  <w:pPr>
                    <w:pStyle w:val="57"/>
                  </w:pPr>
                  <w:r>
                    <w:t>井控系统</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自动化控制系统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57"/>
                  </w:pPr>
                </w:p>
              </w:tc>
              <w:tc>
                <w:tcPr>
                  <w:tcW w:w="850" w:type="pct"/>
                  <w:gridSpan w:val="3"/>
                  <w:tcBorders>
                    <w:left w:val="single" w:color="auto" w:sz="4" w:space="0"/>
                    <w:bottom w:val="single" w:color="auto" w:sz="4" w:space="0"/>
                    <w:right w:val="single" w:color="auto" w:sz="4" w:space="0"/>
                  </w:tcBorders>
                  <w:vAlign w:val="center"/>
                </w:tcPr>
                <w:p>
                  <w:pPr>
                    <w:pStyle w:val="57"/>
                  </w:pPr>
                  <w:r>
                    <w:t>放喷点火系统</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自动、手动和电子点火装置各</w:t>
                  </w:r>
                  <w:r>
                    <w:rPr>
                      <w:snapToGrid w:val="0"/>
                      <w:kern w:val="0"/>
                      <w:sz w:val="21"/>
                      <w:szCs w:val="21"/>
                    </w:rPr>
                    <w:t>1</w:t>
                  </w:r>
                  <w:r>
                    <w:rPr>
                      <w:rFonts w:hint="eastAsia" w:hAnsi="宋体"/>
                      <w:snapToGrid w:val="0"/>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right w:val="single" w:color="auto" w:sz="4" w:space="0"/>
                  </w:tcBorders>
                  <w:vAlign w:val="center"/>
                </w:tcPr>
                <w:p>
                  <w:pPr>
                    <w:pStyle w:val="57"/>
                  </w:pPr>
                  <w:r>
                    <w:t>公用工程</w:t>
                  </w:r>
                </w:p>
              </w:tc>
              <w:tc>
                <w:tcPr>
                  <w:tcW w:w="850" w:type="pct"/>
                  <w:gridSpan w:val="3"/>
                  <w:tcBorders>
                    <w:top w:val="single" w:color="auto" w:sz="4" w:space="0"/>
                    <w:left w:val="single" w:color="auto" w:sz="4" w:space="0"/>
                    <w:right w:val="single" w:color="auto" w:sz="4" w:space="0"/>
                  </w:tcBorders>
                  <w:vAlign w:val="center"/>
                </w:tcPr>
                <w:p>
                  <w:pPr>
                    <w:pStyle w:val="57"/>
                  </w:pPr>
                  <w:r>
                    <w:t>给水工程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采用罐车拉至井场，生活用水运至井场水罐，钻井用水运至井场清水罐；来源为附近场镇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vMerge w:val="restart"/>
                  <w:tcBorders>
                    <w:left w:val="single" w:color="auto" w:sz="4" w:space="0"/>
                    <w:right w:val="single" w:color="auto" w:sz="4" w:space="0"/>
                  </w:tcBorders>
                  <w:vAlign w:val="center"/>
                </w:tcPr>
                <w:p>
                  <w:pPr>
                    <w:pStyle w:val="57"/>
                  </w:pPr>
                  <w:r>
                    <w:t>排水工程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37"/>
                    <w:spacing w:before="24" w:after="24"/>
                    <w:ind w:firstLine="0" w:firstLineChars="0"/>
                    <w:jc w:val="both"/>
                    <w:rPr>
                      <w:rFonts w:ascii="Times New Roman"/>
                      <w:sz w:val="21"/>
                      <w:szCs w:val="21"/>
                    </w:rPr>
                  </w:pPr>
                  <w:r>
                    <w:rPr>
                      <w:rFonts w:hint="eastAsia" w:ascii="Times New Roman"/>
                      <w:sz w:val="21"/>
                      <w:szCs w:val="21"/>
                    </w:rPr>
                    <w:t>生产作业废水优先回用，不可回用部分拉运至四川鑫泓废水处理厂作达标处理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vMerge w:val="continue"/>
                  <w:tcBorders>
                    <w:left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Ansi="宋体"/>
                      <w:snapToGrid w:val="0"/>
                    </w:rPr>
                    <w:t>2</w:t>
                  </w:r>
                  <w:r>
                    <w:rPr>
                      <w:rFonts w:hint="eastAsia" w:hAnsi="宋体"/>
                      <w:snapToGrid w:val="0"/>
                    </w:rPr>
                    <w:t>座旱厕，生活污水经旱厕收集后</w:t>
                  </w:r>
                  <w:r>
                    <w:rPr>
                      <w:rFonts w:cs="Arial"/>
                      <w:snapToGrid w:val="0"/>
                    </w:rPr>
                    <w:t>用于周边农田施肥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vMerge w:val="continue"/>
                  <w:tcBorders>
                    <w:left w:val="single" w:color="auto" w:sz="4" w:space="0"/>
                    <w:right w:val="single" w:color="auto" w:sz="4" w:space="0"/>
                  </w:tcBorders>
                  <w:vAlign w:val="center"/>
                </w:tcPr>
                <w:p>
                  <w:pPr>
                    <w:pStyle w:val="57"/>
                  </w:pPr>
                </w:p>
              </w:tc>
              <w:tc>
                <w:tcPr>
                  <w:tcW w:w="425" w:type="pct"/>
                  <w:vMerge w:val="restart"/>
                  <w:tcBorders>
                    <w:top w:val="single" w:color="auto" w:sz="4" w:space="0"/>
                    <w:left w:val="single" w:color="auto" w:sz="4" w:space="0"/>
                    <w:right w:val="single" w:color="auto" w:sz="4" w:space="0"/>
                  </w:tcBorders>
                  <w:vAlign w:val="center"/>
                </w:tcPr>
                <w:p>
                  <w:pPr>
                    <w:pStyle w:val="57"/>
                  </w:pPr>
                  <w:r>
                    <w:t>雨水</w:t>
                  </w:r>
                </w:p>
              </w:tc>
              <w:tc>
                <w:tcPr>
                  <w:tcW w:w="3303" w:type="pct"/>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井场设置集水坑</w:t>
                  </w:r>
                  <w:r>
                    <w:rPr>
                      <w:snapToGrid w:val="0"/>
                    </w:rPr>
                    <w:t>5</w:t>
                  </w:r>
                  <w:r>
                    <w:rPr>
                      <w:rFonts w:hint="eastAsia" w:hAnsi="宋体"/>
                      <w:snapToGrid w:val="0"/>
                    </w:rPr>
                    <w:t>个、方井</w:t>
                  </w:r>
                  <w:r>
                    <w:rPr>
                      <w:rFonts w:hAnsi="宋体"/>
                      <w:snapToGrid w:val="0"/>
                    </w:rPr>
                    <w:t>1</w:t>
                  </w:r>
                  <w:r>
                    <w:rPr>
                      <w:rFonts w:hint="eastAsia" w:hAnsi="宋体"/>
                      <w:snapToGrid w:val="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303" w:type="pct"/>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循环系统、灰罐外设置宽</w:t>
                  </w:r>
                  <w:r>
                    <w:rPr>
                      <w:rFonts w:hAnsi="宋体"/>
                      <w:snapToGrid w:val="0"/>
                    </w:rPr>
                    <w:t>240mm</w:t>
                  </w:r>
                  <w:r>
                    <w:rPr>
                      <w:rFonts w:hint="eastAsia" w:hAnsi="宋体"/>
                      <w:snapToGrid w:val="0"/>
                    </w:rPr>
                    <w:t>×</w:t>
                  </w:r>
                  <w:r>
                    <w:rPr>
                      <w:rFonts w:hAnsi="宋体"/>
                      <w:snapToGrid w:val="0"/>
                    </w:rPr>
                    <w:t>高600mm挡水墙</w:t>
                  </w:r>
                  <w:r>
                    <w:rPr>
                      <w:rFonts w:hint="eastAsia" w:hAnsi="宋体"/>
                      <w:snapToGrid w:val="0"/>
                    </w:rPr>
                    <w:t>，井架基础、机房基础、泵房基础等</w:t>
                  </w:r>
                  <w:r>
                    <w:rPr>
                      <w:rFonts w:hAnsi="宋体"/>
                      <w:snapToGrid w:val="0"/>
                    </w:rPr>
                    <w:t>设备区四周设置</w:t>
                  </w:r>
                  <w:r>
                    <w:rPr>
                      <w:rFonts w:hint="eastAsia" w:hAnsi="宋体"/>
                      <w:snapToGrid w:val="0"/>
                    </w:rPr>
                    <w:t>宽</w:t>
                  </w:r>
                  <w:r>
                    <w:rPr>
                      <w:rFonts w:hAnsi="宋体"/>
                      <w:snapToGrid w:val="0"/>
                    </w:rPr>
                    <w:t>120mm</w:t>
                  </w:r>
                  <w:r>
                    <w:rPr>
                      <w:rFonts w:hint="eastAsia" w:hAnsi="宋体"/>
                      <w:snapToGrid w:val="0"/>
                    </w:rPr>
                    <w:t>×</w:t>
                  </w:r>
                  <w:r>
                    <w:rPr>
                      <w:rFonts w:hAnsi="宋体"/>
                      <w:snapToGrid w:val="0"/>
                    </w:rPr>
                    <w:t>高200mm挡水墙</w:t>
                  </w:r>
                  <w:r>
                    <w:rPr>
                      <w:rFonts w:hint="eastAsia" w:hAnsi="宋体"/>
                      <w:snapToGrid w:val="0"/>
                    </w:rPr>
                    <w:t>。</w:t>
                  </w:r>
                  <w:r>
                    <w:rPr>
                      <w:rFonts w:hAnsi="宋体"/>
                      <w:snapToGrid w:val="0"/>
                    </w:rPr>
                    <w:t>挡水墙长度总计</w:t>
                  </w:r>
                  <w:r>
                    <w:rPr>
                      <w:rFonts w:hint="eastAsia" w:hAnsi="宋体"/>
                      <w:snapToGrid w:val="0"/>
                    </w:rPr>
                    <w:t>2</w:t>
                  </w:r>
                  <w:r>
                    <w:rPr>
                      <w:rFonts w:hAnsi="宋体"/>
                      <w:snapToGrid w:val="0"/>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vMerge w:val="continue"/>
                  <w:tcBorders>
                    <w:left w:val="single" w:color="auto" w:sz="4" w:space="0"/>
                    <w:right w:val="single" w:color="auto" w:sz="4" w:space="0"/>
                  </w:tcBorders>
                  <w:vAlign w:val="center"/>
                </w:tcPr>
                <w:p>
                  <w:pPr>
                    <w:pStyle w:val="57"/>
                  </w:pPr>
                </w:p>
              </w:tc>
              <w:tc>
                <w:tcPr>
                  <w:tcW w:w="425" w:type="pct"/>
                  <w:vMerge w:val="continue"/>
                  <w:tcBorders>
                    <w:left w:val="single" w:color="auto" w:sz="4" w:space="0"/>
                    <w:bottom w:val="single" w:color="auto" w:sz="4" w:space="0"/>
                    <w:right w:val="single" w:color="auto" w:sz="4" w:space="0"/>
                  </w:tcBorders>
                  <w:vAlign w:val="center"/>
                </w:tcPr>
                <w:p>
                  <w:pPr>
                    <w:pStyle w:val="37"/>
                    <w:spacing w:before="24" w:after="24"/>
                    <w:ind w:firstLine="420"/>
                    <w:rPr>
                      <w:rFonts w:ascii="Times New Roman"/>
                      <w:sz w:val="21"/>
                      <w:szCs w:val="21"/>
                    </w:rPr>
                  </w:pPr>
                </w:p>
              </w:tc>
              <w:tc>
                <w:tcPr>
                  <w:tcW w:w="3303" w:type="pct"/>
                  <w:tcBorders>
                    <w:top w:val="single" w:color="auto" w:sz="4" w:space="0"/>
                    <w:left w:val="single" w:color="auto" w:sz="4" w:space="0"/>
                    <w:bottom w:val="single" w:color="auto" w:sz="4" w:space="0"/>
                    <w:right w:val="single" w:color="auto" w:sz="4" w:space="0"/>
                  </w:tcBorders>
                  <w:vAlign w:val="center"/>
                </w:tcPr>
                <w:p>
                  <w:pPr>
                    <w:pStyle w:val="57"/>
                    <w:jc w:val="both"/>
                    <w:rPr>
                      <w:rFonts w:hAnsi="宋体"/>
                      <w:snapToGrid w:val="0"/>
                    </w:rPr>
                  </w:pPr>
                  <w:r>
                    <w:rPr>
                      <w:rFonts w:hint="eastAsia" w:hAnsi="宋体"/>
                      <w:snapToGrid w:val="0"/>
                    </w:rPr>
                    <w:t>井场四周排水沟共</w:t>
                  </w:r>
                  <w:r>
                    <w:rPr>
                      <w:snapToGrid w:val="0"/>
                    </w:rPr>
                    <w:t>320m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tcBorders>
                    <w:left w:val="single" w:color="auto" w:sz="4" w:space="0"/>
                    <w:right w:val="single" w:color="auto" w:sz="4" w:space="0"/>
                  </w:tcBorders>
                  <w:vAlign w:val="center"/>
                </w:tcPr>
                <w:p>
                  <w:pPr>
                    <w:pStyle w:val="57"/>
                  </w:pPr>
                  <w:r>
                    <w:t>供电工程</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rFonts w:hint="eastAsia" w:hAnsi="宋体"/>
                      <w:snapToGrid w:val="0"/>
                    </w:rPr>
                    <w:t>井场东南侧设置发电房，内设柴油发电机</w:t>
                  </w:r>
                  <w:r>
                    <w:rPr>
                      <w:rFonts w:hAnsi="宋体"/>
                      <w:snapToGrid w:val="0"/>
                    </w:rPr>
                    <w:t>4</w:t>
                  </w:r>
                  <w:r>
                    <w:rPr>
                      <w:rFonts w:hint="eastAsia" w:hAnsi="宋体"/>
                      <w:snapToGrid w:val="0"/>
                    </w:rPr>
                    <w:t>台（</w:t>
                  </w:r>
                  <w:r>
                    <w:rPr>
                      <w:rFonts w:hAnsi="宋体"/>
                      <w:snapToGrid w:val="0"/>
                    </w:rPr>
                    <w:t>3</w:t>
                  </w:r>
                  <w:r>
                    <w:rPr>
                      <w:rFonts w:hint="eastAsia" w:hAnsi="宋体"/>
                      <w:snapToGrid w:val="0"/>
                    </w:rPr>
                    <w:t>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57"/>
                  </w:pPr>
                  <w:r>
                    <w:t>办公及生活</w:t>
                  </w: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pPr>
                  <w:r>
                    <w:t>活动板房</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37"/>
                    <w:spacing w:before="24" w:after="24"/>
                    <w:ind w:firstLine="0" w:firstLineChars="0"/>
                    <w:jc w:val="both"/>
                    <w:rPr>
                      <w:rFonts w:ascii="Times New Roman"/>
                      <w:sz w:val="21"/>
                      <w:szCs w:val="21"/>
                    </w:rPr>
                  </w:pPr>
                  <w:r>
                    <w:rPr>
                      <w:rFonts w:hint="eastAsia" w:ascii="Times New Roman"/>
                      <w:sz w:val="21"/>
                      <w:szCs w:val="21"/>
                    </w:rPr>
                    <w:t>井场外生活区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pPr>
                  <w:r>
                    <w:t>值班室</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37"/>
                    <w:spacing w:before="24" w:after="24"/>
                    <w:ind w:firstLine="0" w:firstLineChars="0"/>
                    <w:jc w:val="both"/>
                    <w:rPr>
                      <w:rFonts w:ascii="Times New Roman"/>
                      <w:sz w:val="21"/>
                      <w:szCs w:val="21"/>
                    </w:rPr>
                  </w:pPr>
                  <w:r>
                    <w:rPr>
                      <w:rFonts w:hint="eastAsia" w:ascii="Times New Roman"/>
                      <w:sz w:val="21"/>
                      <w:szCs w:val="21"/>
                    </w:rPr>
                    <w:t>井场外，活动板房内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57"/>
                  </w:pPr>
                  <w:r>
                    <w:t>储运</w:t>
                  </w:r>
                </w:p>
                <w:p>
                  <w:pPr>
                    <w:pStyle w:val="57"/>
                  </w:pPr>
                  <w:r>
                    <w:t>工程</w:t>
                  </w:r>
                </w:p>
              </w:tc>
              <w:tc>
                <w:tcPr>
                  <w:tcW w:w="850"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柴油罐区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rPr>
                  </w:pPr>
                  <w:r>
                    <w:rPr>
                      <w:rFonts w:hint="eastAsia"/>
                      <w:snapToGrid w:val="0"/>
                      <w:kern w:val="0"/>
                      <w:sz w:val="21"/>
                      <w:szCs w:val="21"/>
                    </w:rPr>
                    <w:t>4</w:t>
                  </w:r>
                  <w:r>
                    <w:rPr>
                      <w:rFonts w:hint="eastAsia" w:hAnsi="宋体"/>
                      <w:snapToGrid w:val="0"/>
                      <w:kern w:val="0"/>
                      <w:sz w:val="21"/>
                      <w:szCs w:val="21"/>
                    </w:rPr>
                    <w:t>个柴油罐，每个容积</w:t>
                  </w:r>
                  <w:r>
                    <w:rPr>
                      <w:rFonts w:hint="eastAsia"/>
                      <w:snapToGrid w:val="0"/>
                      <w:kern w:val="0"/>
                      <w:sz w:val="21"/>
                      <w:szCs w:val="21"/>
                    </w:rPr>
                    <w:t>2</w:t>
                  </w:r>
                  <w:r>
                    <w:rPr>
                      <w:snapToGrid w:val="0"/>
                      <w:kern w:val="0"/>
                      <w:sz w:val="21"/>
                      <w:szCs w:val="21"/>
                    </w:rPr>
                    <w:t>0m</w:t>
                  </w:r>
                  <w:r>
                    <w:rPr>
                      <w:snapToGrid w:val="0"/>
                      <w:kern w:val="0"/>
                      <w:sz w:val="21"/>
                      <w:szCs w:val="21"/>
                      <w:vertAlign w:val="superscript"/>
                    </w:rPr>
                    <w:t>3</w:t>
                  </w:r>
                  <w:r>
                    <w:rPr>
                      <w:rFonts w:hint="eastAsia"/>
                      <w:snapToGrid w:val="0"/>
                      <w:kern w:val="0"/>
                      <w:sz w:val="21"/>
                      <w:szCs w:val="21"/>
                    </w:rPr>
                    <w:t>，</w:t>
                  </w:r>
                  <w:r>
                    <w:rPr>
                      <w:rFonts w:hint="eastAsia" w:hAnsi="宋体"/>
                      <w:snapToGrid w:val="0"/>
                      <w:kern w:val="0"/>
                      <w:sz w:val="21"/>
                      <w:szCs w:val="21"/>
                    </w:rPr>
                    <w:t>储罐基础采用混凝土结构基础，四周设置围堰。柴油作为项目钻井动力燃料。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水罐区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rPr>
                  </w:pPr>
                  <w:r>
                    <w:rPr>
                      <w:snapToGrid w:val="0"/>
                      <w:kern w:val="0"/>
                      <w:sz w:val="21"/>
                      <w:szCs w:val="21"/>
                    </w:rPr>
                    <w:t>4</w:t>
                  </w:r>
                  <w:r>
                    <w:rPr>
                      <w:rFonts w:hint="eastAsia" w:ascii="宋体" w:hAnsi="宋体" w:cs="宋体"/>
                      <w:snapToGrid w:val="0"/>
                      <w:kern w:val="0"/>
                      <w:sz w:val="21"/>
                      <w:szCs w:val="21"/>
                    </w:rPr>
                    <w:t>个清水罐，</w:t>
                  </w:r>
                  <w:r>
                    <w:rPr>
                      <w:rFonts w:hint="eastAsia" w:hAnsi="宋体"/>
                      <w:snapToGrid w:val="0"/>
                      <w:kern w:val="0"/>
                      <w:sz w:val="21"/>
                      <w:szCs w:val="21"/>
                    </w:rPr>
                    <w:t>每个容积</w:t>
                  </w:r>
                  <w:r>
                    <w:rPr>
                      <w:snapToGrid w:val="0"/>
                      <w:kern w:val="0"/>
                      <w:sz w:val="21"/>
                      <w:szCs w:val="21"/>
                    </w:rPr>
                    <w:t>20m</w:t>
                  </w:r>
                  <w:r>
                    <w:rPr>
                      <w:snapToGrid w:val="0"/>
                      <w:kern w:val="0"/>
                      <w:sz w:val="21"/>
                      <w:szCs w:val="21"/>
                      <w:vertAlign w:val="superscript"/>
                    </w:rPr>
                    <w:t>3</w:t>
                  </w:r>
                  <w:r>
                    <w:rPr>
                      <w:rFonts w:hint="eastAsia"/>
                      <w:snapToGrid w:val="0"/>
                      <w:kern w:val="0"/>
                      <w:sz w:val="21"/>
                      <w:szCs w:val="21"/>
                    </w:rPr>
                    <w:t>，用于储存水基泥浆配置所需清水。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泥浆储备罐</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rPr>
                      <w:snapToGrid w:val="0"/>
                      <w:kern w:val="0"/>
                      <w:sz w:val="21"/>
                      <w:szCs w:val="21"/>
                    </w:rPr>
                  </w:pPr>
                  <w:r>
                    <w:rPr>
                      <w:rFonts w:hint="eastAsia" w:hAnsi="宋体"/>
                      <w:snapToGrid w:val="0"/>
                      <w:kern w:val="0"/>
                      <w:sz w:val="21"/>
                      <w:szCs w:val="21"/>
                    </w:rPr>
                    <w:t>设置泥浆储备罐</w:t>
                  </w:r>
                  <w:r>
                    <w:rPr>
                      <w:snapToGrid w:val="0"/>
                      <w:kern w:val="0"/>
                      <w:sz w:val="21"/>
                      <w:szCs w:val="21"/>
                    </w:rPr>
                    <w:t>6</w:t>
                  </w:r>
                  <w:r>
                    <w:rPr>
                      <w:rFonts w:hint="eastAsia" w:hAnsi="宋体"/>
                      <w:snapToGrid w:val="0"/>
                      <w:kern w:val="0"/>
                      <w:sz w:val="21"/>
                      <w:szCs w:val="21"/>
                    </w:rPr>
                    <w:t>个，每个容积</w:t>
                  </w:r>
                  <w:r>
                    <w:rPr>
                      <w:snapToGrid w:val="0"/>
                      <w:kern w:val="0"/>
                      <w:sz w:val="21"/>
                      <w:szCs w:val="21"/>
                    </w:rPr>
                    <w:t>40m</w:t>
                  </w:r>
                  <w:r>
                    <w:rPr>
                      <w:snapToGrid w:val="0"/>
                      <w:kern w:val="0"/>
                      <w:sz w:val="21"/>
                      <w:szCs w:val="21"/>
                      <w:vertAlign w:val="superscript"/>
                    </w:rPr>
                    <w:t>3</w:t>
                  </w:r>
                  <w:r>
                    <w:rPr>
                      <w:rFonts w:hint="eastAsia"/>
                      <w:snapToGrid w:val="0"/>
                      <w:kern w:val="0"/>
                      <w:sz w:val="21"/>
                      <w:szCs w:val="21"/>
                    </w:rPr>
                    <w:t>，用于储存压井用重泥浆。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rPr>
                      <w:kern w:val="28"/>
                    </w:rPr>
                  </w:pPr>
                  <w:r>
                    <w:rPr>
                      <w:kern w:val="28"/>
                    </w:rPr>
                    <w:t>重叠罐区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rPr>
                      <w:kern w:val="28"/>
                    </w:rPr>
                  </w:pPr>
                  <w:r>
                    <w:rPr>
                      <w:kern w:val="28"/>
                    </w:rPr>
                    <w:t>用于压裂作业阶段，位于</w:t>
                  </w:r>
                  <w:r>
                    <w:rPr>
                      <w:rFonts w:hint="eastAsia"/>
                      <w:kern w:val="28"/>
                    </w:rPr>
                    <w:t>井场</w:t>
                  </w:r>
                  <w:r>
                    <w:rPr>
                      <w:kern w:val="28"/>
                    </w:rPr>
                    <w:t>后场（东侧），21套重叠罐，每个容积120m</w:t>
                  </w:r>
                  <w:r>
                    <w:rPr>
                      <w:kern w:val="28"/>
                      <w:vertAlign w:val="superscript"/>
                    </w:rPr>
                    <w:t>3</w:t>
                  </w:r>
                  <w:r>
                    <w:rPr>
                      <w:kern w:val="28"/>
                    </w:rPr>
                    <w:t>（每套由两个60m</w:t>
                  </w:r>
                  <w:r>
                    <w:rPr>
                      <w:kern w:val="28"/>
                      <w:vertAlign w:val="superscript"/>
                    </w:rPr>
                    <w:t>3</w:t>
                  </w:r>
                  <w:r>
                    <w:rPr>
                      <w:kern w:val="28"/>
                    </w:rPr>
                    <w:t>的水罐重叠而成），用于压裂用水储存及压裂反排液储存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rPr>
                      <w:kern w:val="28"/>
                    </w:rPr>
                  </w:pPr>
                  <w:r>
                    <w:rPr>
                      <w:kern w:val="28"/>
                    </w:rPr>
                    <w:t>立式砂罐区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rPr>
                      <w:kern w:val="28"/>
                    </w:rPr>
                  </w:pPr>
                  <w:r>
                    <w:rPr>
                      <w:kern w:val="28"/>
                    </w:rPr>
                    <w:t>2个立式砂罐，每个容积80m</w:t>
                  </w:r>
                  <w:r>
                    <w:rPr>
                      <w:kern w:val="28"/>
                      <w:vertAlign w:val="superscript"/>
                    </w:rPr>
                    <w:t>3</w:t>
                  </w:r>
                  <w:r>
                    <w:rPr>
                      <w:kern w:val="28"/>
                    </w:rPr>
                    <w:t>/个，用于加砂压裂中使用的支撑剂储存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restart"/>
                  <w:tcBorders>
                    <w:top w:val="single" w:color="auto" w:sz="4" w:space="0"/>
                    <w:left w:val="single" w:color="auto" w:sz="4" w:space="0"/>
                    <w:right w:val="single" w:color="auto" w:sz="4" w:space="0"/>
                  </w:tcBorders>
                  <w:vAlign w:val="center"/>
                </w:tcPr>
                <w:p>
                  <w:pPr>
                    <w:pStyle w:val="57"/>
                  </w:pPr>
                  <w:r>
                    <w:t>环保</w:t>
                  </w:r>
                </w:p>
                <w:p>
                  <w:pPr>
                    <w:pStyle w:val="57"/>
                  </w:pPr>
                  <w:r>
                    <w:t>工程</w:t>
                  </w:r>
                </w:p>
              </w:tc>
              <w:tc>
                <w:tcPr>
                  <w:tcW w:w="340" w:type="pct"/>
                  <w:vMerge w:val="restart"/>
                  <w:tcBorders>
                    <w:top w:val="single" w:color="auto" w:sz="4" w:space="0"/>
                    <w:left w:val="single" w:color="auto" w:sz="4" w:space="0"/>
                    <w:right w:val="single" w:color="auto" w:sz="4" w:space="0"/>
                  </w:tcBorders>
                  <w:vAlign w:val="center"/>
                </w:tcPr>
                <w:p>
                  <w:pPr>
                    <w:pStyle w:val="57"/>
                  </w:pPr>
                  <w:r>
                    <w:t>废水处理</w:t>
                  </w:r>
                </w:p>
              </w:tc>
              <w:tc>
                <w:tcPr>
                  <w:tcW w:w="510" w:type="pct"/>
                  <w:gridSpan w:val="2"/>
                  <w:vMerge w:val="restart"/>
                  <w:tcBorders>
                    <w:top w:val="single" w:color="auto" w:sz="4" w:space="0"/>
                    <w:left w:val="single" w:color="auto" w:sz="4" w:space="0"/>
                    <w:right w:val="single" w:color="auto" w:sz="4" w:space="0"/>
                  </w:tcBorders>
                  <w:vAlign w:val="center"/>
                </w:tcPr>
                <w:p>
                  <w:pPr>
                    <w:pStyle w:val="57"/>
                  </w:pPr>
                  <w:r>
                    <w:t>工程废水</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rPr>
                      <w:kern w:val="28"/>
                    </w:rPr>
                  </w:pPr>
                  <w:r>
                    <w:rPr>
                      <w:rFonts w:hint="eastAsia"/>
                      <w:kern w:val="28"/>
                    </w:rPr>
                    <w:t>生产废水委托四川鑫泓废水处理厂作达标处理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top w:val="single" w:color="auto" w:sz="4" w:space="0"/>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top w:val="single" w:color="auto" w:sz="4" w:space="0"/>
                    <w:left w:val="single" w:color="auto" w:sz="4" w:space="0"/>
                    <w:right w:val="single" w:color="auto" w:sz="4" w:space="0"/>
                  </w:tcBorders>
                  <w:vAlign w:val="center"/>
                </w:tcPr>
                <w:p>
                  <w:pPr>
                    <w:pStyle w:val="57"/>
                  </w:pPr>
                </w:p>
              </w:tc>
              <w:tc>
                <w:tcPr>
                  <w:tcW w:w="510" w:type="pct"/>
                  <w:gridSpan w:val="2"/>
                  <w:vMerge w:val="continue"/>
                  <w:tcBorders>
                    <w:left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37"/>
                    <w:spacing w:before="24" w:after="24"/>
                    <w:ind w:firstLine="0" w:firstLineChars="0"/>
                    <w:jc w:val="both"/>
                    <w:rPr>
                      <w:rFonts w:ascii="Times New Roman"/>
                      <w:sz w:val="21"/>
                      <w:szCs w:val="21"/>
                    </w:rPr>
                  </w:pPr>
                  <w:r>
                    <w:rPr>
                      <w:rFonts w:ascii="Times New Roman"/>
                      <w:sz w:val="21"/>
                      <w:szCs w:val="21"/>
                    </w:rPr>
                    <w:t>钻井废水、方井雨水优先回用于水基泥浆补水，洗井废水全部回用于压裂液配置，压裂返排液优先回用于区域其他井压裂液配置；剩余拉运至</w:t>
                  </w:r>
                  <w:r>
                    <w:rPr>
                      <w:rFonts w:hint="eastAsia"/>
                      <w:kern w:val="28"/>
                      <w:sz w:val="21"/>
                      <w:szCs w:val="21"/>
                    </w:rPr>
                    <w:t>四川鑫泓废水处理厂</w:t>
                  </w:r>
                  <w:r>
                    <w:rPr>
                      <w:rFonts w:ascii="Times New Roman"/>
                      <w:sz w:val="21"/>
                      <w:szCs w:val="21"/>
                    </w:rPr>
                    <w:t>水处理站处置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right w:val="single" w:color="auto" w:sz="4" w:space="0"/>
                  </w:tcBorders>
                  <w:vAlign w:val="center"/>
                </w:tcPr>
                <w:p>
                  <w:pPr>
                    <w:pStyle w:val="57"/>
                  </w:pPr>
                </w:p>
              </w:tc>
              <w:tc>
                <w:tcPr>
                  <w:tcW w:w="510" w:type="pct"/>
                  <w:gridSpan w:val="2"/>
                  <w:tcBorders>
                    <w:left w:val="single" w:color="auto" w:sz="4" w:space="0"/>
                    <w:right w:val="single" w:color="auto" w:sz="4" w:space="0"/>
                  </w:tcBorders>
                  <w:vAlign w:val="center"/>
                </w:tcPr>
                <w:p>
                  <w:pPr>
                    <w:pStyle w:val="57"/>
                  </w:pPr>
                  <w:r>
                    <w:t>生活污水</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37"/>
                    <w:spacing w:beforeLines="0" w:afterLines="0" w:line="240" w:lineRule="auto"/>
                    <w:ind w:firstLine="0" w:firstLineChars="0"/>
                    <w:jc w:val="both"/>
                    <w:rPr>
                      <w:rFonts w:ascii="Times New Roman"/>
                      <w:sz w:val="21"/>
                      <w:szCs w:val="21"/>
                    </w:rPr>
                  </w:pPr>
                  <w:r>
                    <w:rPr>
                      <w:rFonts w:ascii="Times New Roman"/>
                      <w:snapToGrid w:val="0"/>
                      <w:sz w:val="21"/>
                      <w:szCs w:val="21"/>
                    </w:rPr>
                    <w:t>2座旱厕，生活污水经旱厕收集后用于周边农田施肥。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right w:val="single" w:color="auto" w:sz="4" w:space="0"/>
                  </w:tcBorders>
                  <w:vAlign w:val="center"/>
                </w:tcPr>
                <w:p>
                  <w:pPr>
                    <w:pStyle w:val="57"/>
                  </w:pPr>
                </w:p>
              </w:tc>
              <w:tc>
                <w:tcPr>
                  <w:tcW w:w="510" w:type="pct"/>
                  <w:gridSpan w:val="2"/>
                  <w:tcBorders>
                    <w:left w:val="single" w:color="auto" w:sz="4" w:space="0"/>
                    <w:right w:val="single" w:color="auto" w:sz="4" w:space="0"/>
                  </w:tcBorders>
                  <w:vAlign w:val="center"/>
                </w:tcPr>
                <w:p>
                  <w:pPr>
                    <w:pStyle w:val="57"/>
                  </w:pPr>
                  <w:r>
                    <w:t>应急池</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snapToGrid w:val="0"/>
                      <w:kern w:val="0"/>
                      <w:sz w:val="21"/>
                      <w:szCs w:val="21"/>
                      <w:highlight w:val="yellow"/>
                    </w:rPr>
                  </w:pPr>
                  <w:r>
                    <w:rPr>
                      <w:snapToGrid w:val="0"/>
                      <w:kern w:val="0"/>
                      <w:sz w:val="21"/>
                      <w:szCs w:val="21"/>
                    </w:rPr>
                    <w:t>1座，位于井场外</w:t>
                  </w:r>
                  <w:r>
                    <w:rPr>
                      <w:rFonts w:hint="eastAsia"/>
                      <w:snapToGrid w:val="0"/>
                      <w:kern w:val="0"/>
                      <w:sz w:val="21"/>
                      <w:szCs w:val="21"/>
                    </w:rPr>
                    <w:t>东</w:t>
                  </w:r>
                  <w:r>
                    <w:rPr>
                      <w:snapToGrid w:val="0"/>
                      <w:kern w:val="0"/>
                      <w:sz w:val="21"/>
                      <w:szCs w:val="21"/>
                    </w:rPr>
                    <w:t>侧，有效容积500m</w:t>
                  </w:r>
                  <w:r>
                    <w:rPr>
                      <w:snapToGrid w:val="0"/>
                      <w:kern w:val="0"/>
                      <w:sz w:val="21"/>
                      <w:szCs w:val="21"/>
                      <w:vertAlign w:val="superscript"/>
                    </w:rPr>
                    <w:t>3</w:t>
                  </w:r>
                  <w:r>
                    <w:rPr>
                      <w:snapToGrid w:val="0"/>
                      <w:kern w:val="0"/>
                      <w:sz w:val="21"/>
                      <w:szCs w:val="21"/>
                    </w:rPr>
                    <w:t>，分两格，容积分别为200m</w:t>
                  </w:r>
                  <w:r>
                    <w:rPr>
                      <w:snapToGrid w:val="0"/>
                      <w:kern w:val="0"/>
                      <w:sz w:val="21"/>
                      <w:szCs w:val="21"/>
                      <w:vertAlign w:val="superscript"/>
                    </w:rPr>
                    <w:t>3</w:t>
                  </w:r>
                  <w:r>
                    <w:rPr>
                      <w:snapToGrid w:val="0"/>
                      <w:kern w:val="0"/>
                      <w:sz w:val="21"/>
                      <w:szCs w:val="21"/>
                    </w:rPr>
                    <w:t>（10.5m×6m×3m）和300m</w:t>
                  </w:r>
                  <w:r>
                    <w:rPr>
                      <w:snapToGrid w:val="0"/>
                      <w:kern w:val="0"/>
                      <w:sz w:val="21"/>
                      <w:szCs w:val="21"/>
                      <w:vertAlign w:val="superscript"/>
                    </w:rPr>
                    <w:t>3</w:t>
                  </w:r>
                  <w:r>
                    <w:rPr>
                      <w:snapToGrid w:val="0"/>
                      <w:kern w:val="0"/>
                      <w:sz w:val="21"/>
                      <w:szCs w:val="21"/>
                    </w:rPr>
                    <w:t>（10.5m×9.3m×3m）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bottom w:val="single" w:color="auto" w:sz="4" w:space="0"/>
                    <w:right w:val="single" w:color="auto" w:sz="4" w:space="0"/>
                  </w:tcBorders>
                  <w:vAlign w:val="center"/>
                </w:tcPr>
                <w:p>
                  <w:pPr>
                    <w:pStyle w:val="57"/>
                  </w:pPr>
                </w:p>
              </w:tc>
              <w:tc>
                <w:tcPr>
                  <w:tcW w:w="510" w:type="pct"/>
                  <w:gridSpan w:val="2"/>
                  <w:tcBorders>
                    <w:left w:val="single" w:color="auto" w:sz="4" w:space="0"/>
                    <w:bottom w:val="single" w:color="auto" w:sz="4" w:space="0"/>
                    <w:right w:val="single" w:color="auto" w:sz="4" w:space="0"/>
                  </w:tcBorders>
                  <w:vAlign w:val="center"/>
                </w:tcPr>
                <w:p>
                  <w:pPr>
                    <w:pStyle w:val="57"/>
                  </w:pPr>
                  <w:r>
                    <w:t>隔油池</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snapToGrid w:val="0"/>
                      <w:kern w:val="0"/>
                      <w:sz w:val="21"/>
                      <w:szCs w:val="21"/>
                      <w:highlight w:val="yellow"/>
                    </w:rPr>
                  </w:pPr>
                  <w:r>
                    <w:rPr>
                      <w:snapToGrid w:val="0"/>
                      <w:kern w:val="0"/>
                      <w:sz w:val="21"/>
                      <w:szCs w:val="21"/>
                    </w:rPr>
                    <w:t>7个隔油池，其中4个容积为4m</w:t>
                  </w:r>
                  <w:r>
                    <w:rPr>
                      <w:snapToGrid w:val="0"/>
                      <w:kern w:val="0"/>
                      <w:sz w:val="21"/>
                      <w:szCs w:val="21"/>
                      <w:vertAlign w:val="superscript"/>
                    </w:rPr>
                    <w:t>3</w:t>
                  </w:r>
                  <w:r>
                    <w:rPr>
                      <w:snapToGrid w:val="0"/>
                      <w:kern w:val="0"/>
                      <w:sz w:val="21"/>
                      <w:szCs w:val="21"/>
                    </w:rPr>
                    <w:t>/个，分别位于井场四角，油罐区、泥浆储备罐区各1个，容积4m</w:t>
                  </w:r>
                  <w:r>
                    <w:rPr>
                      <w:snapToGrid w:val="0"/>
                      <w:kern w:val="0"/>
                      <w:sz w:val="21"/>
                      <w:szCs w:val="21"/>
                      <w:vertAlign w:val="superscript"/>
                    </w:rPr>
                    <w:t>3</w:t>
                  </w:r>
                  <w:r>
                    <w:rPr>
                      <w:snapToGrid w:val="0"/>
                      <w:kern w:val="0"/>
                      <w:sz w:val="21"/>
                      <w:szCs w:val="21"/>
                    </w:rPr>
                    <w:t>/个；1个20m</w:t>
                  </w:r>
                  <w:r>
                    <w:rPr>
                      <w:snapToGrid w:val="0"/>
                      <w:kern w:val="0"/>
                      <w:sz w:val="21"/>
                      <w:szCs w:val="21"/>
                      <w:vertAlign w:val="superscript"/>
                    </w:rPr>
                    <w:t>3</w:t>
                  </w:r>
                  <w:r>
                    <w:rPr>
                      <w:snapToGrid w:val="0"/>
                      <w:kern w:val="0"/>
                      <w:sz w:val="21"/>
                      <w:szCs w:val="21"/>
                    </w:rPr>
                    <w:t>，位于生活区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restart"/>
                  <w:tcBorders>
                    <w:top w:val="single" w:color="auto" w:sz="4" w:space="0"/>
                    <w:left w:val="single" w:color="auto" w:sz="4" w:space="0"/>
                    <w:right w:val="single" w:color="auto" w:sz="4" w:space="0"/>
                  </w:tcBorders>
                  <w:vAlign w:val="center"/>
                </w:tcPr>
                <w:p>
                  <w:pPr>
                    <w:pStyle w:val="57"/>
                  </w:pPr>
                  <w:r>
                    <w:t>废气处理</w:t>
                  </w:r>
                </w:p>
              </w:tc>
              <w:tc>
                <w:tcPr>
                  <w:tcW w:w="510" w:type="pct"/>
                  <w:gridSpan w:val="2"/>
                  <w:tcBorders>
                    <w:top w:val="single" w:color="auto" w:sz="4" w:space="0"/>
                    <w:left w:val="single" w:color="auto" w:sz="4" w:space="0"/>
                    <w:right w:val="single" w:color="auto" w:sz="4" w:space="0"/>
                  </w:tcBorders>
                  <w:vAlign w:val="center"/>
                </w:tcPr>
                <w:p>
                  <w:pPr>
                    <w:pStyle w:val="57"/>
                  </w:pPr>
                  <w:r>
                    <w:t>测试放喷废气</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snapToGrid w:val="0"/>
                      <w:kern w:val="0"/>
                      <w:sz w:val="21"/>
                      <w:szCs w:val="21"/>
                    </w:rPr>
                  </w:pPr>
                  <w:r>
                    <w:rPr>
                      <w:rFonts w:hint="eastAsia"/>
                      <w:snapToGrid w:val="0"/>
                      <w:kern w:val="0"/>
                      <w:sz w:val="21"/>
                      <w:szCs w:val="21"/>
                    </w:rPr>
                    <w:t>燃烧池内点火燃烧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top w:val="single" w:color="auto" w:sz="4" w:space="0"/>
                    <w:left w:val="single" w:color="auto" w:sz="4" w:space="0"/>
                    <w:right w:val="single" w:color="auto" w:sz="4" w:space="0"/>
                  </w:tcBorders>
                  <w:vAlign w:val="center"/>
                </w:tcPr>
                <w:p>
                  <w:pPr>
                    <w:pStyle w:val="57"/>
                  </w:pPr>
                </w:p>
              </w:tc>
              <w:tc>
                <w:tcPr>
                  <w:tcW w:w="510" w:type="pct"/>
                  <w:gridSpan w:val="2"/>
                  <w:tcBorders>
                    <w:top w:val="single" w:color="auto" w:sz="4" w:space="0"/>
                    <w:left w:val="single" w:color="auto" w:sz="4" w:space="0"/>
                    <w:right w:val="single" w:color="auto" w:sz="4" w:space="0"/>
                  </w:tcBorders>
                  <w:vAlign w:val="center"/>
                </w:tcPr>
                <w:p>
                  <w:pPr>
                    <w:pStyle w:val="57"/>
                  </w:pPr>
                  <w:r>
                    <w:t>柴油机燃烧废气</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snapToGrid w:val="0"/>
                      <w:kern w:val="0"/>
                      <w:sz w:val="21"/>
                      <w:szCs w:val="21"/>
                    </w:rPr>
                  </w:pPr>
                  <w:r>
                    <w:rPr>
                      <w:rFonts w:hint="eastAsia"/>
                      <w:snapToGrid w:val="0"/>
                      <w:kern w:val="0"/>
                      <w:sz w:val="21"/>
                      <w:szCs w:val="21"/>
                    </w:rPr>
                    <w:t>经设备自带排气筒排放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pPr>
                  <w:r>
                    <w:t>降噪措施</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snapToGrid w:val="0"/>
                      <w:kern w:val="0"/>
                      <w:sz w:val="21"/>
                      <w:szCs w:val="21"/>
                    </w:rPr>
                  </w:pPr>
                  <w:r>
                    <w:rPr>
                      <w:rFonts w:hint="eastAsia"/>
                      <w:snapToGrid w:val="0"/>
                      <w:kern w:val="0"/>
                      <w:sz w:val="21"/>
                      <w:szCs w:val="21"/>
                    </w:rPr>
                    <w:t>柴油发电机位于发电房内，安装隔震垫。循环系统振动筛、除砂器、除泥器、离心机等安装隔震垫。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restart"/>
                  <w:tcBorders>
                    <w:top w:val="single" w:color="auto" w:sz="4" w:space="0"/>
                    <w:left w:val="single" w:color="auto" w:sz="4" w:space="0"/>
                    <w:right w:val="single" w:color="auto" w:sz="4" w:space="0"/>
                  </w:tcBorders>
                  <w:vAlign w:val="center"/>
                </w:tcPr>
                <w:p>
                  <w:pPr>
                    <w:pStyle w:val="57"/>
                  </w:pPr>
                  <w:r>
                    <w:t>固体废物处置</w:t>
                  </w:r>
                </w:p>
              </w:tc>
              <w:tc>
                <w:tcPr>
                  <w:tcW w:w="510" w:type="pct"/>
                  <w:gridSpan w:val="2"/>
                  <w:tcBorders>
                    <w:top w:val="single" w:color="auto" w:sz="4" w:space="0"/>
                    <w:left w:val="single" w:color="auto" w:sz="4" w:space="0"/>
                    <w:right w:val="single" w:color="auto" w:sz="4" w:space="0"/>
                  </w:tcBorders>
                  <w:vAlign w:val="center"/>
                </w:tcPr>
                <w:p>
                  <w:pPr>
                    <w:pStyle w:val="57"/>
                  </w:pPr>
                  <w:r>
                    <w:t>岩屑堆放场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jc w:val="both"/>
                  </w:pPr>
                  <w:r>
                    <w:rPr>
                      <w:snapToGrid w:val="0"/>
                    </w:rPr>
                    <w:t>失效水基泥浆、水基岩屑收集脱水固化后暂存于清洁化操作平台岩屑堆放场（90m</w:t>
                  </w:r>
                  <w:r>
                    <w:rPr>
                      <w:snapToGrid w:val="0"/>
                      <w:vertAlign w:val="superscript"/>
                    </w:rPr>
                    <w:t>2</w:t>
                  </w:r>
                  <w:r>
                    <w:rPr>
                      <w:snapToGrid w:val="0"/>
                    </w:rPr>
                    <w:t>），预处理后外运资源化处理</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right w:val="single" w:color="auto" w:sz="4" w:space="0"/>
                  </w:tcBorders>
                  <w:vAlign w:val="center"/>
                </w:tcPr>
                <w:p>
                  <w:pPr>
                    <w:pStyle w:val="57"/>
                  </w:pPr>
                </w:p>
              </w:tc>
              <w:tc>
                <w:tcPr>
                  <w:tcW w:w="510" w:type="pct"/>
                  <w:gridSpan w:val="2"/>
                  <w:vMerge w:val="restart"/>
                  <w:tcBorders>
                    <w:left w:val="single" w:color="auto" w:sz="4" w:space="0"/>
                    <w:right w:val="single" w:color="auto" w:sz="4" w:space="0"/>
                  </w:tcBorders>
                  <w:vAlign w:val="center"/>
                </w:tcPr>
                <w:p>
                  <w:pPr>
                    <w:pStyle w:val="57"/>
                  </w:pPr>
                  <w:r>
                    <w:t>危废暂存间</w:t>
                  </w:r>
                </w:p>
              </w:tc>
              <w:tc>
                <w:tcPr>
                  <w:tcW w:w="3728" w:type="pct"/>
                  <w:gridSpan w:val="2"/>
                  <w:tcBorders>
                    <w:top w:val="single" w:color="auto" w:sz="4" w:space="0"/>
                    <w:left w:val="single" w:color="auto" w:sz="4" w:space="0"/>
                    <w:right w:val="single" w:color="auto" w:sz="4" w:space="0"/>
                  </w:tcBorders>
                  <w:vAlign w:val="center"/>
                </w:tcPr>
                <w:p>
                  <w:pPr>
                    <w:pStyle w:val="57"/>
                    <w:jc w:val="both"/>
                  </w:pPr>
                  <w:r>
                    <w:t>油基岩屑收集后暂存于危废暂存间（60m</w:t>
                  </w:r>
                  <w:r>
                    <w:rPr>
                      <w:vertAlign w:val="superscript"/>
                    </w:rPr>
                    <w:t>2</w:t>
                  </w:r>
                  <w:r>
                    <w:t>），交由有危废处理资质单位处置；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right w:val="single" w:color="auto" w:sz="4" w:space="0"/>
                  </w:tcBorders>
                  <w:vAlign w:val="center"/>
                </w:tcPr>
                <w:p>
                  <w:pPr>
                    <w:pStyle w:val="57"/>
                  </w:pPr>
                </w:p>
              </w:tc>
              <w:tc>
                <w:tcPr>
                  <w:tcW w:w="510" w:type="pct"/>
                  <w:gridSpan w:val="2"/>
                  <w:vMerge w:val="continue"/>
                  <w:tcBorders>
                    <w:left w:val="single" w:color="auto" w:sz="4" w:space="0"/>
                    <w:right w:val="single" w:color="auto" w:sz="4" w:space="0"/>
                  </w:tcBorders>
                  <w:vAlign w:val="center"/>
                </w:tcPr>
                <w:p>
                  <w:pPr>
                    <w:pStyle w:val="57"/>
                  </w:pPr>
                </w:p>
              </w:tc>
              <w:tc>
                <w:tcPr>
                  <w:tcW w:w="3728" w:type="pct"/>
                  <w:gridSpan w:val="2"/>
                  <w:tcBorders>
                    <w:top w:val="single" w:color="auto" w:sz="4" w:space="0"/>
                    <w:left w:val="single" w:color="auto" w:sz="4" w:space="0"/>
                    <w:right w:val="single" w:color="auto" w:sz="4" w:space="0"/>
                  </w:tcBorders>
                  <w:vAlign w:val="center"/>
                </w:tcPr>
                <w:p>
                  <w:pPr>
                    <w:pStyle w:val="57"/>
                    <w:jc w:val="both"/>
                  </w:pPr>
                  <w:r>
                    <w:t>钻井机械设备润滑、保养产生的废油，设置2个废油桶，0.2m</w:t>
                  </w:r>
                  <w:r>
                    <w:rPr>
                      <w:vertAlign w:val="superscript"/>
                    </w:rPr>
                    <w:t>3</w:t>
                  </w:r>
                  <w:r>
                    <w:t>/个，收集项目产生的油类；</w:t>
                  </w:r>
                  <w:r>
                    <w:rPr>
                      <w:rFonts w:hint="eastAsia"/>
                    </w:rPr>
                    <w:t>废油由企业内部资源化利用，</w:t>
                  </w:r>
                  <w:r>
                    <w:t>含油废棉纱、手套暂存于危废暂存间暂存后交有资质单位处置；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340" w:type="pct"/>
                  <w:vMerge w:val="continue"/>
                  <w:tcBorders>
                    <w:left w:val="single" w:color="auto" w:sz="4" w:space="0"/>
                    <w:right w:val="single" w:color="auto" w:sz="4" w:space="0"/>
                  </w:tcBorders>
                  <w:vAlign w:val="center"/>
                </w:tcPr>
                <w:p>
                  <w:pPr>
                    <w:pStyle w:val="57"/>
                  </w:pPr>
                </w:p>
              </w:tc>
              <w:tc>
                <w:tcPr>
                  <w:tcW w:w="510" w:type="pct"/>
                  <w:gridSpan w:val="2"/>
                  <w:tcBorders>
                    <w:left w:val="single" w:color="auto" w:sz="4" w:space="0"/>
                    <w:right w:val="single" w:color="auto" w:sz="4" w:space="0"/>
                  </w:tcBorders>
                  <w:vAlign w:val="center"/>
                </w:tcPr>
                <w:p>
                  <w:pPr>
                    <w:pStyle w:val="57"/>
                    <w:jc w:val="both"/>
                  </w:pPr>
                  <w:r>
                    <w:t>生活垃圾箱</w:t>
                  </w:r>
                </w:p>
              </w:tc>
              <w:tc>
                <w:tcPr>
                  <w:tcW w:w="3728" w:type="pct"/>
                  <w:gridSpan w:val="2"/>
                  <w:tcBorders>
                    <w:top w:val="single" w:color="auto" w:sz="4" w:space="0"/>
                    <w:left w:val="single" w:color="auto" w:sz="4" w:space="0"/>
                    <w:right w:val="single" w:color="auto" w:sz="4" w:space="0"/>
                  </w:tcBorders>
                  <w:vAlign w:val="center"/>
                </w:tcPr>
                <w:p>
                  <w:pPr>
                    <w:pStyle w:val="57"/>
                    <w:jc w:val="both"/>
                  </w:pPr>
                  <w:r>
                    <w:t>井场区域和生活区各设1个，定期清运交当地环卫部门统一处理；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pPr>
                  <w:r>
                    <w:t>分区防渗</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pPr>
                  <w:r>
                    <w:rPr>
                      <w:rFonts w:hint="eastAsia" w:hAnsi="宋体"/>
                      <w:snapToGrid w:val="0"/>
                    </w:rPr>
                    <w:t>对方井</w:t>
                  </w:r>
                  <w:r>
                    <w:rPr>
                      <w:rFonts w:hint="eastAsia"/>
                      <w:snapToGrid w:val="0"/>
                    </w:rPr>
                    <w:t>、钻井基础、循环罐区、清洁化操作平台（包括临时堆放区）、应急池、集酸池（集酸沟）、燃烧池、隔油池、发电房基础、柴油罐区、危废暂存间、</w:t>
                  </w:r>
                  <w:r>
                    <w:rPr>
                      <w:rFonts w:hint="eastAsia" w:hAnsi="宋体"/>
                      <w:snapToGrid w:val="0"/>
                    </w:rPr>
                    <w:t>泥浆储备罐区等区域采取重点防渗，对出重点防渗之外的井场、清污分流区域采取一般防渗措施。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vMerge w:val="continue"/>
                  <w:tcBorders>
                    <w:left w:val="single" w:color="auto" w:sz="4" w:space="0"/>
                    <w:right w:val="single" w:color="auto" w:sz="4" w:space="0"/>
                  </w:tcBorders>
                  <w:vAlign w:val="center"/>
                </w:tcPr>
                <w:p>
                  <w:pPr>
                    <w:pStyle w:val="37"/>
                    <w:spacing w:before="24" w:after="24"/>
                    <w:ind w:firstLine="420"/>
                    <w:rPr>
                      <w:rFonts w:ascii="Times New Roman"/>
                      <w:sz w:val="21"/>
                      <w:szCs w:val="21"/>
                    </w:rPr>
                  </w:pPr>
                </w:p>
              </w:tc>
              <w:tc>
                <w:tcPr>
                  <w:tcW w:w="850" w:type="pct"/>
                  <w:gridSpan w:val="3"/>
                  <w:tcBorders>
                    <w:top w:val="single" w:color="auto" w:sz="4" w:space="0"/>
                    <w:left w:val="single" w:color="auto" w:sz="4" w:space="0"/>
                    <w:bottom w:val="single" w:color="auto" w:sz="4" w:space="0"/>
                    <w:right w:val="single" w:color="auto" w:sz="4" w:space="0"/>
                  </w:tcBorders>
                  <w:vAlign w:val="center"/>
                </w:tcPr>
                <w:p>
                  <w:pPr>
                    <w:pStyle w:val="57"/>
                  </w:pPr>
                  <w:r>
                    <w:t>耕植土堆放场</w:t>
                  </w:r>
                </w:p>
              </w:tc>
              <w:tc>
                <w:tcPr>
                  <w:tcW w:w="3728" w:type="pct"/>
                  <w:gridSpan w:val="2"/>
                  <w:tcBorders>
                    <w:top w:val="single" w:color="auto" w:sz="4" w:space="0"/>
                    <w:left w:val="single" w:color="auto" w:sz="4" w:space="0"/>
                    <w:bottom w:val="single" w:color="auto" w:sz="4" w:space="0"/>
                    <w:right w:val="single" w:color="auto" w:sz="4" w:space="0"/>
                  </w:tcBorders>
                  <w:vAlign w:val="center"/>
                </w:tcPr>
                <w:p>
                  <w:pPr>
                    <w:pStyle w:val="57"/>
                  </w:pPr>
                  <w:r>
                    <w:rPr>
                      <w:rFonts w:hint="eastAsia"/>
                    </w:rPr>
                    <w:t>1处，</w:t>
                  </w:r>
                  <w:r>
                    <w:t>耕植土堆放场布设于井场</w:t>
                  </w:r>
                  <w:r>
                    <w:rPr>
                      <w:rFonts w:hint="eastAsia"/>
                    </w:rPr>
                    <w:t>东北</w:t>
                  </w:r>
                  <w:r>
                    <w:t>侧，占地面积为2666.40m</w:t>
                  </w:r>
                  <w:r>
                    <w:rPr>
                      <w:vertAlign w:val="superscript"/>
                    </w:rPr>
                    <w:t>2</w:t>
                  </w:r>
                  <w:r>
                    <w:t>，主要用于暂存表土，表层耕作土分层剥离，用于后期覆土绿化；</w:t>
                  </w:r>
                </w:p>
              </w:tc>
            </w:tr>
          </w:tbl>
          <w:p>
            <w:pPr>
              <w:adjustRightInd w:val="0"/>
              <w:snapToGrid w:val="0"/>
              <w:ind w:firstLine="422"/>
              <w:rPr>
                <w:b/>
                <w:snapToGrid w:val="0"/>
                <w:kern w:val="0"/>
                <w:sz w:val="21"/>
                <w:szCs w:val="21"/>
              </w:rPr>
            </w:pPr>
            <w:r>
              <w:rPr>
                <w:b/>
                <w:snapToGrid w:val="0"/>
                <w:kern w:val="0"/>
                <w:sz w:val="21"/>
                <w:szCs w:val="21"/>
              </w:rPr>
              <w:t>3</w:t>
            </w:r>
            <w:r>
              <w:rPr>
                <w:rFonts w:hint="eastAsia"/>
                <w:b/>
                <w:snapToGrid w:val="0"/>
                <w:kern w:val="0"/>
                <w:sz w:val="21"/>
                <w:szCs w:val="21"/>
              </w:rPr>
              <w:t>、工程建设设施</w:t>
            </w:r>
          </w:p>
          <w:p>
            <w:pPr>
              <w:adjustRightInd w:val="0"/>
              <w:snapToGrid w:val="0"/>
              <w:ind w:firstLine="420"/>
              <w:rPr>
                <w:kern w:val="0"/>
                <w:sz w:val="21"/>
                <w:szCs w:val="21"/>
              </w:rPr>
            </w:pPr>
            <w:r>
              <w:rPr>
                <w:rFonts w:hint="eastAsia"/>
                <w:snapToGrid w:val="0"/>
                <w:kern w:val="0"/>
                <w:sz w:val="21"/>
                <w:szCs w:val="21"/>
              </w:rPr>
              <w:t>平安</w:t>
            </w:r>
            <w:r>
              <w:rPr>
                <w:snapToGrid w:val="0"/>
                <w:kern w:val="0"/>
                <w:sz w:val="21"/>
                <w:szCs w:val="21"/>
              </w:rPr>
              <w:t>7井</w:t>
            </w:r>
            <w:r>
              <w:rPr>
                <w:rFonts w:hint="eastAsia"/>
                <w:snapToGrid w:val="0"/>
                <w:kern w:val="0"/>
                <w:sz w:val="21"/>
                <w:szCs w:val="21"/>
              </w:rPr>
              <w:t>钻井工程主体工程建设设施有动力系统、钻井设备、井控装置、救生及消防设施等，钻井设备见表2-3。</w:t>
            </w:r>
          </w:p>
          <w:p>
            <w:pPr>
              <w:adjustRightInd w:val="0"/>
              <w:snapToGrid w:val="0"/>
              <w:ind w:firstLine="0" w:firstLineChars="0"/>
              <w:jc w:val="center"/>
              <w:rPr>
                <w:b/>
                <w:snapToGrid w:val="0"/>
                <w:kern w:val="0"/>
                <w:sz w:val="21"/>
                <w:szCs w:val="21"/>
              </w:rPr>
            </w:pPr>
            <w:r>
              <w:rPr>
                <w:rFonts w:hint="eastAsia"/>
                <w:b/>
                <w:snapToGrid w:val="0"/>
                <w:kern w:val="0"/>
                <w:sz w:val="21"/>
                <w:szCs w:val="21"/>
              </w:rPr>
              <w:t>表2-3   主要钻井设备一览表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592"/>
              <w:gridCol w:w="1502"/>
              <w:gridCol w:w="2009"/>
              <w:gridCol w:w="1829"/>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0"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序号</w:t>
                  </w: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名称</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规格型号</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主要技术参数</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一</w:t>
                  </w: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钻机</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ZJ－50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二</w:t>
                  </w:r>
                </w:p>
              </w:tc>
              <w:tc>
                <w:tcPr>
                  <w:tcW w:w="1245" w:type="pct"/>
                  <w:gridSpan w:val="2"/>
                  <w:tcBorders>
                    <w:bottom w:val="nil"/>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井架</w:t>
                  </w:r>
                </w:p>
              </w:tc>
              <w:tc>
                <w:tcPr>
                  <w:tcW w:w="119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JJ315/45－K</w:t>
                  </w:r>
                </w:p>
              </w:tc>
              <w:tc>
                <w:tcPr>
                  <w:tcW w:w="1087"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最大载荷3150kN</w:t>
                  </w:r>
                </w:p>
              </w:tc>
              <w:tc>
                <w:tcPr>
                  <w:tcW w:w="118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三</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提升</w:t>
                  </w:r>
                </w:p>
                <w:p>
                  <w:pPr>
                    <w:adjustRightInd w:val="0"/>
                    <w:snapToGrid w:val="0"/>
                    <w:spacing w:line="240" w:lineRule="auto"/>
                    <w:ind w:firstLine="0" w:firstLineChars="0"/>
                    <w:jc w:val="center"/>
                    <w:rPr>
                      <w:snapToGrid w:val="0"/>
                      <w:kern w:val="0"/>
                      <w:sz w:val="21"/>
                      <w:szCs w:val="21"/>
                    </w:rPr>
                  </w:pPr>
                  <w:r>
                    <w:rPr>
                      <w:snapToGrid w:val="0"/>
                      <w:kern w:val="0"/>
                      <w:sz w:val="21"/>
                      <w:szCs w:val="21"/>
                    </w:rPr>
                    <w:t>系统</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绞车</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JC－50D</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快绳拉力340kN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天车</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TC－315</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最大载荷3150kN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游动滑车</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YC－315</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最大载荷3150kN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大钩</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DG－315</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最大载荷3150kN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水龙头</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SL－450－Z</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最大载荷4500kN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四</w:t>
                  </w: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顶部驱动装置</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DQ70BSD</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最大载荷4500kN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顶驱1套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五</w:t>
                  </w:r>
                </w:p>
              </w:tc>
              <w:tc>
                <w:tcPr>
                  <w:tcW w:w="1245" w:type="pct"/>
                  <w:gridSpan w:val="2"/>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转盘</w:t>
                  </w:r>
                </w:p>
              </w:tc>
              <w:tc>
                <w:tcPr>
                  <w:tcW w:w="119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ZP－375</w:t>
                  </w:r>
                </w:p>
              </w:tc>
              <w:tc>
                <w:tcPr>
                  <w:tcW w:w="1087"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开口直径952mm</w:t>
                  </w:r>
                </w:p>
              </w:tc>
              <w:tc>
                <w:tcPr>
                  <w:tcW w:w="118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六</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循环</w:t>
                  </w:r>
                </w:p>
                <w:p>
                  <w:pPr>
                    <w:adjustRightInd w:val="0"/>
                    <w:snapToGrid w:val="0"/>
                    <w:spacing w:line="240" w:lineRule="auto"/>
                    <w:ind w:firstLine="0" w:firstLineChars="0"/>
                    <w:jc w:val="center"/>
                    <w:rPr>
                      <w:snapToGrid w:val="0"/>
                      <w:kern w:val="0"/>
                      <w:sz w:val="21"/>
                      <w:szCs w:val="21"/>
                    </w:rPr>
                  </w:pPr>
                  <w:r>
                    <w:rPr>
                      <w:snapToGrid w:val="0"/>
                      <w:kern w:val="0"/>
                      <w:sz w:val="21"/>
                      <w:szCs w:val="21"/>
                    </w:rPr>
                    <w:t>系统</w:t>
                  </w:r>
                </w:p>
                <w:p>
                  <w:pPr>
                    <w:adjustRightInd w:val="0"/>
                    <w:snapToGrid w:val="0"/>
                    <w:spacing w:line="240" w:lineRule="auto"/>
                    <w:ind w:firstLine="0" w:firstLineChars="0"/>
                    <w:jc w:val="center"/>
                    <w:rPr>
                      <w:snapToGrid w:val="0"/>
                      <w:kern w:val="0"/>
                      <w:sz w:val="21"/>
                      <w:szCs w:val="21"/>
                    </w:rPr>
                  </w:pPr>
                  <w:r>
                    <w:rPr>
                      <w:snapToGrid w:val="0"/>
                      <w:kern w:val="0"/>
                      <w:sz w:val="21"/>
                      <w:szCs w:val="21"/>
                    </w:rPr>
                    <w:t>配置</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钻井泵1#</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F－1600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1600HP</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钻井泵2#</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F－1600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1600HP</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钻井泵3#</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F－1600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1600HP</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计量罐</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vertAlign w:val="superscript"/>
                    </w:rPr>
                  </w:pPr>
                  <w:r>
                    <w:rPr>
                      <w:snapToGrid w:val="0"/>
                      <w:kern w:val="0"/>
                      <w:sz w:val="21"/>
                      <w:szCs w:val="21"/>
                    </w:rPr>
                    <w:t>20m</w:t>
                  </w:r>
                  <w:r>
                    <w:rPr>
                      <w:snapToGrid w:val="0"/>
                      <w:kern w:val="0"/>
                      <w:sz w:val="21"/>
                      <w:szCs w:val="21"/>
                      <w:vertAlign w:val="superscript"/>
                    </w:rPr>
                    <w:t>3</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钻井液罐</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350m</w:t>
                  </w:r>
                  <w:r>
                    <w:rPr>
                      <w:snapToGrid w:val="0"/>
                      <w:kern w:val="0"/>
                      <w:sz w:val="21"/>
                      <w:szCs w:val="21"/>
                      <w:vertAlign w:val="superscript"/>
                    </w:rPr>
                    <w:t>3</w:t>
                  </w:r>
                  <w:r>
                    <w:rPr>
                      <w:snapToGrid w:val="0"/>
                      <w:kern w:val="0"/>
                      <w:sz w:val="21"/>
                      <w:szCs w:val="21"/>
                    </w:rPr>
                    <w:t>(循环罐)</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钻井液储备罐</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300m</w:t>
                  </w:r>
                  <w:r>
                    <w:rPr>
                      <w:snapToGrid w:val="0"/>
                      <w:kern w:val="0"/>
                      <w:sz w:val="21"/>
                      <w:szCs w:val="21"/>
                      <w:vertAlign w:val="superscript"/>
                    </w:rPr>
                    <w:t>3</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七</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动力</w:t>
                  </w:r>
                </w:p>
                <w:p>
                  <w:pPr>
                    <w:adjustRightInd w:val="0"/>
                    <w:snapToGrid w:val="0"/>
                    <w:spacing w:line="240" w:lineRule="auto"/>
                    <w:ind w:firstLine="0" w:firstLineChars="0"/>
                    <w:jc w:val="center"/>
                    <w:rPr>
                      <w:snapToGrid w:val="0"/>
                      <w:kern w:val="0"/>
                      <w:sz w:val="21"/>
                      <w:szCs w:val="21"/>
                    </w:rPr>
                  </w:pPr>
                  <w:r>
                    <w:rPr>
                      <w:snapToGrid w:val="0"/>
                      <w:kern w:val="0"/>
                      <w:sz w:val="21"/>
                      <w:szCs w:val="21"/>
                    </w:rPr>
                    <w:t>系统</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直流电动机</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YZ08</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800kW</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柴油机发电机</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G12V190/ZLD</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1200HP</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4台（</w:t>
                  </w:r>
                  <w:r>
                    <w:rPr>
                      <w:rFonts w:hint="eastAsia"/>
                      <w:snapToGrid w:val="0"/>
                      <w:kern w:val="0"/>
                      <w:sz w:val="21"/>
                      <w:szCs w:val="21"/>
                    </w:rPr>
                    <w:t>3用1备</w:t>
                  </w: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八</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钻机控制系统</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螺杆压缩机</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XK06/10LGFD－6/10X</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处理量6m</w:t>
                  </w:r>
                  <w:r>
                    <w:rPr>
                      <w:snapToGrid w:val="0"/>
                      <w:kern w:val="0"/>
                      <w:sz w:val="21"/>
                      <w:szCs w:val="21"/>
                      <w:vertAlign w:val="superscript"/>
                    </w:rPr>
                    <w:t>3</w:t>
                  </w:r>
                  <w:r>
                    <w:rPr>
                      <w:snapToGrid w:val="0"/>
                      <w:kern w:val="0"/>
                      <w:sz w:val="21"/>
                      <w:szCs w:val="21"/>
                    </w:rPr>
                    <w:t>/min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气源净化装置</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SAD-6F</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处理量6m</w:t>
                  </w:r>
                  <w:r>
                    <w:rPr>
                      <w:snapToGrid w:val="0"/>
                      <w:kern w:val="0"/>
                      <w:sz w:val="21"/>
                      <w:szCs w:val="21"/>
                      <w:vertAlign w:val="superscript"/>
                    </w:rPr>
                    <w:t>3</w:t>
                  </w:r>
                  <w:r>
                    <w:rPr>
                      <w:snapToGrid w:val="0"/>
                      <w:kern w:val="0"/>
                      <w:sz w:val="21"/>
                      <w:szCs w:val="21"/>
                    </w:rPr>
                    <w:t>/min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刹车系统</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FDWS－50D</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最大转矩110kN·m</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九</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钻井液净化及处理系统</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振动筛</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BL－50高·直</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除砂器</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NQJ－250×2</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处理量200m</w:t>
                  </w:r>
                  <w:r>
                    <w:rPr>
                      <w:snapToGrid w:val="0"/>
                      <w:kern w:val="0"/>
                      <w:sz w:val="21"/>
                      <w:szCs w:val="21"/>
                      <w:vertAlign w:val="superscript"/>
                    </w:rPr>
                    <w:t>3</w:t>
                  </w:r>
                  <w:r>
                    <w:rPr>
                      <w:snapToGrid w:val="0"/>
                      <w:kern w:val="0"/>
                      <w:sz w:val="21"/>
                      <w:szCs w:val="21"/>
                    </w:rPr>
                    <w:t>/h</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除泥器</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NQJ－100×10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处理量200m</w:t>
                  </w:r>
                  <w:r>
                    <w:rPr>
                      <w:snapToGrid w:val="0"/>
                      <w:kern w:val="0"/>
                      <w:sz w:val="21"/>
                      <w:szCs w:val="21"/>
                      <w:vertAlign w:val="superscript"/>
                    </w:rPr>
                    <w:t>3</w:t>
                  </w:r>
                  <w:r>
                    <w:rPr>
                      <w:snapToGrid w:val="0"/>
                      <w:kern w:val="0"/>
                      <w:sz w:val="21"/>
                      <w:szCs w:val="21"/>
                    </w:rPr>
                    <w:t>/h</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离心机1#</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SWACO-518</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vertAlign w:val="superscript"/>
                    </w:rPr>
                  </w:pPr>
                  <w:r>
                    <w:rPr>
                      <w:snapToGrid w:val="0"/>
                      <w:kern w:val="0"/>
                      <w:sz w:val="21"/>
                      <w:szCs w:val="21"/>
                    </w:rPr>
                    <w:t>处理量60m</w:t>
                  </w:r>
                  <w:r>
                    <w:rPr>
                      <w:snapToGrid w:val="0"/>
                      <w:kern w:val="0"/>
                      <w:sz w:val="21"/>
                      <w:szCs w:val="21"/>
                      <w:vertAlign w:val="superscript"/>
                    </w:rPr>
                    <w:t>3</w:t>
                  </w:r>
                  <w:r>
                    <w:rPr>
                      <w:snapToGrid w:val="0"/>
                      <w:kern w:val="0"/>
                      <w:sz w:val="21"/>
                      <w:szCs w:val="21"/>
                    </w:rPr>
                    <w:t>/h</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离心机2#</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LW-500×1250-N</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处理量40m</w:t>
                  </w:r>
                  <w:r>
                    <w:rPr>
                      <w:snapToGrid w:val="0"/>
                      <w:kern w:val="0"/>
                      <w:sz w:val="21"/>
                      <w:szCs w:val="21"/>
                      <w:vertAlign w:val="superscript"/>
                    </w:rPr>
                    <w:t>3</w:t>
                  </w:r>
                  <w:r>
                    <w:rPr>
                      <w:snapToGrid w:val="0"/>
                      <w:kern w:val="0"/>
                      <w:sz w:val="21"/>
                      <w:szCs w:val="21"/>
                    </w:rPr>
                    <w:t>/h</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液器分离器</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YQF-8000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处理量8000m</w:t>
                  </w:r>
                  <w:r>
                    <w:rPr>
                      <w:snapToGrid w:val="0"/>
                      <w:kern w:val="0"/>
                      <w:sz w:val="21"/>
                      <w:szCs w:val="21"/>
                      <w:vertAlign w:val="superscript"/>
                    </w:rPr>
                    <w:t>3</w:t>
                  </w:r>
                  <w:r>
                    <w:rPr>
                      <w:snapToGrid w:val="0"/>
                      <w:kern w:val="0"/>
                      <w:sz w:val="21"/>
                      <w:szCs w:val="21"/>
                    </w:rPr>
                    <w:t>/d</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Borders>
                    <w:left w:val="single" w:color="auto" w:sz="4" w:space="0"/>
                    <w:bottom w:val="single" w:color="auto" w:sz="4" w:space="0"/>
                    <w:right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混合加重漏斗</w:t>
                  </w:r>
                </w:p>
              </w:tc>
              <w:tc>
                <w:tcPr>
                  <w:tcW w:w="119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HQ-200</w:t>
                  </w:r>
                </w:p>
              </w:tc>
              <w:tc>
                <w:tcPr>
                  <w:tcW w:w="1087"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处理量200m</w:t>
                  </w:r>
                  <w:r>
                    <w:rPr>
                      <w:snapToGrid w:val="0"/>
                      <w:kern w:val="0"/>
                      <w:sz w:val="21"/>
                      <w:szCs w:val="21"/>
                      <w:vertAlign w:val="superscript"/>
                    </w:rPr>
                    <w:t>3</w:t>
                  </w:r>
                  <w:r>
                    <w:rPr>
                      <w:snapToGrid w:val="0"/>
                      <w:kern w:val="0"/>
                      <w:sz w:val="21"/>
                      <w:szCs w:val="21"/>
                    </w:rPr>
                    <w:t>/h</w:t>
                  </w:r>
                </w:p>
              </w:tc>
              <w:tc>
                <w:tcPr>
                  <w:tcW w:w="1184" w:type="pct"/>
                  <w:tcBorders>
                    <w:bottom w:val="single" w:color="auto" w:sz="4" w:space="0"/>
                  </w:tcBorders>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十</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仪器</w:t>
                  </w:r>
                </w:p>
                <w:p>
                  <w:pPr>
                    <w:adjustRightInd w:val="0"/>
                    <w:snapToGrid w:val="0"/>
                    <w:spacing w:line="240" w:lineRule="auto"/>
                    <w:ind w:firstLine="0" w:firstLineChars="0"/>
                    <w:jc w:val="center"/>
                    <w:rPr>
                      <w:snapToGrid w:val="0"/>
                      <w:kern w:val="0"/>
                      <w:sz w:val="21"/>
                      <w:szCs w:val="21"/>
                    </w:rPr>
                  </w:pPr>
                  <w:r>
                    <w:rPr>
                      <w:snapToGrid w:val="0"/>
                      <w:kern w:val="0"/>
                      <w:sz w:val="21"/>
                      <w:szCs w:val="21"/>
                    </w:rPr>
                    <w:t>仪表</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钻井参数仪表</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M/DTOTCO</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0~4300kN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含死绳固定器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测斜仪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BXJ－4</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测斜绞车</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十一</w:t>
                  </w:r>
                </w:p>
              </w:tc>
              <w:tc>
                <w:tcPr>
                  <w:tcW w:w="352"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井口</w:t>
                  </w:r>
                </w:p>
                <w:p>
                  <w:pPr>
                    <w:adjustRightInd w:val="0"/>
                    <w:snapToGrid w:val="0"/>
                    <w:spacing w:line="240" w:lineRule="auto"/>
                    <w:ind w:firstLine="0" w:firstLineChars="0"/>
                    <w:jc w:val="center"/>
                    <w:rPr>
                      <w:snapToGrid w:val="0"/>
                      <w:kern w:val="0"/>
                      <w:sz w:val="21"/>
                      <w:szCs w:val="21"/>
                    </w:rPr>
                  </w:pPr>
                  <w:r>
                    <w:rPr>
                      <w:snapToGrid w:val="0"/>
                      <w:kern w:val="0"/>
                      <w:sz w:val="21"/>
                      <w:szCs w:val="21"/>
                    </w:rPr>
                    <w:t>机械</w:t>
                  </w: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钻杆动力钳</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ZQ100</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16.6MPa时扭矩100kN·m</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液压套管钳</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TQ－35</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扭矩3.7－21kN·m</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352"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893" w:type="pct"/>
                  <w:tcMar>
                    <w:left w:w="0" w:type="dxa"/>
                    <w:right w:w="0" w:type="dxa"/>
                  </w:tcMar>
                  <w:vAlign w:val="center"/>
                </w:tcPr>
                <w:p>
                  <w:pPr>
                    <w:adjustRightInd w:val="0"/>
                    <w:snapToGrid w:val="0"/>
                    <w:spacing w:line="240" w:lineRule="auto"/>
                    <w:ind w:firstLine="0" w:firstLineChars="0"/>
                    <w:jc w:val="center"/>
                    <w:rPr>
                      <w:snapToGrid w:val="0"/>
                      <w:kern w:val="0"/>
                      <w:sz w:val="21"/>
                      <w:szCs w:val="21"/>
                      <w:vertAlign w:val="superscript"/>
                    </w:rPr>
                  </w:pPr>
                  <w:r>
                    <w:rPr>
                      <w:snapToGrid w:val="0"/>
                      <w:kern w:val="0"/>
                      <w:sz w:val="21"/>
                      <w:szCs w:val="21"/>
                    </w:rPr>
                    <w:t>风动绞车</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提升力50kN</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十</w:t>
                  </w:r>
                  <w:r>
                    <w:rPr>
                      <w:rFonts w:hint="eastAsia"/>
                      <w:snapToGrid w:val="0"/>
                      <w:kern w:val="0"/>
                      <w:sz w:val="21"/>
                      <w:szCs w:val="21"/>
                    </w:rPr>
                    <w:t>二</w:t>
                  </w: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固定式H</w:t>
                  </w:r>
                  <w:r>
                    <w:rPr>
                      <w:snapToGrid w:val="0"/>
                      <w:kern w:val="0"/>
                      <w:sz w:val="21"/>
                      <w:szCs w:val="21"/>
                      <w:vertAlign w:val="subscript"/>
                    </w:rPr>
                    <w:t>2</w:t>
                  </w:r>
                  <w:r>
                    <w:rPr>
                      <w:snapToGrid w:val="0"/>
                      <w:kern w:val="0"/>
                      <w:sz w:val="21"/>
                      <w:szCs w:val="21"/>
                    </w:rPr>
                    <w:t>S监测仪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便携式H</w:t>
                  </w:r>
                  <w:r>
                    <w:rPr>
                      <w:snapToGrid w:val="0"/>
                      <w:kern w:val="0"/>
                      <w:sz w:val="21"/>
                      <w:szCs w:val="21"/>
                      <w:vertAlign w:val="subscript"/>
                    </w:rPr>
                    <w:t>2</w:t>
                  </w:r>
                  <w:r>
                    <w:rPr>
                      <w:snapToGrid w:val="0"/>
                      <w:kern w:val="0"/>
                      <w:sz w:val="21"/>
                      <w:szCs w:val="21"/>
                    </w:rPr>
                    <w:t>S监测仪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0-20PPm</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便携式H</w:t>
                  </w:r>
                  <w:r>
                    <w:rPr>
                      <w:snapToGrid w:val="0"/>
                      <w:kern w:val="0"/>
                      <w:sz w:val="21"/>
                      <w:szCs w:val="21"/>
                      <w:vertAlign w:val="subscript"/>
                    </w:rPr>
                    <w:t>2</w:t>
                  </w:r>
                  <w:r>
                    <w:rPr>
                      <w:snapToGrid w:val="0"/>
                      <w:kern w:val="0"/>
                      <w:sz w:val="21"/>
                      <w:szCs w:val="21"/>
                    </w:rPr>
                    <w:t>S监测仪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0-100PPm</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H</w:t>
                  </w:r>
                  <w:r>
                    <w:rPr>
                      <w:snapToGrid w:val="0"/>
                      <w:kern w:val="0"/>
                      <w:sz w:val="21"/>
                      <w:szCs w:val="21"/>
                      <w:vertAlign w:val="subscript"/>
                    </w:rPr>
                    <w:t>2</w:t>
                  </w:r>
                  <w:r>
                    <w:rPr>
                      <w:snapToGrid w:val="0"/>
                      <w:kern w:val="0"/>
                      <w:sz w:val="21"/>
                      <w:szCs w:val="21"/>
                    </w:rPr>
                    <w:t>S监测仪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≥1000ppm</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tcMar>
                    <w:left w:w="0" w:type="dxa"/>
                    <w:right w:w="0" w:type="dxa"/>
                  </w:tcMar>
                  <w:vAlign w:val="center"/>
                </w:tcPr>
                <w:p>
                  <w:pPr>
                    <w:adjustRightInd w:val="0"/>
                    <w:snapToGrid w:val="0"/>
                    <w:spacing w:line="240" w:lineRule="auto"/>
                    <w:ind w:firstLine="0" w:firstLineChars="0"/>
                    <w:jc w:val="center"/>
                    <w:rPr>
                      <w:snapToGrid w:val="0"/>
                      <w:kern w:val="0"/>
                      <w:sz w:val="21"/>
                      <w:szCs w:val="21"/>
                    </w:rPr>
                  </w:pPr>
                </w:p>
              </w:tc>
              <w:tc>
                <w:tcPr>
                  <w:tcW w:w="1245" w:type="pct"/>
                  <w:gridSpan w:val="2"/>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可燃气体监测仪</w:t>
                  </w:r>
                </w:p>
              </w:tc>
              <w:tc>
                <w:tcPr>
                  <w:tcW w:w="119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tcMar>
                    <w:left w:w="0" w:type="dxa"/>
                    <w:right w:w="0" w:type="dxa"/>
                  </w:tcMar>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空气呼吸器</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15~20套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空气压缩机</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大功率防爆排风扇</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直径应≥600mm</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功率≥0.75KW</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点火装置</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小型汽油发电机</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移动式点火装置</w:t>
                  </w:r>
                </w:p>
                <w:p>
                  <w:pPr>
                    <w:adjustRightInd w:val="0"/>
                    <w:snapToGrid w:val="0"/>
                    <w:spacing w:line="240" w:lineRule="auto"/>
                    <w:ind w:firstLine="0" w:firstLineChars="0"/>
                    <w:jc w:val="center"/>
                    <w:rPr>
                      <w:snapToGrid w:val="0"/>
                      <w:kern w:val="0"/>
                      <w:sz w:val="21"/>
                      <w:szCs w:val="21"/>
                    </w:rPr>
                  </w:pPr>
                  <w:r>
                    <w:rPr>
                      <w:snapToGrid w:val="0"/>
                      <w:kern w:val="0"/>
                      <w:sz w:val="21"/>
                      <w:szCs w:val="21"/>
                    </w:rPr>
                    <w:t>(钻开油气层前配备)</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restar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十</w:t>
                  </w:r>
                  <w:r>
                    <w:rPr>
                      <w:rFonts w:hint="eastAsia"/>
                      <w:snapToGrid w:val="0"/>
                      <w:kern w:val="0"/>
                      <w:sz w:val="21"/>
                      <w:szCs w:val="21"/>
                    </w:rPr>
                    <w:t>三</w:t>
                  </w: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消防房及消防工具</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二层台逃生装置</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0"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45"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钻台紧急滑道</w:t>
                  </w:r>
                </w:p>
              </w:tc>
              <w:tc>
                <w:tcPr>
                  <w:tcW w:w="119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08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1184"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pPr>
                    <w:adjustRightInd w:val="0"/>
                    <w:snapToGrid w:val="0"/>
                    <w:spacing w:line="240" w:lineRule="auto"/>
                    <w:ind w:firstLine="0" w:firstLineChars="0"/>
                    <w:rPr>
                      <w:snapToGrid w:val="0"/>
                      <w:kern w:val="0"/>
                      <w:sz w:val="21"/>
                      <w:szCs w:val="21"/>
                    </w:rPr>
                  </w:pPr>
                  <w:r>
                    <w:rPr>
                      <w:snapToGrid w:val="0"/>
                      <w:kern w:val="0"/>
                      <w:sz w:val="21"/>
                      <w:szCs w:val="21"/>
                    </w:rPr>
                    <w:t>备注：</w:t>
                  </w:r>
                  <w:r>
                    <w:rPr>
                      <w:rFonts w:hint="eastAsia" w:ascii="宋体" w:hAnsi="宋体" w:cs="宋体"/>
                      <w:snapToGrid w:val="0"/>
                      <w:kern w:val="0"/>
                      <w:sz w:val="21"/>
                      <w:szCs w:val="21"/>
                    </w:rPr>
                    <w:t>①</w:t>
                  </w:r>
                  <w:r>
                    <w:rPr>
                      <w:snapToGrid w:val="0"/>
                      <w:kern w:val="0"/>
                      <w:sz w:val="21"/>
                      <w:szCs w:val="21"/>
                    </w:rPr>
                    <w:t>正压式空气呼吸器现场实际配备数量以满足当班作业人员每人1套，并另按另按钻井队人数的20%作备用；</w:t>
                  </w:r>
                </w:p>
              </w:tc>
            </w:tr>
          </w:tbl>
          <w:p>
            <w:pPr>
              <w:adjustRightInd w:val="0"/>
              <w:snapToGrid w:val="0"/>
              <w:ind w:firstLine="422"/>
              <w:rPr>
                <w:b/>
                <w:kern w:val="0"/>
                <w:sz w:val="21"/>
                <w:szCs w:val="21"/>
              </w:rPr>
            </w:pPr>
            <w:r>
              <w:rPr>
                <w:b/>
                <w:kern w:val="0"/>
                <w:sz w:val="21"/>
                <w:szCs w:val="21"/>
              </w:rPr>
              <w:t>4、工程原辅料消耗情况</w:t>
            </w:r>
          </w:p>
          <w:p>
            <w:pPr>
              <w:adjustRightInd w:val="0"/>
              <w:snapToGrid w:val="0"/>
              <w:ind w:firstLine="420"/>
              <w:rPr>
                <w:kern w:val="0"/>
                <w:sz w:val="21"/>
                <w:szCs w:val="21"/>
              </w:rPr>
            </w:pPr>
            <w:r>
              <w:rPr>
                <w:sz w:val="21"/>
                <w:szCs w:val="21"/>
              </w:rPr>
              <w:t>拟建项目采用常规钻井工艺进行钻进，采用</w:t>
            </w:r>
            <w:r>
              <w:rPr>
                <w:rFonts w:hint="eastAsia"/>
                <w:sz w:val="21"/>
                <w:szCs w:val="21"/>
              </w:rPr>
              <w:t>柴油</w:t>
            </w:r>
            <w:r>
              <w:rPr>
                <w:sz w:val="21"/>
                <w:szCs w:val="21"/>
              </w:rPr>
              <w:t>发电机作为钻井动力，消耗的能源主要是柴油，储存在柴油罐内，储罐基础采用混凝土结构基础，四周设置围堰；钻井过程主要的原辅材料是水基泥浆和油基泥浆，油基泥浆不在现场进行配置，由供货厂家配置好分批次运至井场，暂存于泥浆循环系统，水基泥浆采用现场配置，原材料由供货商负责运输至井场，暂存存于原材料堆放区（泥浆循环系统一侧），原材料堆放区设置围堰且地面进行防渗处理。</w:t>
            </w:r>
          </w:p>
          <w:p>
            <w:pPr>
              <w:adjustRightInd w:val="0"/>
              <w:snapToGrid w:val="0"/>
              <w:ind w:firstLine="420"/>
              <w:rPr>
                <w:kern w:val="0"/>
                <w:sz w:val="21"/>
                <w:szCs w:val="21"/>
              </w:rPr>
            </w:pPr>
            <w:r>
              <w:rPr>
                <w:kern w:val="0"/>
                <w:sz w:val="21"/>
                <w:szCs w:val="21"/>
              </w:rPr>
              <w:t>本项目导管采用清水钻，一开</w:t>
            </w:r>
            <w:r>
              <w:rPr>
                <w:rFonts w:hint="eastAsia"/>
                <w:kern w:val="0"/>
                <w:sz w:val="21"/>
                <w:szCs w:val="21"/>
              </w:rPr>
              <w:t>、</w:t>
            </w:r>
            <w:r>
              <w:rPr>
                <w:kern w:val="0"/>
                <w:sz w:val="21"/>
                <w:szCs w:val="21"/>
              </w:rPr>
              <w:t>二开采用水基</w:t>
            </w:r>
            <w:r>
              <w:rPr>
                <w:rFonts w:hint="eastAsia"/>
                <w:kern w:val="0"/>
                <w:sz w:val="21"/>
                <w:szCs w:val="21"/>
              </w:rPr>
              <w:t>钻井液</w:t>
            </w:r>
            <w:r>
              <w:rPr>
                <w:kern w:val="0"/>
                <w:sz w:val="21"/>
                <w:szCs w:val="21"/>
              </w:rPr>
              <w:t>，三开采用油基钻井液。其泥浆体系选择见表2-4。</w:t>
            </w:r>
          </w:p>
          <w:p>
            <w:pPr>
              <w:adjustRightInd w:val="0"/>
              <w:snapToGrid w:val="0"/>
              <w:ind w:firstLine="0" w:firstLineChars="0"/>
              <w:jc w:val="center"/>
              <w:rPr>
                <w:b/>
                <w:kern w:val="0"/>
                <w:sz w:val="21"/>
                <w:szCs w:val="21"/>
              </w:rPr>
            </w:pPr>
          </w:p>
          <w:p>
            <w:pPr>
              <w:adjustRightInd w:val="0"/>
              <w:snapToGrid w:val="0"/>
              <w:ind w:firstLine="0" w:firstLineChars="0"/>
              <w:jc w:val="center"/>
              <w:rPr>
                <w:b/>
                <w:kern w:val="0"/>
                <w:sz w:val="21"/>
                <w:szCs w:val="21"/>
              </w:rPr>
            </w:pPr>
          </w:p>
          <w:p>
            <w:pPr>
              <w:adjustRightInd w:val="0"/>
              <w:snapToGrid w:val="0"/>
              <w:ind w:firstLine="0" w:firstLineChars="0"/>
              <w:jc w:val="center"/>
              <w:rPr>
                <w:b/>
                <w:kern w:val="0"/>
                <w:sz w:val="21"/>
                <w:szCs w:val="21"/>
              </w:rPr>
            </w:pPr>
          </w:p>
          <w:p>
            <w:pPr>
              <w:adjustRightInd w:val="0"/>
              <w:snapToGrid w:val="0"/>
              <w:ind w:firstLine="0" w:firstLineChars="0"/>
              <w:jc w:val="center"/>
              <w:rPr>
                <w:b/>
                <w:kern w:val="0"/>
                <w:sz w:val="21"/>
                <w:szCs w:val="21"/>
              </w:rPr>
            </w:pPr>
            <w:r>
              <w:rPr>
                <w:b/>
                <w:kern w:val="0"/>
                <w:sz w:val="21"/>
                <w:szCs w:val="21"/>
              </w:rPr>
              <w:t>表2-4  分段钻井液体系设计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085"/>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3" w:type="dxa"/>
                  <w:vAlign w:val="center"/>
                </w:tcPr>
                <w:p>
                  <w:pPr>
                    <w:pStyle w:val="57"/>
                    <w:rPr>
                      <w:rStyle w:val="74"/>
                      <w:b/>
                      <w:color w:val="auto"/>
                    </w:rPr>
                  </w:pPr>
                  <w:r>
                    <w:rPr>
                      <w:rStyle w:val="74"/>
                      <w:b/>
                      <w:color w:val="auto"/>
                    </w:rPr>
                    <w:t>开钻序号</w:t>
                  </w:r>
                </w:p>
              </w:tc>
              <w:tc>
                <w:tcPr>
                  <w:tcW w:w="992" w:type="dxa"/>
                  <w:vAlign w:val="center"/>
                </w:tcPr>
                <w:p>
                  <w:pPr>
                    <w:pStyle w:val="57"/>
                    <w:rPr>
                      <w:rStyle w:val="74"/>
                      <w:b/>
                      <w:color w:val="auto"/>
                    </w:rPr>
                  </w:pPr>
                  <w:r>
                    <w:rPr>
                      <w:rStyle w:val="74"/>
                      <w:b/>
                      <w:color w:val="auto"/>
                    </w:rPr>
                    <w:t>推荐钻井液</w:t>
                  </w:r>
                </w:p>
              </w:tc>
              <w:tc>
                <w:tcPr>
                  <w:tcW w:w="4964" w:type="dxa"/>
                  <w:vAlign w:val="center"/>
                </w:tcPr>
                <w:p>
                  <w:pPr>
                    <w:pStyle w:val="57"/>
                    <w:rPr>
                      <w:rStyle w:val="74"/>
                      <w:b/>
                      <w:color w:val="auto"/>
                    </w:rPr>
                  </w:pPr>
                  <w:r>
                    <w:rPr>
                      <w:rStyle w:val="74"/>
                      <w:b/>
                      <w:color w:val="auto"/>
                    </w:rPr>
                    <w:t>钻井泥浆主要成分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3" w:type="dxa"/>
                  <w:vAlign w:val="center"/>
                </w:tcPr>
                <w:p>
                  <w:pPr>
                    <w:pStyle w:val="57"/>
                    <w:rPr>
                      <w:rStyle w:val="74"/>
                      <w:color w:val="auto"/>
                    </w:rPr>
                  </w:pPr>
                  <w:r>
                    <w:rPr>
                      <w:rStyle w:val="74"/>
                      <w:color w:val="auto"/>
                    </w:rPr>
                    <w:t>导管</w:t>
                  </w:r>
                </w:p>
                <w:p>
                  <w:pPr>
                    <w:pStyle w:val="57"/>
                    <w:rPr>
                      <w:rStyle w:val="74"/>
                      <w:color w:val="auto"/>
                    </w:rPr>
                  </w:pPr>
                  <w:r>
                    <w:rPr>
                      <w:rStyle w:val="74"/>
                      <w:color w:val="auto"/>
                    </w:rPr>
                    <w:t>（0~30m）</w:t>
                  </w:r>
                </w:p>
              </w:tc>
              <w:tc>
                <w:tcPr>
                  <w:tcW w:w="992" w:type="dxa"/>
                  <w:vAlign w:val="center"/>
                </w:tcPr>
                <w:p>
                  <w:pPr>
                    <w:pStyle w:val="57"/>
                    <w:rPr>
                      <w:rStyle w:val="74"/>
                      <w:color w:val="auto"/>
                    </w:rPr>
                  </w:pPr>
                  <w:r>
                    <w:rPr>
                      <w:rStyle w:val="74"/>
                      <w:color w:val="auto"/>
                    </w:rPr>
                    <w:t>清水钻井液</w:t>
                  </w:r>
                </w:p>
              </w:tc>
              <w:tc>
                <w:tcPr>
                  <w:tcW w:w="4964" w:type="dxa"/>
                  <w:vAlign w:val="center"/>
                </w:tcPr>
                <w:p>
                  <w:pPr>
                    <w:pStyle w:val="57"/>
                    <w:rPr>
                      <w:rStyle w:val="74"/>
                      <w:color w:val="auto"/>
                    </w:rPr>
                  </w:pPr>
                  <w:r>
                    <w:rPr>
                      <w:rStyle w:val="74"/>
                      <w:color w:val="auto"/>
                    </w:rPr>
                    <w:t>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3" w:type="dxa"/>
                  <w:vAlign w:val="center"/>
                </w:tcPr>
                <w:p>
                  <w:pPr>
                    <w:pStyle w:val="57"/>
                    <w:rPr>
                      <w:rStyle w:val="74"/>
                      <w:color w:val="auto"/>
                    </w:rPr>
                  </w:pPr>
                  <w:r>
                    <w:rPr>
                      <w:rStyle w:val="74"/>
                      <w:color w:val="auto"/>
                    </w:rPr>
                    <w:t>一开（</w:t>
                  </w:r>
                  <w:r>
                    <w:t>30～502</w:t>
                  </w:r>
                  <w:r>
                    <w:rPr>
                      <w:rStyle w:val="74"/>
                      <w:color w:val="auto"/>
                    </w:rPr>
                    <w:t>）</w:t>
                  </w:r>
                </w:p>
              </w:tc>
              <w:tc>
                <w:tcPr>
                  <w:tcW w:w="992" w:type="dxa"/>
                  <w:vAlign w:val="center"/>
                </w:tcPr>
                <w:p>
                  <w:pPr>
                    <w:pStyle w:val="57"/>
                    <w:rPr>
                      <w:rStyle w:val="74"/>
                      <w:color w:val="auto"/>
                    </w:rPr>
                  </w:pPr>
                  <w:r>
                    <w:rPr>
                      <w:rStyle w:val="74"/>
                      <w:color w:val="auto"/>
                    </w:rPr>
                    <w:t>聚合物钻井液</w:t>
                  </w:r>
                </w:p>
              </w:tc>
              <w:tc>
                <w:tcPr>
                  <w:tcW w:w="4964" w:type="dxa"/>
                  <w:vAlign w:val="center"/>
                </w:tcPr>
                <w:p>
                  <w:pPr>
                    <w:pStyle w:val="57"/>
                    <w:rPr>
                      <w:rStyle w:val="74"/>
                      <w:color w:val="auto"/>
                    </w:rPr>
                  </w:pPr>
                  <w:r>
                    <w:rPr>
                      <w:rStyle w:val="74"/>
                      <w:color w:val="auto"/>
                    </w:rPr>
                    <w:t>井浆+0.08%～0.15%FA367+0.08%～0.15%KPAM</w:t>
                  </w:r>
                </w:p>
                <w:p>
                  <w:pPr>
                    <w:pStyle w:val="57"/>
                    <w:rPr>
                      <w:rStyle w:val="74"/>
                      <w:color w:val="auto"/>
                    </w:rPr>
                  </w:pPr>
                  <w:r>
                    <w:rPr>
                      <w:rStyle w:val="74"/>
                      <w:color w:val="auto"/>
                    </w:rPr>
                    <w:t>0.5%～1%LS-2A+2%～3%FRH+加重剂(按密度需要)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3" w:type="dxa"/>
                  <w:vAlign w:val="center"/>
                </w:tcPr>
                <w:p>
                  <w:pPr>
                    <w:pStyle w:val="57"/>
                    <w:rPr>
                      <w:rStyle w:val="74"/>
                      <w:color w:val="auto"/>
                    </w:rPr>
                  </w:pPr>
                  <w:r>
                    <w:rPr>
                      <w:rStyle w:val="74"/>
                      <w:color w:val="auto"/>
                    </w:rPr>
                    <w:t>二开</w:t>
                  </w:r>
                </w:p>
                <w:p>
                  <w:pPr>
                    <w:pStyle w:val="57"/>
                    <w:rPr>
                      <w:rStyle w:val="74"/>
                      <w:color w:val="auto"/>
                    </w:rPr>
                  </w:pPr>
                  <w:r>
                    <w:rPr>
                      <w:rStyle w:val="74"/>
                      <w:color w:val="auto"/>
                    </w:rPr>
                    <w:t>（502~</w:t>
                  </w:r>
                  <w:r>
                    <w:t>2965</w:t>
                  </w:r>
                  <w:r>
                    <w:rPr>
                      <w:rStyle w:val="74"/>
                      <w:color w:val="auto"/>
                    </w:rPr>
                    <w:t>m）</w:t>
                  </w:r>
                </w:p>
              </w:tc>
              <w:tc>
                <w:tcPr>
                  <w:tcW w:w="992" w:type="dxa"/>
                  <w:vAlign w:val="center"/>
                </w:tcPr>
                <w:p>
                  <w:pPr>
                    <w:pStyle w:val="57"/>
                    <w:rPr>
                      <w:rStyle w:val="74"/>
                      <w:color w:val="auto"/>
                    </w:rPr>
                  </w:pPr>
                  <w:r>
                    <w:rPr>
                      <w:rStyle w:val="74"/>
                      <w:color w:val="auto"/>
                    </w:rPr>
                    <w:t>KCl-聚合物钻井液</w:t>
                  </w:r>
                </w:p>
              </w:tc>
              <w:tc>
                <w:tcPr>
                  <w:tcW w:w="4964" w:type="dxa"/>
                  <w:vAlign w:val="center"/>
                </w:tcPr>
                <w:p>
                  <w:pPr>
                    <w:spacing w:line="240" w:lineRule="auto"/>
                    <w:ind w:firstLine="0" w:firstLineChars="0"/>
                    <w:jc w:val="center"/>
                    <w:rPr>
                      <w:rStyle w:val="74"/>
                      <w:color w:val="auto"/>
                      <w:sz w:val="21"/>
                    </w:rPr>
                  </w:pPr>
                  <w:r>
                    <w:rPr>
                      <w:sz w:val="21"/>
                      <w:szCs w:val="21"/>
                    </w:rPr>
                    <w:t>井浆+0.1％～0.3%NaOH+0.05％～0.12％KPAM+1％～2.5％</w:t>
                  </w:r>
                  <w:r>
                    <w:rPr>
                      <w:bCs/>
                      <w:sz w:val="21"/>
                      <w:szCs w:val="21"/>
                    </w:rPr>
                    <w:t>LS-2A+</w:t>
                  </w:r>
                  <w:r>
                    <w:rPr>
                      <w:sz w:val="21"/>
                      <w:szCs w:val="21"/>
                    </w:rPr>
                    <w:t>0.5%～1%CMC-LV+3％～5％FRH+1％～3.5％FK-10+≥7％KCL+加重剂（按密度需要）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3" w:type="dxa"/>
                  <w:vAlign w:val="center"/>
                </w:tcPr>
                <w:p>
                  <w:pPr>
                    <w:pStyle w:val="57"/>
                    <w:rPr>
                      <w:rStyle w:val="74"/>
                      <w:color w:val="auto"/>
                    </w:rPr>
                  </w:pPr>
                  <w:r>
                    <w:rPr>
                      <w:rStyle w:val="74"/>
                      <w:color w:val="auto"/>
                    </w:rPr>
                    <w:t>三开</w:t>
                  </w:r>
                </w:p>
                <w:p>
                  <w:pPr>
                    <w:pStyle w:val="57"/>
                    <w:rPr>
                      <w:rStyle w:val="74"/>
                      <w:color w:val="auto"/>
                    </w:rPr>
                  </w:pPr>
                  <w:r>
                    <w:rPr>
                      <w:rStyle w:val="74"/>
                      <w:color w:val="auto"/>
                    </w:rPr>
                    <w:t>（</w:t>
                  </w:r>
                  <w:r>
                    <w:t>2965</w:t>
                  </w:r>
                  <w:r>
                    <w:rPr>
                      <w:rStyle w:val="74"/>
                      <w:color w:val="auto"/>
                    </w:rPr>
                    <w:t>~5072）</w:t>
                  </w:r>
                </w:p>
              </w:tc>
              <w:tc>
                <w:tcPr>
                  <w:tcW w:w="992" w:type="dxa"/>
                  <w:vAlign w:val="center"/>
                </w:tcPr>
                <w:p>
                  <w:pPr>
                    <w:pStyle w:val="57"/>
                    <w:rPr>
                      <w:rStyle w:val="74"/>
                      <w:color w:val="auto"/>
                    </w:rPr>
                  </w:pPr>
                  <w:r>
                    <w:rPr>
                      <w:rStyle w:val="74"/>
                      <w:color w:val="auto"/>
                    </w:rPr>
                    <w:t>油基钻井液</w:t>
                  </w:r>
                </w:p>
              </w:tc>
              <w:tc>
                <w:tcPr>
                  <w:tcW w:w="4964" w:type="dxa"/>
                  <w:vAlign w:val="center"/>
                </w:tcPr>
                <w:p>
                  <w:pPr>
                    <w:spacing w:line="240" w:lineRule="auto"/>
                    <w:ind w:firstLine="0" w:firstLineChars="0"/>
                    <w:jc w:val="center"/>
                    <w:rPr>
                      <w:rStyle w:val="74"/>
                      <w:color w:val="auto"/>
                      <w:sz w:val="21"/>
                    </w:rPr>
                  </w:pPr>
                  <w:r>
                    <w:rPr>
                      <w:sz w:val="21"/>
                      <w:szCs w:val="21"/>
                    </w:rPr>
                    <w:t>白油+2%～3%有机土+4%～5%主乳化剂+3%～4%辅乳化剂+2%～4%润湿剂+2%～3%生石灰+氯化钙溶液(25%～30%)+4%～5%降滤失剂+3%～5%封堵剂+1%～2%流型调节剂+适量的加重剂(按密度需要）</w:t>
                  </w:r>
                </w:p>
              </w:tc>
            </w:tr>
          </w:tbl>
          <w:p>
            <w:pPr>
              <w:ind w:firstLine="0" w:firstLineChars="0"/>
              <w:jc w:val="center"/>
              <w:rPr>
                <w:sz w:val="21"/>
                <w:szCs w:val="21"/>
              </w:rPr>
            </w:pPr>
            <w:r>
              <w:rPr>
                <w:b/>
                <w:snapToGrid w:val="0"/>
                <w:kern w:val="0"/>
                <w:sz w:val="21"/>
                <w:szCs w:val="21"/>
              </w:rPr>
              <w:t>表2-5  项目钻井泥浆主要材料成分表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9"/>
              <w:gridCol w:w="1240"/>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rPr>
                      <w:b/>
                    </w:rPr>
                  </w:pPr>
                  <w:r>
                    <w:rPr>
                      <w:b/>
                    </w:rPr>
                    <w:t>序号</w:t>
                  </w:r>
                </w:p>
              </w:tc>
              <w:tc>
                <w:tcPr>
                  <w:tcW w:w="737" w:type="pct"/>
                  <w:vAlign w:val="center"/>
                </w:tcPr>
                <w:p>
                  <w:pPr>
                    <w:pStyle w:val="57"/>
                    <w:rPr>
                      <w:b/>
                    </w:rPr>
                  </w:pPr>
                  <w:r>
                    <w:rPr>
                      <w:b/>
                    </w:rPr>
                    <w:t>材料名称</w:t>
                  </w:r>
                </w:p>
              </w:tc>
              <w:tc>
                <w:tcPr>
                  <w:tcW w:w="3925" w:type="pct"/>
                  <w:vAlign w:val="center"/>
                </w:tcPr>
                <w:p>
                  <w:pPr>
                    <w:pStyle w:val="57"/>
                    <w:rPr>
                      <w:b/>
                    </w:rPr>
                  </w:pPr>
                  <w:r>
                    <w:rPr>
                      <w:b/>
                    </w:rPr>
                    <w:t>主要化学成分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1</w:t>
                  </w:r>
                </w:p>
              </w:tc>
              <w:tc>
                <w:tcPr>
                  <w:tcW w:w="737" w:type="pct"/>
                  <w:vAlign w:val="center"/>
                </w:tcPr>
                <w:p>
                  <w:pPr>
                    <w:pStyle w:val="57"/>
                  </w:pPr>
                  <w:r>
                    <w:t>膨润土</w:t>
                  </w:r>
                </w:p>
              </w:tc>
              <w:tc>
                <w:tcPr>
                  <w:tcW w:w="3925" w:type="pct"/>
                  <w:vAlign w:val="center"/>
                </w:tcPr>
                <w:p>
                  <w:pPr>
                    <w:pStyle w:val="57"/>
                  </w:pPr>
                  <w:r>
                    <w:rPr>
                      <w:shd w:val="clear" w:color="auto" w:fill="FFFFFF"/>
                    </w:rPr>
                    <w:t>以蒙脱石为主要矿物成分（85~90%），由两个硅氧四面体夹一层铝氧八面体组成的2：1型晶体结构，呈黄绿、黄白、灰、白色等各种颜色。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2</w:t>
                  </w:r>
                </w:p>
              </w:tc>
              <w:tc>
                <w:tcPr>
                  <w:tcW w:w="737" w:type="pct"/>
                  <w:vAlign w:val="center"/>
                </w:tcPr>
                <w:p>
                  <w:pPr>
                    <w:pStyle w:val="57"/>
                  </w:pPr>
                  <w:r>
                    <w:t>聚丙烯酰胺钾盐KPAM</w:t>
                  </w:r>
                </w:p>
              </w:tc>
              <w:tc>
                <w:tcPr>
                  <w:tcW w:w="3925" w:type="pct"/>
                  <w:vAlign w:val="center"/>
                </w:tcPr>
                <w:p>
                  <w:pPr>
                    <w:pStyle w:val="57"/>
                    <w:rPr>
                      <w:shd w:val="clear" w:color="auto" w:fill="FFFFFF"/>
                    </w:rPr>
                  </w:pPr>
                  <w:r>
                    <w:rPr>
                      <w:shd w:val="clear" w:color="auto" w:fill="FFFFFF"/>
                    </w:rPr>
                    <w:t>该产品是一种无毒、无腐蚀的井壁稳定剂，易溶于水。具有抑制泥页岩及钻屑分散作用，兼有降失水、改善流型和增加润滑等性能。可以有效的抑制地层造浆，并能与多种处理剂配伍，是一种应用广、较理想的井壁稳定剂。外观呈白色或淡黄色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3</w:t>
                  </w:r>
                </w:p>
              </w:tc>
              <w:tc>
                <w:tcPr>
                  <w:tcW w:w="737" w:type="pct"/>
                  <w:vAlign w:val="center"/>
                </w:tcPr>
                <w:p>
                  <w:pPr>
                    <w:pStyle w:val="57"/>
                  </w:pPr>
                  <w:r>
                    <w:t>高粘CMC-LV</w:t>
                  </w:r>
                </w:p>
              </w:tc>
              <w:tc>
                <w:tcPr>
                  <w:tcW w:w="3925" w:type="pct"/>
                  <w:vAlign w:val="center"/>
                </w:tcPr>
                <w:p>
                  <w:pPr>
                    <w:pStyle w:val="57"/>
                    <w:rPr>
                      <w:shd w:val="clear" w:color="auto" w:fill="FFFFFF"/>
                    </w:rPr>
                  </w:pPr>
                  <w:r>
                    <w:rPr>
                      <w:shd w:val="clear" w:color="auto" w:fill="FFFFFF"/>
                    </w:rPr>
                    <w:t>外观为白色或微黄色絮状纤维粉末或白色粉末，无毒；易溶于冷水或热水，形成胶状。主要起降失水、提粘等作用，从而达到护壁、携带钻屑、保护钻头、防止泥浆流失、提高钻井速度的作用。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4</w:t>
                  </w:r>
                </w:p>
              </w:tc>
              <w:tc>
                <w:tcPr>
                  <w:tcW w:w="737" w:type="pct"/>
                  <w:vAlign w:val="center"/>
                </w:tcPr>
                <w:p>
                  <w:pPr>
                    <w:pStyle w:val="57"/>
                  </w:pPr>
                  <w:r>
                    <w:rPr>
                      <w:shd w:val="clear" w:color="auto" w:fill="FFFFFF"/>
                    </w:rPr>
                    <w:t>两性离子包被剂</w:t>
                  </w:r>
                  <w:r>
                    <w:t>FA367</w:t>
                  </w:r>
                </w:p>
              </w:tc>
              <w:tc>
                <w:tcPr>
                  <w:tcW w:w="3925" w:type="pct"/>
                  <w:vAlign w:val="center"/>
                </w:tcPr>
                <w:p>
                  <w:pPr>
                    <w:pStyle w:val="57"/>
                  </w:pPr>
                  <w:r>
                    <w:t>是由含有多种有机阳离子基因、阴离子基因和非离子基因的单体通过共聚而形成的水溶性高分子聚合物，既能增强泥浆的抑制性，抑制泥页岩的水化膨胀，控制地层造浆，又能维持泥浆性能的稳定，改善流变性，降低摩阻和滤失量，有利于钻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5</w:t>
                  </w:r>
                </w:p>
              </w:tc>
              <w:tc>
                <w:tcPr>
                  <w:tcW w:w="737" w:type="pct"/>
                  <w:vAlign w:val="center"/>
                </w:tcPr>
                <w:p>
                  <w:pPr>
                    <w:pStyle w:val="57"/>
                  </w:pPr>
                  <w:r>
                    <w:t>润湿剂FRH</w:t>
                  </w:r>
                </w:p>
              </w:tc>
              <w:tc>
                <w:tcPr>
                  <w:tcW w:w="3925" w:type="pct"/>
                  <w:vAlign w:val="center"/>
                </w:tcPr>
                <w:p>
                  <w:pPr>
                    <w:pStyle w:val="57"/>
                  </w:pPr>
                  <w:r>
                    <w:rPr>
                      <w:shd w:val="clear" w:color="auto" w:fill="FFFFFF"/>
                    </w:rPr>
                    <w:t>钻井液用无荧光防塌润滑剂为黑色或黑褐色粉末及颗粒，能有效地改善泥饼质量，又有明显的防塌作用，并可降低摩擦阻系数，具有良好的润滑作用。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6</w:t>
                  </w:r>
                </w:p>
              </w:tc>
              <w:tc>
                <w:tcPr>
                  <w:tcW w:w="737" w:type="pct"/>
                  <w:vAlign w:val="center"/>
                </w:tcPr>
                <w:p>
                  <w:pPr>
                    <w:pStyle w:val="57"/>
                  </w:pPr>
                  <w:r>
                    <w:t>降滤失剂RSTF</w:t>
                  </w:r>
                </w:p>
              </w:tc>
              <w:tc>
                <w:tcPr>
                  <w:tcW w:w="3925" w:type="pct"/>
                  <w:vAlign w:val="center"/>
                </w:tcPr>
                <w:p>
                  <w:pPr>
                    <w:pStyle w:val="57"/>
                    <w:rPr>
                      <w:shd w:val="clear" w:color="auto" w:fill="FFFFFF"/>
                    </w:rPr>
                  </w:pPr>
                  <w:r>
                    <w:rPr>
                      <w:shd w:val="clear" w:color="auto" w:fill="FFFFFF"/>
                    </w:rPr>
                    <w:t>黑褐色粉末，用于水基钻井液的降滤失剂，抑制页岩水化膨胀作用、增稠作用等。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7</w:t>
                  </w:r>
                </w:p>
              </w:tc>
              <w:tc>
                <w:tcPr>
                  <w:tcW w:w="737" w:type="pct"/>
                  <w:vAlign w:val="center"/>
                </w:tcPr>
                <w:p>
                  <w:pPr>
                    <w:pStyle w:val="57"/>
                  </w:pPr>
                  <w:r>
                    <w:t>重晶石粉</w:t>
                  </w:r>
                </w:p>
              </w:tc>
              <w:tc>
                <w:tcPr>
                  <w:tcW w:w="3925" w:type="pct"/>
                  <w:vAlign w:val="center"/>
                </w:tcPr>
                <w:p>
                  <w:pPr>
                    <w:pStyle w:val="57"/>
                  </w:pPr>
                  <w:r>
                    <w:rPr>
                      <w:shd w:val="clear" w:color="auto" w:fill="FFFFFF"/>
                    </w:rPr>
                    <w:t>BaSO</w:t>
                  </w:r>
                  <w:r>
                    <w:rPr>
                      <w:shd w:val="clear" w:color="auto" w:fill="FFFFFF"/>
                      <w:vertAlign w:val="subscript"/>
                    </w:rPr>
                    <w:t>4</w:t>
                  </w:r>
                  <w:r>
                    <w:rPr>
                      <w:shd w:val="clear" w:color="auto" w:fill="FFFFFF"/>
                    </w:rPr>
                    <w:t>，常作为钻井泥加重剂使用。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8" w:type="pct"/>
                  <w:vAlign w:val="center"/>
                </w:tcPr>
                <w:p>
                  <w:pPr>
                    <w:pStyle w:val="57"/>
                  </w:pPr>
                  <w:r>
                    <w:t>8</w:t>
                  </w:r>
                </w:p>
              </w:tc>
              <w:tc>
                <w:tcPr>
                  <w:tcW w:w="737" w:type="pct"/>
                  <w:vAlign w:val="center"/>
                </w:tcPr>
                <w:p>
                  <w:pPr>
                    <w:pStyle w:val="57"/>
                  </w:pPr>
                  <w:r>
                    <w:t>白油</w:t>
                  </w:r>
                </w:p>
              </w:tc>
              <w:tc>
                <w:tcPr>
                  <w:tcW w:w="3925" w:type="pct"/>
                  <w:vAlign w:val="center"/>
                </w:tcPr>
                <w:p>
                  <w:pPr>
                    <w:pStyle w:val="57"/>
                  </w:pPr>
                  <w:r>
                    <w:t>白油：C16~C31的正异构烷烃的混合物，无色透明油状液体，无臭味，具有润滑性，不溶于水和乙醇。油基钻井液：基本组成是油、水、有机粘土和油溶性化学处理剂。本工程使用油基钻井液由白油、有机土、主乳化剂、润湿剂、降滤失剂、封堵剂、加重剂组成的钻井液体系。主要成分为白油，无色透明油状液体，没有气味。比重0.831～0.883，闪点（开式）164～223℃，运动黏度（50℃）5.7～26mm</w:t>
                  </w:r>
                  <w:r>
                    <w:rPr>
                      <w:vertAlign w:val="superscript"/>
                    </w:rPr>
                    <w:t>2</w:t>
                  </w:r>
                  <w:r>
                    <w:t>/s，酸值≤0.05。对酸、光、热均稳定，不</w:t>
                  </w:r>
                  <w:r>
                    <w:cr/>
                  </w:r>
                  <w:r>
                    <w:t>于乙醇，溶于乙醚、苯、石油醚等，并可与多数脂肪油互溶。为液体类烃类的混合物，主要成分为C16～C31的正异构烷烃的混合物，是自石油分馏的高沸馏分，依据黏度等性质的不同。白油的分子量通常都在250～450范围之内，具有良好的氧化安定性、化学稳定性、光安定性，无色、无味，不腐蚀纤维纺织物。</w:t>
                  </w:r>
                </w:p>
              </w:tc>
            </w:tr>
          </w:tbl>
          <w:p>
            <w:pPr>
              <w:ind w:firstLine="0" w:firstLineChars="0"/>
              <w:jc w:val="center"/>
              <w:rPr>
                <w:b/>
                <w:snapToGrid w:val="0"/>
                <w:kern w:val="0"/>
                <w:sz w:val="21"/>
                <w:szCs w:val="21"/>
              </w:rPr>
            </w:pPr>
          </w:p>
          <w:p>
            <w:pPr>
              <w:ind w:firstLine="0" w:firstLineChars="0"/>
              <w:jc w:val="center"/>
              <w:rPr>
                <w:b/>
                <w:snapToGrid w:val="0"/>
                <w:kern w:val="0"/>
                <w:sz w:val="21"/>
                <w:szCs w:val="21"/>
              </w:rPr>
            </w:pPr>
          </w:p>
          <w:p>
            <w:pPr>
              <w:ind w:firstLine="0" w:firstLineChars="0"/>
              <w:jc w:val="center"/>
              <w:rPr>
                <w:sz w:val="21"/>
                <w:szCs w:val="21"/>
              </w:rPr>
            </w:pPr>
            <w:r>
              <w:rPr>
                <w:rFonts w:hint="eastAsia"/>
                <w:b/>
                <w:snapToGrid w:val="0"/>
                <w:kern w:val="0"/>
                <w:sz w:val="21"/>
                <w:szCs w:val="21"/>
              </w:rPr>
              <w:t>表2-</w:t>
            </w:r>
            <w:r>
              <w:rPr>
                <w:b/>
                <w:snapToGrid w:val="0"/>
                <w:kern w:val="0"/>
                <w:sz w:val="21"/>
                <w:szCs w:val="21"/>
              </w:rPr>
              <w:t>6</w:t>
            </w:r>
            <w:r>
              <w:rPr>
                <w:rFonts w:hint="eastAsia"/>
                <w:b/>
                <w:snapToGrid w:val="0"/>
                <w:kern w:val="0"/>
                <w:sz w:val="21"/>
                <w:szCs w:val="21"/>
              </w:rPr>
              <w:t xml:space="preserve">  工程钻井液主要原材料消耗一览表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423"/>
              <w:gridCol w:w="1425"/>
              <w:gridCol w:w="1070"/>
              <w:gridCol w:w="165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类型</w:t>
                  </w: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b/>
                      <w:snapToGrid w:val="0"/>
                      <w:kern w:val="0"/>
                      <w:sz w:val="21"/>
                      <w:szCs w:val="21"/>
                    </w:rPr>
                  </w:pPr>
                  <w:r>
                    <w:rPr>
                      <w:b/>
                      <w:snapToGrid w:val="0"/>
                      <w:kern w:val="0"/>
                      <w:sz w:val="21"/>
                      <w:szCs w:val="21"/>
                    </w:rPr>
                    <w:t>材料名称</w:t>
                  </w:r>
                </w:p>
              </w:tc>
              <w:tc>
                <w:tcPr>
                  <w:tcW w:w="84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b/>
                      <w:snapToGrid w:val="0"/>
                      <w:kern w:val="0"/>
                      <w:sz w:val="21"/>
                      <w:szCs w:val="21"/>
                    </w:rPr>
                  </w:pPr>
                  <w:r>
                    <w:rPr>
                      <w:b/>
                      <w:snapToGrid w:val="0"/>
                      <w:kern w:val="0"/>
                      <w:sz w:val="21"/>
                      <w:szCs w:val="21"/>
                    </w:rPr>
                    <w:t>用量t</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b/>
                      <w:snapToGrid w:val="0"/>
                      <w:kern w:val="0"/>
                      <w:sz w:val="21"/>
                      <w:szCs w:val="21"/>
                    </w:rPr>
                  </w:pPr>
                  <w:r>
                    <w:rPr>
                      <w:b/>
                      <w:snapToGrid w:val="0"/>
                      <w:kern w:val="0"/>
                      <w:sz w:val="21"/>
                      <w:szCs w:val="21"/>
                    </w:rPr>
                    <w:t>暂存量t</w:t>
                  </w:r>
                </w:p>
              </w:tc>
              <w:tc>
                <w:tcPr>
                  <w:tcW w:w="98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b/>
                      <w:snapToGrid w:val="0"/>
                      <w:kern w:val="0"/>
                      <w:sz w:val="21"/>
                      <w:szCs w:val="21"/>
                    </w:rPr>
                  </w:pPr>
                  <w:r>
                    <w:rPr>
                      <w:b/>
                      <w:snapToGrid w:val="0"/>
                      <w:kern w:val="0"/>
                      <w:sz w:val="21"/>
                      <w:szCs w:val="21"/>
                    </w:rPr>
                    <w:t>储存方式</w:t>
                  </w:r>
                </w:p>
              </w:tc>
              <w:tc>
                <w:tcPr>
                  <w:tcW w:w="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b/>
                      <w:snapToGrid w:val="0"/>
                      <w:kern w:val="0"/>
                      <w:sz w:val="21"/>
                      <w:szCs w:val="21"/>
                    </w:rPr>
                  </w:pPr>
                  <w:r>
                    <w:rPr>
                      <w:b/>
                      <w:snapToGrid w:val="0"/>
                      <w:kern w:val="0"/>
                      <w:sz w:val="21"/>
                      <w:szCs w:val="21"/>
                    </w:rPr>
                    <w:t>暂存位置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能源</w:t>
                  </w: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柴油</w:t>
                  </w:r>
                </w:p>
              </w:tc>
              <w:tc>
                <w:tcPr>
                  <w:tcW w:w="847" w:type="pct"/>
                  <w:tcBorders>
                    <w:top w:val="single" w:color="auto" w:sz="4" w:space="0"/>
                    <w:left w:val="single" w:color="auto" w:sz="4" w:space="0"/>
                    <w:bottom w:val="single" w:color="auto" w:sz="4" w:space="0"/>
                    <w:right w:val="single" w:color="auto" w:sz="4" w:space="0"/>
                  </w:tcBorders>
                  <w:vAlign w:val="bottom"/>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360.2</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66.8</w:t>
                  </w:r>
                </w:p>
              </w:tc>
              <w:tc>
                <w:tcPr>
                  <w:tcW w:w="98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罐装20m</w:t>
                  </w:r>
                  <w:r>
                    <w:rPr>
                      <w:snapToGrid w:val="0"/>
                      <w:kern w:val="0"/>
                      <w:sz w:val="21"/>
                      <w:szCs w:val="21"/>
                      <w:vertAlign w:val="superscript"/>
                    </w:rPr>
                    <w:t>3</w:t>
                  </w:r>
                  <w:r>
                    <w:rPr>
                      <w:snapToGrid w:val="0"/>
                      <w:kern w:val="0"/>
                      <w:sz w:val="21"/>
                      <w:szCs w:val="21"/>
                    </w:rPr>
                    <w:t>/个</w:t>
                  </w:r>
                </w:p>
              </w:tc>
              <w:tc>
                <w:tcPr>
                  <w:tcW w:w="67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水基泥浆</w:t>
                  </w: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膨润土</w:t>
                  </w:r>
                </w:p>
              </w:tc>
              <w:tc>
                <w:tcPr>
                  <w:tcW w:w="847" w:type="pct"/>
                  <w:tcBorders>
                    <w:top w:val="single" w:color="auto" w:sz="4" w:space="0"/>
                    <w:left w:val="single" w:color="auto" w:sz="4" w:space="0"/>
                    <w:bottom w:val="single" w:color="auto" w:sz="4" w:space="0"/>
                    <w:right w:val="single" w:color="auto" w:sz="4" w:space="0"/>
                  </w:tcBorders>
                  <w:vAlign w:val="bottom"/>
                </w:tcPr>
                <w:p>
                  <w:pPr>
                    <w:widowControl/>
                    <w:adjustRightInd w:val="0"/>
                    <w:snapToGrid w:val="0"/>
                    <w:spacing w:line="240" w:lineRule="auto"/>
                    <w:ind w:firstLine="0" w:firstLineChars="0"/>
                    <w:jc w:val="center"/>
                    <w:rPr>
                      <w:kern w:val="0"/>
                      <w:sz w:val="21"/>
                      <w:szCs w:val="21"/>
                    </w:rPr>
                  </w:pPr>
                  <w:r>
                    <w:rPr>
                      <w:rFonts w:hint="eastAsia"/>
                      <w:sz w:val="21"/>
                      <w:szCs w:val="21"/>
                    </w:rPr>
                    <w:t xml:space="preserve">24.2 </w:t>
                  </w:r>
                </w:p>
              </w:tc>
              <w:tc>
                <w:tcPr>
                  <w:tcW w:w="6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w:t>
                  </w:r>
                </w:p>
              </w:tc>
              <w:tc>
                <w:tcPr>
                  <w:tcW w:w="986" w:type="pct"/>
                  <w:vMerge w:val="restar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袋装，25kg/袋</w:t>
                  </w:r>
                </w:p>
              </w:tc>
              <w:tc>
                <w:tcPr>
                  <w:tcW w:w="674" w:type="pct"/>
                  <w:vMerge w:val="restar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堆存区设置0.3m围堰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纯碱</w:t>
                  </w:r>
                  <w:r>
                    <w:rPr>
                      <w:sz w:val="21"/>
                      <w:szCs w:val="21"/>
                    </w:rPr>
                    <w:t>Na</w:t>
                  </w:r>
                  <w:r>
                    <w:rPr>
                      <w:sz w:val="21"/>
                      <w:szCs w:val="21"/>
                      <w:vertAlign w:val="subscript"/>
                    </w:rPr>
                    <w:t>2</w:t>
                  </w:r>
                  <w:r>
                    <w:rPr>
                      <w:sz w:val="21"/>
                      <w:szCs w:val="21"/>
                    </w:rPr>
                    <w:t>CO</w:t>
                  </w:r>
                  <w:r>
                    <w:rPr>
                      <w:sz w:val="21"/>
                      <w:szCs w:val="21"/>
                      <w:vertAlign w:val="subscript"/>
                    </w:rPr>
                    <w:t>3</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1.0 </w:t>
                  </w:r>
                </w:p>
              </w:tc>
              <w:tc>
                <w:tcPr>
                  <w:tcW w:w="63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高粘</w:t>
                  </w:r>
                  <w:r>
                    <w:rPr>
                      <w:sz w:val="21"/>
                      <w:szCs w:val="21"/>
                    </w:rPr>
                    <w:t>CMC-HV</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0.4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.2</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降失水剂</w:t>
                  </w:r>
                  <w:r>
                    <w:rPr>
                      <w:sz w:val="21"/>
                      <w:szCs w:val="21"/>
                    </w:rPr>
                    <w:t xml:space="preserve">CMC-LV </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2.2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.5</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烧碱</w:t>
                  </w:r>
                  <w:r>
                    <w:rPr>
                      <w:sz w:val="21"/>
                      <w:szCs w:val="21"/>
                    </w:rPr>
                    <w:t>NaOH</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3.3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聚丙烯酰胺钾盐</w:t>
                  </w:r>
                  <w:r>
                    <w:rPr>
                      <w:sz w:val="21"/>
                      <w:szCs w:val="21"/>
                    </w:rPr>
                    <w:t>KPAM</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1.1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防塌润滑剂</w:t>
                  </w:r>
                  <w:r>
                    <w:rPr>
                      <w:sz w:val="21"/>
                      <w:szCs w:val="21"/>
                    </w:rPr>
                    <w:t>FRH</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17.0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降失水剂</w:t>
                  </w:r>
                  <w:r>
                    <w:rPr>
                      <w:sz w:val="21"/>
                      <w:szCs w:val="21"/>
                    </w:rPr>
                    <w:t>LS-2A</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8.0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.4</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降粘剂</w:t>
                  </w:r>
                  <w:r>
                    <w:rPr>
                      <w:sz w:val="21"/>
                      <w:szCs w:val="21"/>
                    </w:rPr>
                    <w:t>XY-27</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0.5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.2</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防卡润滑剂</w:t>
                  </w:r>
                  <w:r>
                    <w:rPr>
                      <w:sz w:val="21"/>
                      <w:szCs w:val="21"/>
                    </w:rPr>
                    <w:t>FK-10</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8.3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.5</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聚合物强包被剂</w:t>
                  </w:r>
                  <w:r>
                    <w:rPr>
                      <w:sz w:val="21"/>
                      <w:szCs w:val="21"/>
                    </w:rPr>
                    <w:t>FA-367</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0.3 </w:t>
                  </w:r>
                </w:p>
              </w:tc>
              <w:tc>
                <w:tcPr>
                  <w:tcW w:w="63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6</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超细碳酸钙</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12.1 </w:t>
                  </w:r>
                </w:p>
              </w:tc>
              <w:tc>
                <w:tcPr>
                  <w:tcW w:w="636" w:type="pc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氯化钾</w:t>
                  </w:r>
                  <w:r>
                    <w:rPr>
                      <w:sz w:val="21"/>
                      <w:szCs w:val="21"/>
                    </w:rPr>
                    <w:t>KCl</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56.3 </w:t>
                  </w:r>
                </w:p>
              </w:tc>
              <w:tc>
                <w:tcPr>
                  <w:tcW w:w="63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石灰</w:t>
                  </w:r>
                  <w:r>
                    <w:rPr>
                      <w:sz w:val="21"/>
                      <w:szCs w:val="21"/>
                    </w:rPr>
                    <w:t>CaO</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0.2 </w:t>
                  </w:r>
                </w:p>
              </w:tc>
              <w:tc>
                <w:tcPr>
                  <w:tcW w:w="63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固体润滑剂</w:t>
                  </w:r>
                  <w:r>
                    <w:rPr>
                      <w:sz w:val="21"/>
                      <w:szCs w:val="21"/>
                    </w:rPr>
                    <w:t>GRJ</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1.2 </w:t>
                  </w:r>
                </w:p>
              </w:tc>
              <w:tc>
                <w:tcPr>
                  <w:tcW w:w="636" w:type="pct"/>
                  <w:tcBorders>
                    <w:left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0.1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亚硫酸氢钠</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1.1 </w:t>
                  </w:r>
                </w:p>
              </w:tc>
              <w:tc>
                <w:tcPr>
                  <w:tcW w:w="636" w:type="pct"/>
                  <w:tcBorders>
                    <w:left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0.1</w:t>
                  </w:r>
                </w:p>
              </w:tc>
              <w:tc>
                <w:tcPr>
                  <w:tcW w:w="986"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重晶石BaSO</w:t>
                  </w:r>
                  <w:r>
                    <w:rPr>
                      <w:snapToGrid w:val="0"/>
                      <w:kern w:val="0"/>
                      <w:sz w:val="21"/>
                      <w:szCs w:val="21"/>
                      <w:vertAlign w:val="subscript"/>
                    </w:rPr>
                    <w:t>4</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829.0 </w:t>
                  </w:r>
                </w:p>
              </w:tc>
              <w:tc>
                <w:tcPr>
                  <w:tcW w:w="63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2</w:t>
                  </w:r>
                  <w:r>
                    <w:rPr>
                      <w:snapToGrid w:val="0"/>
                      <w:kern w:val="0"/>
                      <w:sz w:val="21"/>
                      <w:szCs w:val="21"/>
                    </w:rPr>
                    <w:t>5</w:t>
                  </w:r>
                </w:p>
              </w:tc>
              <w:tc>
                <w:tcPr>
                  <w:tcW w:w="98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袋装，50kg/袋</w:t>
                  </w: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17"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440"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表面活性剂SP-80</w:t>
                  </w:r>
                </w:p>
              </w:tc>
              <w:tc>
                <w:tcPr>
                  <w:tcW w:w="847" w:type="pct"/>
                  <w:tcBorders>
                    <w:top w:val="single" w:color="auto" w:sz="4" w:space="0"/>
                    <w:left w:val="single" w:color="auto" w:sz="4" w:space="0"/>
                    <w:bottom w:val="single" w:color="auto" w:sz="4" w:space="0"/>
                    <w:right w:val="single" w:color="auto" w:sz="4" w:space="0"/>
                  </w:tcBorders>
                  <w:vAlign w:val="bottom"/>
                </w:tcPr>
                <w:p>
                  <w:pPr>
                    <w:adjustRightInd w:val="0"/>
                    <w:snapToGrid w:val="0"/>
                    <w:spacing w:line="240" w:lineRule="auto"/>
                    <w:ind w:firstLine="0" w:firstLineChars="0"/>
                    <w:jc w:val="center"/>
                    <w:rPr>
                      <w:sz w:val="21"/>
                      <w:szCs w:val="21"/>
                    </w:rPr>
                  </w:pPr>
                  <w:r>
                    <w:rPr>
                      <w:rFonts w:hint="eastAsia"/>
                      <w:sz w:val="21"/>
                      <w:szCs w:val="21"/>
                    </w:rPr>
                    <w:t xml:space="preserve">1.7 </w:t>
                  </w:r>
                </w:p>
              </w:tc>
              <w:tc>
                <w:tcPr>
                  <w:tcW w:w="63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w:t>
                  </w:r>
                  <w:r>
                    <w:rPr>
                      <w:snapToGrid w:val="0"/>
                      <w:kern w:val="0"/>
                      <w:sz w:val="21"/>
                      <w:szCs w:val="21"/>
                    </w:rPr>
                    <w:t>.2</w:t>
                  </w:r>
                </w:p>
              </w:tc>
              <w:tc>
                <w:tcPr>
                  <w:tcW w:w="986" w:type="pct"/>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桶装，2</w:t>
                  </w:r>
                  <w:r>
                    <w:rPr>
                      <w:snapToGrid w:val="0"/>
                      <w:kern w:val="0"/>
                      <w:sz w:val="21"/>
                      <w:szCs w:val="21"/>
                    </w:rPr>
                    <w:t>00</w:t>
                  </w:r>
                  <w:r>
                    <w:rPr>
                      <w:rFonts w:hint="eastAsia"/>
                      <w:snapToGrid w:val="0"/>
                      <w:kern w:val="0"/>
                      <w:sz w:val="21"/>
                      <w:szCs w:val="21"/>
                    </w:rPr>
                    <w:t>kg</w:t>
                  </w:r>
                  <w:r>
                    <w:rPr>
                      <w:snapToGrid w:val="0"/>
                      <w:kern w:val="0"/>
                      <w:sz w:val="21"/>
                      <w:szCs w:val="21"/>
                    </w:rPr>
                    <w:t>/</w:t>
                  </w:r>
                  <w:r>
                    <w:rPr>
                      <w:rFonts w:hint="eastAsia"/>
                      <w:snapToGrid w:val="0"/>
                      <w:kern w:val="0"/>
                      <w:sz w:val="21"/>
                      <w:szCs w:val="21"/>
                    </w:rPr>
                    <w:t>桶</w:t>
                  </w:r>
                </w:p>
              </w:tc>
              <w:tc>
                <w:tcPr>
                  <w:tcW w:w="674" w:type="pct"/>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bl>
          <w:p>
            <w:pPr>
              <w:adjustRightInd w:val="0"/>
              <w:snapToGrid w:val="0"/>
              <w:spacing w:before="240"/>
              <w:ind w:firstLine="420"/>
              <w:rPr>
                <w:kern w:val="0"/>
                <w:sz w:val="21"/>
                <w:szCs w:val="21"/>
              </w:rPr>
            </w:pPr>
            <w:r>
              <w:rPr>
                <w:kern w:val="0"/>
                <w:sz w:val="21"/>
                <w:szCs w:val="21"/>
              </w:rPr>
              <w:t>（2）压裂测试材料</w:t>
            </w:r>
          </w:p>
          <w:p>
            <w:pPr>
              <w:adjustRightInd w:val="0"/>
              <w:snapToGrid w:val="0"/>
              <w:ind w:firstLine="420"/>
              <w:rPr>
                <w:kern w:val="0"/>
                <w:sz w:val="21"/>
                <w:szCs w:val="21"/>
              </w:rPr>
            </w:pPr>
            <w:r>
              <w:rPr>
                <w:kern w:val="0"/>
                <w:sz w:val="21"/>
                <w:szCs w:val="21"/>
              </w:rPr>
              <w:t>本工程压裂液由破乳助排剂、活化剂、支撑剂等构成。本工程采用的压裂工艺为清洁压裂液压裂，采用的压裂液具有配制容易、携砂能力强、易于泵送、不会造成地层伤害、不污染环境、压裂效果好的特点，其组成以水和支撑剂（石英砂、陶粒等）为主，其他成分包括防膨剂、低分子稠化剂、流变助剂等。四开水平井段水力压裂所需的材料见表2-7。</w:t>
            </w:r>
          </w:p>
          <w:p>
            <w:pPr>
              <w:adjustRightInd w:val="0"/>
              <w:snapToGrid w:val="0"/>
              <w:ind w:firstLine="0" w:firstLineChars="0"/>
              <w:jc w:val="center"/>
              <w:rPr>
                <w:b/>
                <w:kern w:val="0"/>
                <w:sz w:val="21"/>
                <w:szCs w:val="21"/>
              </w:rPr>
            </w:pPr>
            <w:r>
              <w:rPr>
                <w:b/>
                <w:kern w:val="0"/>
                <w:sz w:val="21"/>
                <w:szCs w:val="21"/>
              </w:rPr>
              <w:t>表2-7 压裂材料消耗一览表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507"/>
              <w:gridCol w:w="1718"/>
              <w:gridCol w:w="1289"/>
              <w:gridCol w:w="898"/>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shd w:val="clear" w:color="auto" w:fill="auto"/>
                  <w:vAlign w:val="center"/>
                </w:tcPr>
                <w:p>
                  <w:pPr>
                    <w:pStyle w:val="57"/>
                    <w:rPr>
                      <w:b/>
                    </w:rPr>
                  </w:pPr>
                  <w:r>
                    <w:rPr>
                      <w:b/>
                    </w:rPr>
                    <w:t>类型</w:t>
                  </w:r>
                </w:p>
              </w:tc>
              <w:tc>
                <w:tcPr>
                  <w:tcW w:w="896" w:type="pct"/>
                  <w:shd w:val="clear" w:color="auto" w:fill="auto"/>
                  <w:vAlign w:val="center"/>
                </w:tcPr>
                <w:p>
                  <w:pPr>
                    <w:pStyle w:val="57"/>
                    <w:rPr>
                      <w:b/>
                    </w:rPr>
                  </w:pPr>
                  <w:r>
                    <w:rPr>
                      <w:b/>
                    </w:rPr>
                    <w:t>药品名称</w:t>
                  </w:r>
                </w:p>
              </w:tc>
              <w:tc>
                <w:tcPr>
                  <w:tcW w:w="1021" w:type="pct"/>
                  <w:shd w:val="clear" w:color="auto" w:fill="auto"/>
                  <w:vAlign w:val="center"/>
                </w:tcPr>
                <w:p>
                  <w:pPr>
                    <w:pStyle w:val="57"/>
                    <w:rPr>
                      <w:b/>
                    </w:rPr>
                  </w:pPr>
                  <w:r>
                    <w:rPr>
                      <w:b/>
                    </w:rPr>
                    <w:t>主要成分</w:t>
                  </w:r>
                </w:p>
              </w:tc>
              <w:tc>
                <w:tcPr>
                  <w:tcW w:w="766" w:type="pct"/>
                  <w:shd w:val="clear" w:color="auto" w:fill="auto"/>
                  <w:vAlign w:val="center"/>
                </w:tcPr>
                <w:p>
                  <w:pPr>
                    <w:pStyle w:val="57"/>
                    <w:rPr>
                      <w:b/>
                    </w:rPr>
                  </w:pPr>
                  <w:r>
                    <w:rPr>
                      <w:rFonts w:hint="eastAsia"/>
                      <w:b/>
                    </w:rPr>
                    <w:t>消耗量</w:t>
                  </w:r>
                  <w:r>
                    <w:rPr>
                      <w:b/>
                    </w:rPr>
                    <w:t>/t</w:t>
                  </w:r>
                </w:p>
              </w:tc>
              <w:tc>
                <w:tcPr>
                  <w:tcW w:w="534" w:type="pct"/>
                  <w:shd w:val="clear" w:color="auto" w:fill="auto"/>
                  <w:vAlign w:val="center"/>
                </w:tcPr>
                <w:p>
                  <w:pPr>
                    <w:pStyle w:val="57"/>
                    <w:rPr>
                      <w:b/>
                    </w:rPr>
                  </w:pPr>
                  <w:r>
                    <w:rPr>
                      <w:b/>
                    </w:rPr>
                    <w:t>暂存量/t</w:t>
                  </w:r>
                </w:p>
              </w:tc>
              <w:tc>
                <w:tcPr>
                  <w:tcW w:w="1237" w:type="pct"/>
                  <w:shd w:val="clear" w:color="auto" w:fill="auto"/>
                  <w:vAlign w:val="center"/>
                </w:tcPr>
                <w:p>
                  <w:pPr>
                    <w:pStyle w:val="57"/>
                    <w:rPr>
                      <w:b/>
                    </w:rPr>
                  </w:pPr>
                  <w:r>
                    <w:rPr>
                      <w:b/>
                    </w:rPr>
                    <w:t>储存位置及方式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restart"/>
                  <w:shd w:val="clear" w:color="auto" w:fill="auto"/>
                  <w:vAlign w:val="center"/>
                </w:tcPr>
                <w:p>
                  <w:pPr>
                    <w:pStyle w:val="57"/>
                  </w:pPr>
                  <w:r>
                    <w:t>压裂液用料</w:t>
                  </w:r>
                </w:p>
              </w:tc>
              <w:tc>
                <w:tcPr>
                  <w:tcW w:w="896" w:type="pct"/>
                  <w:shd w:val="clear" w:color="auto" w:fill="auto"/>
                  <w:vAlign w:val="center"/>
                </w:tcPr>
                <w:p>
                  <w:pPr>
                    <w:pStyle w:val="57"/>
                  </w:pPr>
                  <w:r>
                    <w:t>水</w:t>
                  </w:r>
                </w:p>
              </w:tc>
              <w:tc>
                <w:tcPr>
                  <w:tcW w:w="1021" w:type="pct"/>
                  <w:shd w:val="clear" w:color="auto" w:fill="auto"/>
                  <w:vAlign w:val="center"/>
                </w:tcPr>
                <w:p>
                  <w:pPr>
                    <w:pStyle w:val="57"/>
                  </w:pPr>
                  <w:r>
                    <w:t>/</w:t>
                  </w:r>
                </w:p>
              </w:tc>
              <w:tc>
                <w:tcPr>
                  <w:tcW w:w="766" w:type="pct"/>
                  <w:shd w:val="clear" w:color="auto" w:fill="auto"/>
                  <w:vAlign w:val="center"/>
                </w:tcPr>
                <w:p>
                  <w:pPr>
                    <w:pStyle w:val="57"/>
                  </w:pPr>
                  <w:r>
                    <w:rPr>
                      <w:rFonts w:hint="eastAsia"/>
                    </w:rPr>
                    <w:t>16864.4</w:t>
                  </w:r>
                </w:p>
              </w:tc>
              <w:tc>
                <w:tcPr>
                  <w:tcW w:w="534" w:type="pct"/>
                  <w:shd w:val="clear" w:color="auto" w:fill="auto"/>
                  <w:vAlign w:val="center"/>
                </w:tcPr>
                <w:p>
                  <w:pPr>
                    <w:pStyle w:val="57"/>
                  </w:pPr>
                  <w:r>
                    <w:t>2520.0</w:t>
                  </w:r>
                </w:p>
              </w:tc>
              <w:tc>
                <w:tcPr>
                  <w:tcW w:w="1237" w:type="pct"/>
                  <w:shd w:val="clear" w:color="auto" w:fill="auto"/>
                  <w:vAlign w:val="center"/>
                </w:tcPr>
                <w:p>
                  <w:pPr>
                    <w:pStyle w:val="57"/>
                  </w:pPr>
                  <w:r>
                    <w:t>重叠罐区，地坪水泥防渗处理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高效减阻剂JC-J10</w:t>
                  </w:r>
                </w:p>
              </w:tc>
              <w:tc>
                <w:tcPr>
                  <w:tcW w:w="1021" w:type="pct"/>
                  <w:shd w:val="clear" w:color="auto" w:fill="auto"/>
                  <w:vAlign w:val="center"/>
                </w:tcPr>
                <w:p>
                  <w:pPr>
                    <w:pStyle w:val="57"/>
                  </w:pPr>
                  <w:r>
                    <w:t>有效成分为阳离子聚丙烯酰胺</w:t>
                  </w:r>
                </w:p>
              </w:tc>
              <w:tc>
                <w:tcPr>
                  <w:tcW w:w="766" w:type="pct"/>
                  <w:shd w:val="clear" w:color="auto" w:fill="auto"/>
                  <w:vAlign w:val="center"/>
                </w:tcPr>
                <w:p>
                  <w:pPr>
                    <w:pStyle w:val="57"/>
                  </w:pPr>
                  <w:r>
                    <w:rPr>
                      <w:rFonts w:hint="eastAsia"/>
                    </w:rPr>
                    <w:t>4.2</w:t>
                  </w:r>
                </w:p>
              </w:tc>
              <w:tc>
                <w:tcPr>
                  <w:tcW w:w="534" w:type="pct"/>
                  <w:shd w:val="clear" w:color="auto" w:fill="auto"/>
                  <w:vAlign w:val="center"/>
                </w:tcPr>
                <w:p>
                  <w:pPr>
                    <w:pStyle w:val="57"/>
                  </w:pPr>
                  <w:r>
                    <w:t>2.0</w:t>
                  </w:r>
                </w:p>
              </w:tc>
              <w:tc>
                <w:tcPr>
                  <w:tcW w:w="1237" w:type="pct"/>
                  <w:vMerge w:val="restart"/>
                  <w:shd w:val="clear" w:color="auto" w:fill="auto"/>
                  <w:vAlign w:val="center"/>
                </w:tcPr>
                <w:p>
                  <w:pPr>
                    <w:pStyle w:val="57"/>
                  </w:pPr>
                  <w:r>
                    <w:t>水基泥浆材料堆存区存放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防膨剂JC-FC03</w:t>
                  </w:r>
                </w:p>
              </w:tc>
              <w:tc>
                <w:tcPr>
                  <w:tcW w:w="1021" w:type="pct"/>
                  <w:shd w:val="clear" w:color="auto" w:fill="auto"/>
                  <w:vAlign w:val="center"/>
                </w:tcPr>
                <w:p>
                  <w:pPr>
                    <w:pStyle w:val="57"/>
                  </w:pPr>
                  <w:r>
                    <w:t>有效成分四甲基氯化铵</w:t>
                  </w:r>
                </w:p>
              </w:tc>
              <w:tc>
                <w:tcPr>
                  <w:tcW w:w="766" w:type="pct"/>
                  <w:shd w:val="clear" w:color="auto" w:fill="auto"/>
                  <w:vAlign w:val="center"/>
                </w:tcPr>
                <w:p>
                  <w:pPr>
                    <w:pStyle w:val="57"/>
                  </w:pPr>
                  <w:r>
                    <w:rPr>
                      <w:rFonts w:hint="eastAsia"/>
                    </w:rPr>
                    <w:t>9.8</w:t>
                  </w:r>
                </w:p>
              </w:tc>
              <w:tc>
                <w:tcPr>
                  <w:tcW w:w="534" w:type="pct"/>
                  <w:shd w:val="clear" w:color="auto" w:fill="auto"/>
                  <w:vAlign w:val="center"/>
                </w:tcPr>
                <w:p>
                  <w:pPr>
                    <w:pStyle w:val="57"/>
                  </w:pPr>
                  <w:r>
                    <w:t>3.0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消泡剂</w:t>
                  </w:r>
                </w:p>
              </w:tc>
              <w:tc>
                <w:tcPr>
                  <w:tcW w:w="1021" w:type="pct"/>
                  <w:shd w:val="clear" w:color="auto" w:fill="auto"/>
                  <w:vAlign w:val="center"/>
                </w:tcPr>
                <w:p>
                  <w:pPr>
                    <w:pStyle w:val="57"/>
                  </w:pPr>
                  <w:r>
                    <w:t>聚二甲基硅醚</w:t>
                  </w:r>
                </w:p>
              </w:tc>
              <w:tc>
                <w:tcPr>
                  <w:tcW w:w="766" w:type="pct"/>
                  <w:shd w:val="clear" w:color="auto" w:fill="auto"/>
                  <w:vAlign w:val="center"/>
                </w:tcPr>
                <w:p>
                  <w:pPr>
                    <w:pStyle w:val="57"/>
                  </w:pPr>
                  <w:r>
                    <w:rPr>
                      <w:rFonts w:hint="eastAsia"/>
                    </w:rPr>
                    <w:t>1.4</w:t>
                  </w:r>
                </w:p>
              </w:tc>
              <w:tc>
                <w:tcPr>
                  <w:tcW w:w="534" w:type="pct"/>
                  <w:shd w:val="clear" w:color="auto" w:fill="auto"/>
                  <w:vAlign w:val="center"/>
                </w:tcPr>
                <w:p>
                  <w:pPr>
                    <w:pStyle w:val="57"/>
                  </w:pPr>
                  <w:r>
                    <w:t>1.0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低分子稠化剂SRFR-CH</w:t>
                  </w:r>
                  <w:r>
                    <w:rPr>
                      <w:vertAlign w:val="subscript"/>
                    </w:rPr>
                    <w:t>3</w:t>
                  </w:r>
                </w:p>
              </w:tc>
              <w:tc>
                <w:tcPr>
                  <w:tcW w:w="1021" w:type="pct"/>
                  <w:shd w:val="clear" w:color="auto" w:fill="auto"/>
                  <w:vAlign w:val="center"/>
                </w:tcPr>
                <w:p>
                  <w:pPr>
                    <w:pStyle w:val="57"/>
                  </w:pPr>
                  <w:r>
                    <w:t>改性豆胶</w:t>
                  </w:r>
                </w:p>
              </w:tc>
              <w:tc>
                <w:tcPr>
                  <w:tcW w:w="766" w:type="pct"/>
                  <w:shd w:val="clear" w:color="auto" w:fill="auto"/>
                  <w:vAlign w:val="center"/>
                </w:tcPr>
                <w:p>
                  <w:pPr>
                    <w:pStyle w:val="57"/>
                  </w:pPr>
                  <w:r>
                    <w:rPr>
                      <w:rFonts w:hint="eastAsia"/>
                    </w:rPr>
                    <w:t>4.2</w:t>
                  </w:r>
                </w:p>
              </w:tc>
              <w:tc>
                <w:tcPr>
                  <w:tcW w:w="534" w:type="pct"/>
                  <w:shd w:val="clear" w:color="auto" w:fill="auto"/>
                  <w:vAlign w:val="center"/>
                </w:tcPr>
                <w:p>
                  <w:pPr>
                    <w:pStyle w:val="57"/>
                  </w:pPr>
                  <w:r>
                    <w:t>1.0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流变助剂SRLB-2</w:t>
                  </w:r>
                </w:p>
              </w:tc>
              <w:tc>
                <w:tcPr>
                  <w:tcW w:w="1021" w:type="pct"/>
                  <w:shd w:val="clear" w:color="auto" w:fill="auto"/>
                  <w:vAlign w:val="center"/>
                </w:tcPr>
                <w:p>
                  <w:pPr>
                    <w:pStyle w:val="57"/>
                  </w:pPr>
                  <w:r>
                    <w:t>聚氧乙烯月桂醇醚硫酸钠</w:t>
                  </w:r>
                </w:p>
              </w:tc>
              <w:tc>
                <w:tcPr>
                  <w:tcW w:w="766" w:type="pct"/>
                  <w:shd w:val="clear" w:color="auto" w:fill="auto"/>
                  <w:vAlign w:val="center"/>
                </w:tcPr>
                <w:p>
                  <w:pPr>
                    <w:pStyle w:val="57"/>
                  </w:pPr>
                  <w:r>
                    <w:rPr>
                      <w:rFonts w:hint="eastAsia"/>
                    </w:rPr>
                    <w:t>4.2</w:t>
                  </w:r>
                </w:p>
              </w:tc>
              <w:tc>
                <w:tcPr>
                  <w:tcW w:w="534" w:type="pct"/>
                  <w:shd w:val="clear" w:color="auto" w:fill="auto"/>
                  <w:vAlign w:val="center"/>
                </w:tcPr>
                <w:p>
                  <w:pPr>
                    <w:pStyle w:val="57"/>
                  </w:pPr>
                  <w:r>
                    <w:t>1.0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铁稳定剂FL4-7</w:t>
                  </w:r>
                </w:p>
              </w:tc>
              <w:tc>
                <w:tcPr>
                  <w:tcW w:w="1021" w:type="pct"/>
                  <w:shd w:val="clear" w:color="auto" w:fill="auto"/>
                  <w:vAlign w:val="center"/>
                </w:tcPr>
                <w:p>
                  <w:pPr>
                    <w:pStyle w:val="57"/>
                  </w:pPr>
                  <w:r>
                    <w:t>十二烷基三甲基氯化铵</w:t>
                  </w:r>
                </w:p>
              </w:tc>
              <w:tc>
                <w:tcPr>
                  <w:tcW w:w="766" w:type="pct"/>
                  <w:shd w:val="clear" w:color="auto" w:fill="auto"/>
                  <w:vAlign w:val="center"/>
                </w:tcPr>
                <w:p>
                  <w:pPr>
                    <w:pStyle w:val="57"/>
                  </w:pPr>
                  <w:r>
                    <w:rPr>
                      <w:rFonts w:hint="eastAsia"/>
                    </w:rPr>
                    <w:t>1.4</w:t>
                  </w:r>
                </w:p>
              </w:tc>
              <w:tc>
                <w:tcPr>
                  <w:tcW w:w="534" w:type="pct"/>
                  <w:shd w:val="clear" w:color="auto" w:fill="auto"/>
                  <w:vAlign w:val="center"/>
                </w:tcPr>
                <w:p>
                  <w:pPr>
                    <w:pStyle w:val="57"/>
                  </w:pPr>
                  <w:r>
                    <w:t>1.0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粘土稳定剂FL4-3</w:t>
                  </w:r>
                </w:p>
              </w:tc>
              <w:tc>
                <w:tcPr>
                  <w:tcW w:w="1021" w:type="pct"/>
                  <w:shd w:val="clear" w:color="auto" w:fill="auto"/>
                  <w:vAlign w:val="center"/>
                </w:tcPr>
                <w:p>
                  <w:pPr>
                    <w:pStyle w:val="57"/>
                  </w:pPr>
                  <w:r>
                    <w:t>异抗坏血酸钠</w:t>
                  </w:r>
                </w:p>
              </w:tc>
              <w:tc>
                <w:tcPr>
                  <w:tcW w:w="766" w:type="pct"/>
                  <w:shd w:val="clear" w:color="auto" w:fill="auto"/>
                  <w:vAlign w:val="center"/>
                </w:tcPr>
                <w:p>
                  <w:pPr>
                    <w:pStyle w:val="57"/>
                  </w:pPr>
                  <w:r>
                    <w:rPr>
                      <w:rFonts w:hint="eastAsia"/>
                    </w:rPr>
                    <w:t>1.4</w:t>
                  </w:r>
                </w:p>
              </w:tc>
              <w:tc>
                <w:tcPr>
                  <w:tcW w:w="534" w:type="pct"/>
                  <w:shd w:val="clear" w:color="auto" w:fill="auto"/>
                  <w:vAlign w:val="center"/>
                </w:tcPr>
                <w:p>
                  <w:pPr>
                    <w:pStyle w:val="57"/>
                  </w:pPr>
                  <w:r>
                    <w:t>1.0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restart"/>
                  <w:shd w:val="clear" w:color="auto" w:fill="auto"/>
                  <w:vAlign w:val="center"/>
                </w:tcPr>
                <w:p>
                  <w:pPr>
                    <w:pStyle w:val="57"/>
                  </w:pPr>
                  <w:r>
                    <w:t>支撑剂用料</w:t>
                  </w:r>
                </w:p>
              </w:tc>
              <w:tc>
                <w:tcPr>
                  <w:tcW w:w="896" w:type="pct"/>
                  <w:shd w:val="clear" w:color="auto" w:fill="auto"/>
                  <w:vAlign w:val="center"/>
                </w:tcPr>
                <w:p>
                  <w:pPr>
                    <w:pStyle w:val="57"/>
                  </w:pPr>
                  <w:r>
                    <w:t>粉陶100目</w:t>
                  </w:r>
                </w:p>
              </w:tc>
              <w:tc>
                <w:tcPr>
                  <w:tcW w:w="1021" w:type="pct"/>
                  <w:shd w:val="clear" w:color="auto" w:fill="auto"/>
                  <w:vAlign w:val="center"/>
                </w:tcPr>
                <w:p>
                  <w:pPr>
                    <w:pStyle w:val="57"/>
                  </w:pPr>
                  <w:r>
                    <w:t>陶粒</w:t>
                  </w:r>
                </w:p>
              </w:tc>
              <w:tc>
                <w:tcPr>
                  <w:tcW w:w="766" w:type="pct"/>
                  <w:shd w:val="clear" w:color="auto" w:fill="auto"/>
                  <w:vAlign w:val="center"/>
                </w:tcPr>
                <w:p>
                  <w:pPr>
                    <w:pStyle w:val="57"/>
                  </w:pPr>
                  <w:r>
                    <w:rPr>
                      <w:rFonts w:hint="eastAsia"/>
                    </w:rPr>
                    <w:t>316.4</w:t>
                  </w:r>
                </w:p>
              </w:tc>
              <w:tc>
                <w:tcPr>
                  <w:tcW w:w="534" w:type="pct"/>
                  <w:shd w:val="clear" w:color="auto" w:fill="auto"/>
                  <w:vAlign w:val="center"/>
                </w:tcPr>
                <w:p>
                  <w:pPr>
                    <w:pStyle w:val="57"/>
                  </w:pPr>
                  <w:r>
                    <w:t>50.0</w:t>
                  </w:r>
                </w:p>
              </w:tc>
              <w:tc>
                <w:tcPr>
                  <w:tcW w:w="1237" w:type="pct"/>
                  <w:vMerge w:val="restart"/>
                  <w:shd w:val="clear" w:color="auto" w:fill="auto"/>
                  <w:vAlign w:val="center"/>
                </w:tcPr>
                <w:p>
                  <w:pPr>
                    <w:pStyle w:val="57"/>
                  </w:pPr>
                  <w:r>
                    <w:t>储存于2个80m</w:t>
                  </w:r>
                  <w:r>
                    <w:rPr>
                      <w:vertAlign w:val="superscript"/>
                    </w:rPr>
                    <w:t>3</w:t>
                  </w:r>
                  <w:r>
                    <w:t>立式砂罐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树覆砂40/70目</w:t>
                  </w:r>
                </w:p>
              </w:tc>
              <w:tc>
                <w:tcPr>
                  <w:tcW w:w="1021" w:type="pct"/>
                  <w:shd w:val="clear" w:color="auto" w:fill="auto"/>
                  <w:vAlign w:val="center"/>
                </w:tcPr>
                <w:p>
                  <w:pPr>
                    <w:pStyle w:val="57"/>
                  </w:pPr>
                  <w:r>
                    <w:t>石英砂</w:t>
                  </w:r>
                </w:p>
              </w:tc>
              <w:tc>
                <w:tcPr>
                  <w:tcW w:w="766" w:type="pct"/>
                  <w:shd w:val="clear" w:color="auto" w:fill="auto"/>
                  <w:vAlign w:val="center"/>
                </w:tcPr>
                <w:p>
                  <w:pPr>
                    <w:pStyle w:val="57"/>
                  </w:pPr>
                  <w:r>
                    <w:rPr>
                      <w:rFonts w:hint="eastAsia"/>
                    </w:rPr>
                    <w:t>1506.4</w:t>
                  </w:r>
                </w:p>
              </w:tc>
              <w:tc>
                <w:tcPr>
                  <w:tcW w:w="534" w:type="pct"/>
                  <w:shd w:val="clear" w:color="auto" w:fill="auto"/>
                  <w:vAlign w:val="center"/>
                </w:tcPr>
                <w:p>
                  <w:pPr>
                    <w:pStyle w:val="57"/>
                  </w:pPr>
                  <w:r>
                    <w:t>220.0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 w:type="pct"/>
                  <w:vMerge w:val="continue"/>
                  <w:vAlign w:val="center"/>
                </w:tcPr>
                <w:p>
                  <w:pPr>
                    <w:pStyle w:val="57"/>
                  </w:pPr>
                </w:p>
              </w:tc>
              <w:tc>
                <w:tcPr>
                  <w:tcW w:w="896" w:type="pct"/>
                  <w:shd w:val="clear" w:color="auto" w:fill="auto"/>
                  <w:vAlign w:val="center"/>
                </w:tcPr>
                <w:p>
                  <w:pPr>
                    <w:pStyle w:val="57"/>
                  </w:pPr>
                  <w:r>
                    <w:t>树脂覆膜砂30/50目</w:t>
                  </w:r>
                </w:p>
              </w:tc>
              <w:tc>
                <w:tcPr>
                  <w:tcW w:w="1021" w:type="pct"/>
                  <w:shd w:val="clear" w:color="auto" w:fill="auto"/>
                  <w:vAlign w:val="center"/>
                </w:tcPr>
                <w:p>
                  <w:pPr>
                    <w:pStyle w:val="57"/>
                  </w:pPr>
                  <w:r>
                    <w:t>石英砂</w:t>
                  </w:r>
                </w:p>
              </w:tc>
              <w:tc>
                <w:tcPr>
                  <w:tcW w:w="766" w:type="pct"/>
                  <w:shd w:val="clear" w:color="auto" w:fill="auto"/>
                  <w:vAlign w:val="center"/>
                </w:tcPr>
                <w:p>
                  <w:pPr>
                    <w:pStyle w:val="57"/>
                  </w:pPr>
                  <w:r>
                    <w:rPr>
                      <w:rFonts w:hint="eastAsia"/>
                    </w:rPr>
                    <w:t>211.4</w:t>
                  </w:r>
                </w:p>
              </w:tc>
              <w:tc>
                <w:tcPr>
                  <w:tcW w:w="534" w:type="pct"/>
                  <w:shd w:val="clear" w:color="auto" w:fill="auto"/>
                  <w:vAlign w:val="center"/>
                </w:tcPr>
                <w:p>
                  <w:pPr>
                    <w:pStyle w:val="57"/>
                  </w:pPr>
                  <w:r>
                    <w:t>30.0</w:t>
                  </w:r>
                </w:p>
              </w:tc>
              <w:tc>
                <w:tcPr>
                  <w:tcW w:w="1237"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3" w:type="pct"/>
                  <w:gridSpan w:val="3"/>
                  <w:shd w:val="clear" w:color="auto" w:fill="auto"/>
                  <w:vAlign w:val="center"/>
                </w:tcPr>
                <w:p>
                  <w:pPr>
                    <w:pStyle w:val="57"/>
                  </w:pPr>
                  <w:r>
                    <w:t>压裂材料合计（不含水）</w:t>
                  </w:r>
                </w:p>
              </w:tc>
              <w:tc>
                <w:tcPr>
                  <w:tcW w:w="766" w:type="pct"/>
                  <w:shd w:val="clear" w:color="auto" w:fill="auto"/>
                  <w:vAlign w:val="center"/>
                </w:tcPr>
                <w:p>
                  <w:pPr>
                    <w:pStyle w:val="57"/>
                  </w:pPr>
                  <w:r>
                    <w:rPr>
                      <w:rFonts w:hint="eastAsia"/>
                    </w:rPr>
                    <w:t>2060.8</w:t>
                  </w:r>
                </w:p>
              </w:tc>
              <w:tc>
                <w:tcPr>
                  <w:tcW w:w="534" w:type="pct"/>
                  <w:shd w:val="clear" w:color="auto" w:fill="auto"/>
                  <w:vAlign w:val="center"/>
                </w:tcPr>
                <w:p>
                  <w:pPr>
                    <w:pStyle w:val="57"/>
                  </w:pPr>
                  <w:r>
                    <w:t>/</w:t>
                  </w:r>
                </w:p>
              </w:tc>
              <w:tc>
                <w:tcPr>
                  <w:tcW w:w="1237" w:type="pct"/>
                  <w:shd w:val="clear" w:color="auto" w:fill="auto"/>
                  <w:vAlign w:val="center"/>
                </w:tcPr>
                <w:p>
                  <w:pPr>
                    <w:pStyle w:val="57"/>
                  </w:pPr>
                  <w:r>
                    <w:t>/</w:t>
                  </w:r>
                </w:p>
              </w:tc>
            </w:tr>
          </w:tbl>
          <w:p>
            <w:pPr>
              <w:adjustRightInd w:val="0"/>
              <w:snapToGrid w:val="0"/>
              <w:ind w:firstLine="0" w:firstLineChars="0"/>
              <w:rPr>
                <w:b/>
                <w:snapToGrid w:val="0"/>
                <w:kern w:val="0"/>
                <w:sz w:val="21"/>
                <w:szCs w:val="21"/>
              </w:rPr>
            </w:pPr>
            <w:r>
              <w:rPr>
                <w:b/>
                <w:snapToGrid w:val="0"/>
                <w:kern w:val="0"/>
                <w:sz w:val="21"/>
                <w:szCs w:val="21"/>
              </w:rPr>
              <w:t>5</w:t>
            </w:r>
            <w:r>
              <w:rPr>
                <w:rFonts w:hint="eastAsia"/>
                <w:b/>
                <w:snapToGrid w:val="0"/>
                <w:kern w:val="0"/>
                <w:sz w:val="21"/>
                <w:szCs w:val="21"/>
              </w:rPr>
              <w:t>、工程占地</w:t>
            </w:r>
          </w:p>
          <w:p>
            <w:pPr>
              <w:adjustRightInd w:val="0"/>
              <w:snapToGrid w:val="0"/>
              <w:ind w:firstLine="420"/>
              <w:rPr>
                <w:snapToGrid w:val="0"/>
                <w:kern w:val="0"/>
                <w:sz w:val="21"/>
                <w:szCs w:val="21"/>
              </w:rPr>
            </w:pPr>
            <w:r>
              <w:rPr>
                <w:rFonts w:hint="eastAsia"/>
                <w:snapToGrid w:val="0"/>
                <w:kern w:val="0"/>
                <w:sz w:val="21"/>
                <w:szCs w:val="21"/>
              </w:rPr>
              <w:t>项目用地均为临时用地，不涉及永久占地。本工程占地约</w:t>
            </w:r>
            <w:r>
              <w:rPr>
                <w:snapToGrid w:val="0"/>
                <w:kern w:val="0"/>
                <w:sz w:val="21"/>
                <w:szCs w:val="21"/>
              </w:rPr>
              <w:t>24390.89</w:t>
            </w:r>
            <w:r>
              <w:rPr>
                <w:rFonts w:hint="eastAsia"/>
                <w:snapToGrid w:val="0"/>
                <w:kern w:val="0"/>
                <w:sz w:val="21"/>
                <w:szCs w:val="21"/>
              </w:rPr>
              <w:t>m</w:t>
            </w:r>
            <w:r>
              <w:rPr>
                <w:rFonts w:hint="eastAsia"/>
                <w:snapToGrid w:val="0"/>
                <w:kern w:val="0"/>
                <w:sz w:val="21"/>
                <w:szCs w:val="21"/>
                <w:vertAlign w:val="superscript"/>
              </w:rPr>
              <w:t>2</w:t>
            </w:r>
            <w:r>
              <w:rPr>
                <w:rFonts w:hint="eastAsia"/>
                <w:snapToGrid w:val="0"/>
                <w:kern w:val="0"/>
                <w:sz w:val="21"/>
                <w:szCs w:val="21"/>
              </w:rPr>
              <w:t>，</w:t>
            </w:r>
            <w:r>
              <w:rPr>
                <w:rFonts w:hint="eastAsia"/>
                <w:bCs/>
                <w:snapToGrid w:val="0"/>
                <w:kern w:val="0"/>
                <w:sz w:val="21"/>
                <w:szCs w:val="21"/>
              </w:rPr>
              <w:t>占地类型主要为旱地、水田</w:t>
            </w:r>
            <w:r>
              <w:rPr>
                <w:rFonts w:hint="eastAsia"/>
                <w:snapToGrid w:val="0"/>
                <w:kern w:val="0"/>
                <w:sz w:val="21"/>
                <w:szCs w:val="21"/>
              </w:rPr>
              <w:t>。经核实项目临时占地占用</w:t>
            </w:r>
            <w:r>
              <w:rPr>
                <w:rFonts w:hint="eastAsia" w:hAnsi="宋体"/>
                <w:snapToGrid w:val="0"/>
                <w:kern w:val="0"/>
                <w:sz w:val="21"/>
                <w:szCs w:val="21"/>
              </w:rPr>
              <w:t>永久基本农田</w:t>
            </w:r>
            <w:r>
              <w:rPr>
                <w:rFonts w:hint="eastAsia"/>
                <w:snapToGrid w:val="0"/>
                <w:kern w:val="0"/>
                <w:sz w:val="21"/>
                <w:szCs w:val="21"/>
              </w:rPr>
              <w:t>，占用面积约为</w:t>
            </w:r>
            <w:r>
              <w:rPr>
                <w:snapToGrid w:val="0"/>
                <w:kern w:val="0"/>
                <w:sz w:val="21"/>
                <w:szCs w:val="21"/>
              </w:rPr>
              <w:t>19928.5</w:t>
            </w:r>
            <w:r>
              <w:rPr>
                <w:rFonts w:hint="eastAsia"/>
                <w:snapToGrid w:val="0"/>
                <w:kern w:val="0"/>
                <w:sz w:val="21"/>
                <w:szCs w:val="21"/>
              </w:rPr>
              <w:t>m</w:t>
            </w:r>
            <w:r>
              <w:rPr>
                <w:rFonts w:hint="eastAsia"/>
                <w:snapToGrid w:val="0"/>
                <w:kern w:val="0"/>
                <w:sz w:val="21"/>
                <w:szCs w:val="21"/>
                <w:vertAlign w:val="superscript"/>
              </w:rPr>
              <w:t>2</w:t>
            </w:r>
            <w:r>
              <w:rPr>
                <w:rFonts w:hint="eastAsia"/>
                <w:snapToGrid w:val="0"/>
                <w:kern w:val="0"/>
                <w:sz w:val="21"/>
                <w:szCs w:val="21"/>
              </w:rPr>
              <w:t>，根据《中华人民共和国土地管理法》《四川土地管理实施办法》，评价要求建设单位在项目开工建设前办理临时用地手续。</w:t>
            </w:r>
          </w:p>
          <w:p>
            <w:pPr>
              <w:adjustRightInd w:val="0"/>
              <w:snapToGrid w:val="0"/>
              <w:ind w:firstLine="420"/>
              <w:rPr>
                <w:snapToGrid w:val="0"/>
                <w:kern w:val="0"/>
                <w:sz w:val="21"/>
                <w:szCs w:val="21"/>
              </w:rPr>
            </w:pPr>
            <w:r>
              <w:rPr>
                <w:rFonts w:hint="eastAsia"/>
                <w:snapToGrid w:val="0"/>
                <w:kern w:val="0"/>
                <w:sz w:val="21"/>
                <w:szCs w:val="21"/>
              </w:rPr>
              <w:t>工程占地面积见表2-</w:t>
            </w:r>
            <w:r>
              <w:rPr>
                <w:snapToGrid w:val="0"/>
                <w:kern w:val="0"/>
                <w:sz w:val="21"/>
                <w:szCs w:val="21"/>
              </w:rPr>
              <w:t>8</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表2-</w:t>
            </w:r>
            <w:r>
              <w:rPr>
                <w:b/>
                <w:snapToGrid w:val="0"/>
                <w:kern w:val="0"/>
                <w:sz w:val="21"/>
                <w:szCs w:val="21"/>
              </w:rPr>
              <w:t xml:space="preserve">8  </w:t>
            </w:r>
            <w:r>
              <w:rPr>
                <w:rFonts w:hint="eastAsia"/>
                <w:b/>
                <w:snapToGrid w:val="0"/>
                <w:kern w:val="0"/>
                <w:sz w:val="21"/>
                <w:szCs w:val="21"/>
              </w:rPr>
              <w:t>项目占地统计表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240"/>
              <w:gridCol w:w="1934"/>
              <w:gridCol w:w="1386"/>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序号</w:t>
                  </w:r>
                </w:p>
              </w:tc>
              <w:tc>
                <w:tcPr>
                  <w:tcW w:w="2181" w:type="dxa"/>
                  <w:shd w:val="clear" w:color="auto" w:fill="auto"/>
                  <w:noWrap/>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用地项目</w:t>
                  </w:r>
                </w:p>
              </w:tc>
              <w:tc>
                <w:tcPr>
                  <w:tcW w:w="1883" w:type="dxa"/>
                  <w:shd w:val="clear" w:color="auto" w:fill="auto"/>
                  <w:noWrap/>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用地面积（m</w:t>
                  </w:r>
                  <w:r>
                    <w:rPr>
                      <w:b/>
                      <w:bCs/>
                      <w:snapToGrid w:val="0"/>
                      <w:kern w:val="0"/>
                      <w:sz w:val="21"/>
                      <w:szCs w:val="21"/>
                      <w:vertAlign w:val="superscript"/>
                    </w:rPr>
                    <w:t>2</w:t>
                  </w:r>
                  <w:r>
                    <w:rPr>
                      <w:b/>
                      <w:bCs/>
                      <w:snapToGrid w:val="0"/>
                      <w:kern w:val="0"/>
                      <w:sz w:val="21"/>
                      <w:szCs w:val="21"/>
                    </w:rPr>
                    <w:t>）</w:t>
                  </w:r>
                </w:p>
              </w:tc>
              <w:tc>
                <w:tcPr>
                  <w:tcW w:w="1350" w:type="dxa"/>
                  <w:shd w:val="clear" w:color="auto" w:fill="auto"/>
                  <w:noWrap/>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占地类型</w:t>
                  </w:r>
                </w:p>
              </w:tc>
              <w:tc>
                <w:tcPr>
                  <w:tcW w:w="1915" w:type="dxa"/>
                  <w:shd w:val="clear" w:color="auto" w:fill="auto"/>
                  <w:noWrap/>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土地类型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1</w:t>
                  </w:r>
                </w:p>
              </w:tc>
              <w:tc>
                <w:tcPr>
                  <w:tcW w:w="2181"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井场工程</w:t>
                  </w:r>
                </w:p>
              </w:tc>
              <w:tc>
                <w:tcPr>
                  <w:tcW w:w="1883"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10198.98</w:t>
                  </w:r>
                </w:p>
              </w:tc>
              <w:tc>
                <w:tcPr>
                  <w:tcW w:w="1350" w:type="dxa"/>
                  <w:vMerge w:val="restart"/>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临时占地</w:t>
                  </w: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2</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池类工程</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399.96</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3</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燃烧池</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859.91</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4</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临时房屋</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3066.36</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5</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改建道路</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3799.62</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6</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新建道路</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2733.06</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7</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耕植土堆放区</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2666.40</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8</w:t>
                  </w:r>
                </w:p>
              </w:tc>
              <w:tc>
                <w:tcPr>
                  <w:tcW w:w="2181"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边角用地</w:t>
                  </w:r>
                </w:p>
              </w:tc>
              <w:tc>
                <w:tcPr>
                  <w:tcW w:w="1883" w:type="dxa"/>
                  <w:shd w:val="clear" w:color="auto" w:fill="auto"/>
                  <w:noWrap/>
                  <w:vAlign w:val="center"/>
                </w:tcPr>
                <w:p>
                  <w:pPr>
                    <w:spacing w:line="240" w:lineRule="auto"/>
                    <w:ind w:firstLine="0" w:firstLineChars="0"/>
                    <w:jc w:val="center"/>
                    <w:rPr>
                      <w:snapToGrid w:val="0"/>
                      <w:kern w:val="0"/>
                      <w:sz w:val="21"/>
                      <w:szCs w:val="21"/>
                    </w:rPr>
                  </w:pPr>
                  <w:r>
                    <w:rPr>
                      <w:rFonts w:hint="eastAsia"/>
                      <w:snapToGrid w:val="0"/>
                      <w:kern w:val="0"/>
                      <w:sz w:val="21"/>
                      <w:szCs w:val="21"/>
                    </w:rPr>
                    <w:t>666.60</w:t>
                  </w:r>
                </w:p>
              </w:tc>
              <w:tc>
                <w:tcPr>
                  <w:tcW w:w="1350" w:type="dxa"/>
                  <w:vMerge w:val="continue"/>
                  <w:shd w:val="clear" w:color="auto" w:fill="auto"/>
                  <w:noWrap/>
                  <w:vAlign w:val="center"/>
                </w:tcPr>
                <w:p>
                  <w:pPr>
                    <w:widowControl/>
                    <w:spacing w:line="240" w:lineRule="auto"/>
                    <w:ind w:firstLine="0" w:firstLineChars="0"/>
                    <w:jc w:val="center"/>
                    <w:rPr>
                      <w:snapToGrid w:val="0"/>
                      <w:kern w:val="0"/>
                      <w:sz w:val="21"/>
                      <w:szCs w:val="21"/>
                    </w:rPr>
                  </w:pP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旱地、水田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3043" w:type="dxa"/>
                  <w:gridSpan w:val="2"/>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合计</w:t>
                  </w:r>
                </w:p>
              </w:tc>
              <w:tc>
                <w:tcPr>
                  <w:tcW w:w="1883" w:type="dxa"/>
                  <w:shd w:val="clear" w:color="auto" w:fill="auto"/>
                  <w:noWrap/>
                  <w:vAlign w:val="center"/>
                </w:tcPr>
                <w:p>
                  <w:pPr>
                    <w:widowControl/>
                    <w:spacing w:line="240" w:lineRule="auto"/>
                    <w:ind w:firstLine="0" w:firstLineChars="0"/>
                    <w:jc w:val="center"/>
                    <w:rPr>
                      <w:snapToGrid w:val="0"/>
                      <w:kern w:val="0"/>
                      <w:sz w:val="21"/>
                      <w:szCs w:val="21"/>
                    </w:rPr>
                  </w:pPr>
                  <w:r>
                    <w:rPr>
                      <w:snapToGrid w:val="0"/>
                      <w:kern w:val="0"/>
                      <w:sz w:val="21"/>
                      <w:szCs w:val="21"/>
                    </w:rPr>
                    <w:t>24390.89</w:t>
                  </w:r>
                </w:p>
              </w:tc>
              <w:tc>
                <w:tcPr>
                  <w:tcW w:w="1350"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w:t>
                  </w:r>
                </w:p>
              </w:tc>
              <w:tc>
                <w:tcPr>
                  <w:tcW w:w="1915" w:type="dxa"/>
                  <w:shd w:val="clear" w:color="auto" w:fill="auto"/>
                  <w:noWrap/>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w:t>
                  </w:r>
                </w:p>
              </w:tc>
            </w:tr>
          </w:tbl>
          <w:p>
            <w:pPr>
              <w:adjustRightInd w:val="0"/>
              <w:snapToGrid w:val="0"/>
              <w:ind w:firstLine="420"/>
              <w:rPr>
                <w:snapToGrid w:val="0"/>
                <w:kern w:val="0"/>
                <w:sz w:val="21"/>
                <w:szCs w:val="21"/>
              </w:rPr>
            </w:pPr>
            <w:r>
              <w:rPr>
                <w:snapToGrid w:val="0"/>
                <w:kern w:val="0"/>
                <w:sz w:val="21"/>
                <w:szCs w:val="21"/>
              </w:rPr>
              <w:t>根据</w:t>
            </w:r>
            <w:r>
              <w:rPr>
                <w:rFonts w:hint="eastAsia"/>
                <w:snapToGrid w:val="0"/>
                <w:kern w:val="0"/>
                <w:sz w:val="21"/>
                <w:szCs w:val="21"/>
              </w:rPr>
              <w:t>油气</w:t>
            </w:r>
            <w:r>
              <w:rPr>
                <w:snapToGrid w:val="0"/>
                <w:kern w:val="0"/>
                <w:sz w:val="21"/>
                <w:szCs w:val="21"/>
              </w:rPr>
              <w:t>勘探工程项目建设特点，为取得较好的勘探成果</w:t>
            </w:r>
            <w:r>
              <w:rPr>
                <w:rFonts w:hint="eastAsia"/>
                <w:snapToGrid w:val="0"/>
                <w:kern w:val="0"/>
                <w:sz w:val="21"/>
                <w:szCs w:val="21"/>
              </w:rPr>
              <w:t>以及在</w:t>
            </w:r>
            <w:r>
              <w:rPr>
                <w:snapToGrid w:val="0"/>
                <w:kern w:val="0"/>
                <w:sz w:val="21"/>
                <w:szCs w:val="21"/>
              </w:rPr>
              <w:t>后期</w:t>
            </w:r>
            <w:r>
              <w:rPr>
                <w:rFonts w:hint="eastAsia"/>
                <w:snapToGrid w:val="0"/>
                <w:kern w:val="0"/>
                <w:sz w:val="21"/>
                <w:szCs w:val="21"/>
              </w:rPr>
              <w:t>油气</w:t>
            </w:r>
            <w:r>
              <w:rPr>
                <w:snapToGrid w:val="0"/>
                <w:kern w:val="0"/>
                <w:sz w:val="21"/>
                <w:szCs w:val="21"/>
              </w:rPr>
              <w:t>开发过程中取得较好的环境经济效益，避免工程建设投资回报过低，</w:t>
            </w:r>
            <w:r>
              <w:rPr>
                <w:rFonts w:hint="eastAsia"/>
                <w:snapToGrid w:val="0"/>
                <w:kern w:val="0"/>
                <w:sz w:val="21"/>
                <w:szCs w:val="21"/>
              </w:rPr>
              <w:t>建设</w:t>
            </w:r>
            <w:r>
              <w:rPr>
                <w:snapToGrid w:val="0"/>
                <w:kern w:val="0"/>
                <w:sz w:val="21"/>
                <w:szCs w:val="21"/>
              </w:rPr>
              <w:t>单位在前期工作中对于深埋地下的油气资源分布情况及规律进行了三维地震勘探工作，并根据三维地震勘探对区域天然气的成藏条件、分布情况、分布规律以及天然气埋深等</w:t>
            </w:r>
            <w:r>
              <w:rPr>
                <w:rFonts w:hint="eastAsia"/>
                <w:snapToGrid w:val="0"/>
                <w:kern w:val="0"/>
                <w:sz w:val="21"/>
                <w:szCs w:val="21"/>
              </w:rPr>
              <w:t>情况</w:t>
            </w:r>
            <w:r>
              <w:rPr>
                <w:snapToGrid w:val="0"/>
                <w:kern w:val="0"/>
                <w:sz w:val="21"/>
                <w:szCs w:val="21"/>
              </w:rPr>
              <w:t>进行了分析解读，</w:t>
            </w:r>
            <w:r>
              <w:rPr>
                <w:rFonts w:hint="eastAsia"/>
                <w:snapToGrid w:val="0"/>
                <w:kern w:val="0"/>
                <w:sz w:val="21"/>
                <w:szCs w:val="21"/>
              </w:rPr>
              <w:t>因此</w:t>
            </w:r>
            <w:r>
              <w:rPr>
                <w:snapToGrid w:val="0"/>
                <w:kern w:val="0"/>
                <w:sz w:val="21"/>
                <w:szCs w:val="21"/>
              </w:rPr>
              <w:t>在进行天然气勘探井的地面选址时，将</w:t>
            </w:r>
            <w:r>
              <w:rPr>
                <w:rFonts w:hint="eastAsia"/>
                <w:snapToGrid w:val="0"/>
                <w:kern w:val="0"/>
                <w:sz w:val="21"/>
                <w:szCs w:val="21"/>
              </w:rPr>
              <w:t>受到</w:t>
            </w:r>
            <w:r>
              <w:rPr>
                <w:snapToGrid w:val="0"/>
                <w:kern w:val="0"/>
                <w:sz w:val="21"/>
                <w:szCs w:val="21"/>
              </w:rPr>
              <w:t>地下成藏条件的极大限制，形成</w:t>
            </w:r>
            <w:r>
              <w:rPr>
                <w:rFonts w:hint="eastAsia"/>
                <w:snapToGrid w:val="0"/>
                <w:kern w:val="0"/>
                <w:sz w:val="21"/>
                <w:szCs w:val="21"/>
              </w:rPr>
              <w:t>“</w:t>
            </w:r>
            <w:r>
              <w:rPr>
                <w:snapToGrid w:val="0"/>
                <w:kern w:val="0"/>
                <w:sz w:val="21"/>
                <w:szCs w:val="21"/>
              </w:rPr>
              <w:t>地下决定地上</w:t>
            </w:r>
            <w:r>
              <w:rPr>
                <w:rFonts w:hint="eastAsia"/>
                <w:snapToGrid w:val="0"/>
                <w:kern w:val="0"/>
                <w:sz w:val="21"/>
                <w:szCs w:val="21"/>
              </w:rPr>
              <w:t>”</w:t>
            </w:r>
            <w:r>
              <w:rPr>
                <w:snapToGrid w:val="0"/>
                <w:kern w:val="0"/>
                <w:sz w:val="21"/>
                <w:szCs w:val="21"/>
              </w:rPr>
              <w:t>的勘探工程选址模式。且项目所在区域内耕地及林地分布较多，永久基本农田普遍分布，选址无法完全避开永久基本农田。项目在选址时除井场、进场道路等主体工程外，临时生活区等选址已尽量避让永久基本农田，在选址阶段将项目建设对永久基本农田的影响降至最低程度。</w:t>
            </w:r>
          </w:p>
          <w:p>
            <w:pPr>
              <w:adjustRightInd w:val="0"/>
              <w:snapToGrid w:val="0"/>
              <w:ind w:firstLine="422"/>
              <w:rPr>
                <w:b/>
                <w:snapToGrid w:val="0"/>
                <w:kern w:val="0"/>
                <w:sz w:val="21"/>
                <w:szCs w:val="21"/>
              </w:rPr>
            </w:pPr>
            <w:r>
              <w:rPr>
                <w:b/>
                <w:snapToGrid w:val="0"/>
                <w:kern w:val="0"/>
                <w:sz w:val="21"/>
                <w:szCs w:val="21"/>
              </w:rPr>
              <w:t>6</w:t>
            </w:r>
            <w:r>
              <w:rPr>
                <w:rFonts w:hint="eastAsia"/>
                <w:b/>
                <w:snapToGrid w:val="0"/>
                <w:kern w:val="0"/>
                <w:sz w:val="21"/>
                <w:szCs w:val="21"/>
              </w:rPr>
              <w:t>、土石方平衡</w:t>
            </w:r>
          </w:p>
          <w:p>
            <w:pPr>
              <w:autoSpaceDE w:val="0"/>
              <w:autoSpaceDN w:val="0"/>
              <w:adjustRightInd w:val="0"/>
              <w:ind w:firstLine="420"/>
              <w:rPr>
                <w:snapToGrid w:val="0"/>
                <w:kern w:val="0"/>
                <w:sz w:val="21"/>
                <w:szCs w:val="21"/>
                <w:highlight w:val="yellow"/>
              </w:rPr>
            </w:pPr>
            <w:r>
              <w:rPr>
                <w:rFonts w:hint="eastAsia" w:hAnsi="宋体"/>
                <w:snapToGrid w:val="0"/>
                <w:kern w:val="0"/>
                <w:sz w:val="21"/>
                <w:szCs w:val="21"/>
              </w:rPr>
              <w:t>根据《平安</w:t>
            </w:r>
            <w:r>
              <w:rPr>
                <w:rFonts w:hAnsi="宋体"/>
                <w:snapToGrid w:val="0"/>
                <w:kern w:val="0"/>
                <w:sz w:val="21"/>
                <w:szCs w:val="21"/>
              </w:rPr>
              <w:t>7井</w:t>
            </w:r>
            <w:r>
              <w:rPr>
                <w:rFonts w:hint="eastAsia" w:hAnsi="宋体"/>
                <w:snapToGrid w:val="0"/>
                <w:kern w:val="0"/>
                <w:sz w:val="21"/>
                <w:szCs w:val="21"/>
              </w:rPr>
              <w:t>钻前工程土建工程设计文件》（四川科宏石油天然气工程有限公司，2</w:t>
            </w:r>
            <w:r>
              <w:rPr>
                <w:rFonts w:hAnsi="宋体"/>
                <w:snapToGrid w:val="0"/>
                <w:kern w:val="0"/>
                <w:sz w:val="21"/>
                <w:szCs w:val="21"/>
              </w:rPr>
              <w:t>024年2</w:t>
            </w:r>
            <w:r>
              <w:rPr>
                <w:rFonts w:hint="eastAsia" w:hAnsi="宋体"/>
                <w:snapToGrid w:val="0"/>
                <w:kern w:val="0"/>
                <w:sz w:val="21"/>
                <w:szCs w:val="21"/>
              </w:rPr>
              <w:t>月），拟建工程挖方量</w:t>
            </w:r>
            <w:r>
              <w:rPr>
                <w:rFonts w:hAnsi="宋体"/>
                <w:snapToGrid w:val="0"/>
                <w:kern w:val="0"/>
                <w:sz w:val="21"/>
                <w:szCs w:val="21"/>
              </w:rPr>
              <w:t>17719.40</w:t>
            </w:r>
            <w:r>
              <w:rPr>
                <w:snapToGrid w:val="0"/>
                <w:kern w:val="0"/>
                <w:sz w:val="21"/>
                <w:szCs w:val="21"/>
              </w:rPr>
              <w:t>m</w:t>
            </w:r>
            <w:r>
              <w:rPr>
                <w:snapToGrid w:val="0"/>
                <w:kern w:val="0"/>
                <w:sz w:val="21"/>
                <w:szCs w:val="21"/>
                <w:vertAlign w:val="superscript"/>
              </w:rPr>
              <w:t>3</w:t>
            </w:r>
            <w:r>
              <w:rPr>
                <w:rFonts w:hint="eastAsia"/>
                <w:snapToGrid w:val="0"/>
                <w:kern w:val="0"/>
                <w:sz w:val="21"/>
                <w:szCs w:val="21"/>
              </w:rPr>
              <w:t>（包括耕植土</w:t>
            </w:r>
            <w:r>
              <w:rPr>
                <w:snapToGrid w:val="0"/>
                <w:kern w:val="0"/>
                <w:sz w:val="21"/>
                <w:szCs w:val="21"/>
              </w:rPr>
              <w:t>3813.30m</w:t>
            </w:r>
            <w:r>
              <w:rPr>
                <w:snapToGrid w:val="0"/>
                <w:kern w:val="0"/>
                <w:sz w:val="21"/>
                <w:szCs w:val="21"/>
                <w:vertAlign w:val="superscript"/>
              </w:rPr>
              <w:t>3</w:t>
            </w:r>
            <w:r>
              <w:rPr>
                <w:rFonts w:hint="eastAsia"/>
                <w:snapToGrid w:val="0"/>
                <w:kern w:val="0"/>
                <w:sz w:val="21"/>
                <w:szCs w:val="21"/>
              </w:rPr>
              <w:t>）</w:t>
            </w:r>
            <w:r>
              <w:rPr>
                <w:rFonts w:hint="eastAsia" w:hAnsi="宋体"/>
                <w:snapToGrid w:val="0"/>
                <w:kern w:val="0"/>
                <w:sz w:val="21"/>
                <w:szCs w:val="21"/>
              </w:rPr>
              <w:t>，</w:t>
            </w:r>
            <w:r>
              <w:rPr>
                <w:snapToGrid w:val="0"/>
                <w:kern w:val="0"/>
                <w:sz w:val="21"/>
                <w:szCs w:val="21"/>
              </w:rPr>
              <w:t>填方</w:t>
            </w:r>
            <w:r>
              <w:rPr>
                <w:rFonts w:hAnsi="宋体"/>
                <w:snapToGrid w:val="0"/>
                <w:kern w:val="0"/>
                <w:sz w:val="21"/>
                <w:szCs w:val="21"/>
              </w:rPr>
              <w:t>17719.40</w:t>
            </w:r>
            <w:r>
              <w:rPr>
                <w:snapToGrid w:val="0"/>
                <w:kern w:val="0"/>
                <w:sz w:val="21"/>
                <w:szCs w:val="21"/>
              </w:rPr>
              <w:t>m</w:t>
            </w:r>
            <w:r>
              <w:rPr>
                <w:snapToGrid w:val="0"/>
                <w:kern w:val="0"/>
                <w:sz w:val="21"/>
                <w:szCs w:val="21"/>
                <w:vertAlign w:val="superscript"/>
              </w:rPr>
              <w:t>3</w:t>
            </w:r>
            <w:r>
              <w:rPr>
                <w:snapToGrid w:val="0"/>
                <w:kern w:val="0"/>
                <w:sz w:val="21"/>
                <w:szCs w:val="21"/>
              </w:rPr>
              <w:t>（包括后期生态恢复</w:t>
            </w:r>
            <w:r>
              <w:rPr>
                <w:rFonts w:hint="eastAsia"/>
                <w:snapToGrid w:val="0"/>
                <w:kern w:val="0"/>
                <w:sz w:val="21"/>
                <w:szCs w:val="21"/>
              </w:rPr>
              <w:t>覆土</w:t>
            </w:r>
            <w:r>
              <w:rPr>
                <w:snapToGrid w:val="0"/>
                <w:kern w:val="0"/>
                <w:sz w:val="21"/>
                <w:szCs w:val="21"/>
              </w:rPr>
              <w:t>3813.30m</w:t>
            </w:r>
            <w:r>
              <w:rPr>
                <w:snapToGrid w:val="0"/>
                <w:kern w:val="0"/>
                <w:sz w:val="21"/>
                <w:szCs w:val="21"/>
                <w:vertAlign w:val="superscript"/>
              </w:rPr>
              <w:t>3</w:t>
            </w:r>
            <w:r>
              <w:rPr>
                <w:snapToGrid w:val="0"/>
                <w:kern w:val="0"/>
                <w:sz w:val="21"/>
                <w:szCs w:val="21"/>
              </w:rPr>
              <w:t>）</w:t>
            </w:r>
            <w:r>
              <w:rPr>
                <w:rFonts w:hint="eastAsia"/>
                <w:snapToGrid w:val="0"/>
                <w:kern w:val="0"/>
                <w:sz w:val="21"/>
                <w:szCs w:val="21"/>
              </w:rPr>
              <w:t>。井场外设置</w:t>
            </w:r>
            <w:r>
              <w:rPr>
                <w:snapToGrid w:val="0"/>
                <w:kern w:val="0"/>
                <w:sz w:val="21"/>
                <w:szCs w:val="21"/>
              </w:rPr>
              <w:t>1</w:t>
            </w:r>
            <w:r>
              <w:rPr>
                <w:rFonts w:hint="eastAsia"/>
                <w:snapToGrid w:val="0"/>
                <w:kern w:val="0"/>
                <w:sz w:val="21"/>
                <w:szCs w:val="21"/>
              </w:rPr>
              <w:t>处耕植土堆放场，位于井场东北侧，占地面积</w:t>
            </w:r>
            <w:r>
              <w:rPr>
                <w:snapToGrid w:val="0"/>
                <w:kern w:val="0"/>
                <w:sz w:val="21"/>
                <w:szCs w:val="21"/>
              </w:rPr>
              <w:t>2666.40m</w:t>
            </w:r>
            <w:r>
              <w:rPr>
                <w:snapToGrid w:val="0"/>
                <w:kern w:val="0"/>
                <w:sz w:val="21"/>
                <w:szCs w:val="21"/>
                <w:vertAlign w:val="superscript"/>
              </w:rPr>
              <w:t>2</w:t>
            </w:r>
            <w:r>
              <w:rPr>
                <w:rFonts w:hint="eastAsia"/>
                <w:snapToGrid w:val="0"/>
                <w:kern w:val="0"/>
                <w:sz w:val="21"/>
                <w:szCs w:val="21"/>
              </w:rPr>
              <w:t>，耕植土堆放场设计堆放高度为</w:t>
            </w:r>
            <w:r>
              <w:rPr>
                <w:snapToGrid w:val="0"/>
                <w:kern w:val="0"/>
                <w:sz w:val="21"/>
                <w:szCs w:val="21"/>
              </w:rPr>
              <w:t>1.5m</w:t>
            </w:r>
            <w:r>
              <w:rPr>
                <w:rFonts w:hint="eastAsia"/>
                <w:snapToGrid w:val="0"/>
                <w:kern w:val="0"/>
                <w:sz w:val="21"/>
                <w:szCs w:val="21"/>
              </w:rPr>
              <w:t>，合计最大堆放量</w:t>
            </w:r>
            <w:r>
              <w:rPr>
                <w:snapToGrid w:val="0"/>
                <w:kern w:val="0"/>
                <w:sz w:val="21"/>
                <w:szCs w:val="21"/>
              </w:rPr>
              <w:t>3999.6m</w:t>
            </w:r>
            <w:r>
              <w:rPr>
                <w:snapToGrid w:val="0"/>
                <w:kern w:val="0"/>
                <w:sz w:val="21"/>
                <w:szCs w:val="21"/>
                <w:vertAlign w:val="superscript"/>
              </w:rPr>
              <w:t>3</w:t>
            </w:r>
            <w:r>
              <w:rPr>
                <w:rFonts w:hint="eastAsia"/>
                <w:snapToGrid w:val="0"/>
                <w:kern w:val="0"/>
                <w:sz w:val="21"/>
                <w:szCs w:val="21"/>
              </w:rPr>
              <w:t>，能够满足耕植土堆放需求。耕植土堆放场表面应覆盖土工布或塑料膜遮盖。表土用于后期生态恢复，最终做到土石方平衡。项目可实现场地内土石方平衡，不设置弃土场。</w:t>
            </w:r>
          </w:p>
          <w:p>
            <w:pPr>
              <w:autoSpaceDE w:val="0"/>
              <w:autoSpaceDN w:val="0"/>
              <w:adjustRightInd w:val="0"/>
              <w:ind w:firstLine="420"/>
              <w:rPr>
                <w:snapToGrid w:val="0"/>
                <w:kern w:val="0"/>
                <w:sz w:val="21"/>
                <w:szCs w:val="21"/>
              </w:rPr>
            </w:pPr>
            <w:r>
              <w:rPr>
                <w:rFonts w:hint="eastAsia" w:hAnsi="宋体"/>
                <w:snapToGrid w:val="0"/>
                <w:kern w:val="0"/>
                <w:sz w:val="21"/>
                <w:szCs w:val="21"/>
              </w:rPr>
              <w:t>钻前工程土石方工程量如</w:t>
            </w:r>
            <w:r>
              <w:rPr>
                <w:rFonts w:hint="eastAsia"/>
                <w:snapToGrid w:val="0"/>
                <w:kern w:val="0"/>
                <w:sz w:val="21"/>
                <w:szCs w:val="21"/>
              </w:rPr>
              <w:t>表2-</w:t>
            </w:r>
            <w:r>
              <w:rPr>
                <w:snapToGrid w:val="0"/>
                <w:kern w:val="0"/>
                <w:sz w:val="21"/>
                <w:szCs w:val="21"/>
              </w:rPr>
              <w:t>9</w:t>
            </w:r>
            <w:r>
              <w:rPr>
                <w:rFonts w:hint="eastAsia" w:hAnsi="宋体"/>
                <w:snapToGrid w:val="0"/>
                <w:kern w:val="0"/>
                <w:sz w:val="21"/>
                <w:szCs w:val="21"/>
              </w:rPr>
              <w:t>。</w:t>
            </w:r>
          </w:p>
          <w:p>
            <w:pPr>
              <w:adjustRightInd w:val="0"/>
              <w:snapToGrid w:val="0"/>
              <w:ind w:firstLine="422"/>
              <w:jc w:val="center"/>
              <w:rPr>
                <w:b/>
                <w:snapToGrid w:val="0"/>
                <w:kern w:val="0"/>
                <w:sz w:val="21"/>
                <w:szCs w:val="21"/>
              </w:rPr>
            </w:pPr>
            <w:r>
              <w:rPr>
                <w:rFonts w:hint="eastAsia"/>
                <w:b/>
                <w:snapToGrid w:val="0"/>
                <w:kern w:val="0"/>
                <w:sz w:val="21"/>
                <w:szCs w:val="21"/>
              </w:rPr>
              <w:t>表2-</w:t>
            </w:r>
            <w:r>
              <w:rPr>
                <w:b/>
                <w:snapToGrid w:val="0"/>
                <w:kern w:val="0"/>
                <w:sz w:val="21"/>
                <w:szCs w:val="21"/>
              </w:rPr>
              <w:t xml:space="preserve">8  </w:t>
            </w:r>
            <w:r>
              <w:rPr>
                <w:rFonts w:hint="eastAsia"/>
                <w:b/>
                <w:snapToGrid w:val="0"/>
                <w:kern w:val="0"/>
                <w:sz w:val="21"/>
                <w:szCs w:val="21"/>
              </w:rPr>
              <w:t>平安</w:t>
            </w:r>
            <w:r>
              <w:rPr>
                <w:b/>
                <w:snapToGrid w:val="0"/>
                <w:kern w:val="0"/>
                <w:sz w:val="21"/>
                <w:szCs w:val="21"/>
              </w:rPr>
              <w:t>7井</w:t>
            </w:r>
            <w:r>
              <w:rPr>
                <w:rFonts w:hint="eastAsia"/>
                <w:b/>
                <w:snapToGrid w:val="0"/>
                <w:kern w:val="0"/>
                <w:sz w:val="21"/>
                <w:szCs w:val="21"/>
              </w:rPr>
              <w:t>钻前工程土石方平衡一览表（m</w:t>
            </w:r>
            <w:r>
              <w:rPr>
                <w:rFonts w:hint="eastAsia"/>
                <w:b/>
                <w:snapToGrid w:val="0"/>
                <w:kern w:val="0"/>
                <w:sz w:val="21"/>
                <w:szCs w:val="21"/>
                <w:vertAlign w:val="superscript"/>
              </w:rPr>
              <w:t>3</w:t>
            </w:r>
            <w:r>
              <w:rPr>
                <w:rFonts w:hint="eastAsia"/>
                <w:b/>
                <w:snapToGrid w:val="0"/>
                <w:kern w:val="0"/>
                <w:sz w:val="21"/>
                <w:szCs w:val="21"/>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566"/>
              <w:gridCol w:w="1721"/>
              <w:gridCol w:w="1256"/>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vMerge w:val="restart"/>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项目</w:t>
                  </w:r>
                </w:p>
              </w:tc>
              <w:tc>
                <w:tcPr>
                  <w:tcW w:w="3201" w:type="dxa"/>
                  <w:gridSpan w:val="2"/>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挖方</w:t>
                  </w:r>
                </w:p>
              </w:tc>
              <w:tc>
                <w:tcPr>
                  <w:tcW w:w="1223" w:type="dxa"/>
                  <w:vMerge w:val="restart"/>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填方</w:t>
                  </w:r>
                </w:p>
              </w:tc>
              <w:tc>
                <w:tcPr>
                  <w:tcW w:w="1489" w:type="dxa"/>
                  <w:vMerge w:val="restart"/>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耕植土回填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vMerge w:val="continue"/>
                  <w:vAlign w:val="center"/>
                </w:tcPr>
                <w:p>
                  <w:pPr>
                    <w:widowControl/>
                    <w:spacing w:line="240" w:lineRule="auto"/>
                    <w:ind w:firstLine="0" w:firstLineChars="0"/>
                    <w:jc w:val="center"/>
                    <w:rPr>
                      <w:bCs/>
                      <w:snapToGrid w:val="0"/>
                      <w:kern w:val="0"/>
                      <w:sz w:val="21"/>
                      <w:szCs w:val="21"/>
                      <w:highlight w:val="yellow"/>
                    </w:rPr>
                  </w:pP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土石方</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耕植土</w:t>
                  </w:r>
                </w:p>
              </w:tc>
              <w:tc>
                <w:tcPr>
                  <w:tcW w:w="1223" w:type="dxa"/>
                  <w:vMerge w:val="continue"/>
                  <w:shd w:val="clear" w:color="auto" w:fill="auto"/>
                  <w:noWrap/>
                  <w:vAlign w:val="center"/>
                </w:tcPr>
                <w:p>
                  <w:pPr>
                    <w:widowControl/>
                    <w:spacing w:line="240" w:lineRule="auto"/>
                    <w:ind w:firstLine="0" w:firstLineChars="0"/>
                    <w:jc w:val="center"/>
                    <w:rPr>
                      <w:bCs/>
                      <w:snapToGrid w:val="0"/>
                      <w:kern w:val="0"/>
                      <w:sz w:val="21"/>
                      <w:szCs w:val="21"/>
                      <w:highlight w:val="yellow"/>
                    </w:rPr>
                  </w:pPr>
                </w:p>
              </w:tc>
              <w:tc>
                <w:tcPr>
                  <w:tcW w:w="1489" w:type="dxa"/>
                  <w:vMerge w:val="continue"/>
                  <w:shd w:val="clear" w:color="auto" w:fill="auto"/>
                  <w:noWrap/>
                  <w:vAlign w:val="center"/>
                </w:tcPr>
                <w:p>
                  <w:pPr>
                    <w:widowControl/>
                    <w:spacing w:line="240" w:lineRule="auto"/>
                    <w:ind w:firstLine="0" w:firstLineChars="0"/>
                    <w:jc w:val="center"/>
                    <w:rPr>
                      <w:bCs/>
                      <w:snapToGrid w:val="0"/>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井场工程</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6528.00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3657.00</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12387.00</w:t>
                  </w:r>
                </w:p>
              </w:tc>
              <w:tc>
                <w:tcPr>
                  <w:tcW w:w="1489" w:type="dxa"/>
                  <w:vMerge w:val="restart"/>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3813.30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设备基础</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1390.20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池类工程</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562.00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156.30</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328.60</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燃烧池</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352.00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85.50</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场内排水沟</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138.70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临时房屋</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314.20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126.00</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改建道路</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1681.00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122.00</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新修道路</w:t>
                  </w:r>
                </w:p>
              </w:tc>
              <w:tc>
                <w:tcPr>
                  <w:tcW w:w="1525"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2940.00</w:t>
                  </w:r>
                </w:p>
              </w:tc>
              <w:tc>
                <w:tcPr>
                  <w:tcW w:w="1676" w:type="dxa"/>
                  <w:shd w:val="clear" w:color="auto" w:fill="auto"/>
                  <w:noWrap/>
                  <w:vAlign w:val="center"/>
                </w:tcPr>
                <w:p>
                  <w:pPr>
                    <w:widowControl/>
                    <w:spacing w:line="240" w:lineRule="auto"/>
                    <w:ind w:firstLine="0" w:firstLineChars="0"/>
                    <w:jc w:val="center"/>
                    <w:rPr>
                      <w:bCs/>
                      <w:snapToGrid w:val="0"/>
                      <w:kern w:val="0"/>
                      <w:sz w:val="21"/>
                      <w:szCs w:val="21"/>
                    </w:rPr>
                  </w:pPr>
                  <w:r>
                    <w:rPr>
                      <w:rFonts w:hint="eastAsia"/>
                      <w:bCs/>
                      <w:snapToGrid w:val="0"/>
                      <w:kern w:val="0"/>
                      <w:sz w:val="21"/>
                      <w:szCs w:val="21"/>
                    </w:rPr>
                    <w:t>/</w:t>
                  </w:r>
                </w:p>
              </w:tc>
              <w:tc>
                <w:tcPr>
                  <w:tcW w:w="1223"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857.00</w:t>
                  </w:r>
                </w:p>
              </w:tc>
              <w:tc>
                <w:tcPr>
                  <w:tcW w:w="1489" w:type="dxa"/>
                  <w:vMerge w:val="continue"/>
                  <w:vAlign w:val="center"/>
                </w:tcPr>
                <w:p>
                  <w:pPr>
                    <w:widowControl/>
                    <w:spacing w:line="240" w:lineRule="auto"/>
                    <w:ind w:firstLine="0" w:firstLineChars="0"/>
                    <w:jc w:val="center"/>
                    <w:rPr>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8"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合计</w:t>
                  </w:r>
                </w:p>
              </w:tc>
              <w:tc>
                <w:tcPr>
                  <w:tcW w:w="1525" w:type="dxa"/>
                  <w:shd w:val="clear" w:color="auto" w:fill="auto"/>
                  <w:noWrap/>
                  <w:vAlign w:val="center"/>
                </w:tcPr>
                <w:p>
                  <w:pPr>
                    <w:spacing w:line="240" w:lineRule="auto"/>
                    <w:ind w:firstLine="0" w:firstLineChars="0"/>
                    <w:jc w:val="center"/>
                    <w:rPr>
                      <w:bCs/>
                      <w:snapToGrid w:val="0"/>
                      <w:kern w:val="0"/>
                      <w:sz w:val="21"/>
                      <w:szCs w:val="21"/>
                    </w:rPr>
                  </w:pPr>
                  <w:r>
                    <w:rPr>
                      <w:bCs/>
                      <w:snapToGrid w:val="0"/>
                      <w:kern w:val="0"/>
                      <w:sz w:val="21"/>
                      <w:szCs w:val="21"/>
                    </w:rPr>
                    <w:t>13906.10</w:t>
                  </w:r>
                </w:p>
              </w:tc>
              <w:tc>
                <w:tcPr>
                  <w:tcW w:w="1676" w:type="dxa"/>
                  <w:shd w:val="clear" w:color="auto" w:fill="auto"/>
                  <w:noWrap/>
                  <w:vAlign w:val="center"/>
                </w:tcPr>
                <w:p>
                  <w:pPr>
                    <w:spacing w:line="240" w:lineRule="auto"/>
                    <w:ind w:firstLine="0" w:firstLineChars="0"/>
                    <w:jc w:val="center"/>
                    <w:rPr>
                      <w:bCs/>
                      <w:snapToGrid w:val="0"/>
                      <w:kern w:val="0"/>
                      <w:sz w:val="21"/>
                      <w:szCs w:val="21"/>
                    </w:rPr>
                  </w:pPr>
                  <w:r>
                    <w:rPr>
                      <w:bCs/>
                      <w:snapToGrid w:val="0"/>
                      <w:kern w:val="0"/>
                      <w:sz w:val="21"/>
                      <w:szCs w:val="21"/>
                    </w:rPr>
                    <w:t>3813.30</w:t>
                  </w:r>
                </w:p>
              </w:tc>
              <w:tc>
                <w:tcPr>
                  <w:tcW w:w="1223" w:type="dxa"/>
                  <w:shd w:val="clear" w:color="auto" w:fill="auto"/>
                  <w:noWrap/>
                  <w:vAlign w:val="center"/>
                </w:tcPr>
                <w:p>
                  <w:pPr>
                    <w:spacing w:line="240" w:lineRule="auto"/>
                    <w:ind w:firstLine="0" w:firstLineChars="0"/>
                    <w:jc w:val="center"/>
                    <w:rPr>
                      <w:bCs/>
                      <w:snapToGrid w:val="0"/>
                      <w:kern w:val="0"/>
                      <w:sz w:val="21"/>
                      <w:szCs w:val="21"/>
                    </w:rPr>
                  </w:pPr>
                  <w:r>
                    <w:rPr>
                      <w:bCs/>
                      <w:snapToGrid w:val="0"/>
                      <w:kern w:val="0"/>
                      <w:sz w:val="21"/>
                      <w:szCs w:val="21"/>
                    </w:rPr>
                    <w:t>13906.10</w:t>
                  </w:r>
                </w:p>
              </w:tc>
              <w:tc>
                <w:tcPr>
                  <w:tcW w:w="1489" w:type="dxa"/>
                  <w:shd w:val="clear" w:color="auto" w:fill="auto"/>
                  <w:noWrap/>
                  <w:vAlign w:val="center"/>
                </w:tcPr>
                <w:p>
                  <w:pPr>
                    <w:widowControl/>
                    <w:spacing w:line="240" w:lineRule="auto"/>
                    <w:ind w:firstLine="0" w:firstLineChars="0"/>
                    <w:jc w:val="center"/>
                    <w:rPr>
                      <w:bCs/>
                      <w:snapToGrid w:val="0"/>
                      <w:kern w:val="0"/>
                      <w:sz w:val="21"/>
                      <w:szCs w:val="21"/>
                    </w:rPr>
                  </w:pPr>
                  <w:r>
                    <w:rPr>
                      <w:bCs/>
                      <w:snapToGrid w:val="0"/>
                      <w:kern w:val="0"/>
                      <w:sz w:val="21"/>
                      <w:szCs w:val="21"/>
                    </w:rPr>
                    <w:t>3813.30</w:t>
                  </w:r>
                </w:p>
              </w:tc>
            </w:tr>
          </w:tbl>
          <w:p>
            <w:pPr>
              <w:ind w:firstLine="420"/>
              <w:rPr>
                <w:sz w:val="21"/>
                <w:szCs w:val="21"/>
              </w:rPr>
            </w:pPr>
            <w:r>
              <w:rPr>
                <w:rFonts w:hint="eastAsia"/>
                <w:snapToGrid w:val="0"/>
                <w:kern w:val="0"/>
                <w:sz w:val="21"/>
                <w:szCs w:val="21"/>
              </w:rPr>
              <w:t>耕植土堆放前先用沿耕植土堆放场靠外边修建M7.5浆砌片石挡土墙护脚，同时，在耕植土堆放场围护外侧30cm处开挖30cm</w:t>
            </w:r>
            <w:r>
              <w:rPr>
                <w:snapToGrid w:val="0"/>
                <w:kern w:val="0"/>
                <w:sz w:val="21"/>
                <w:szCs w:val="21"/>
              </w:rPr>
              <w:t>×</w:t>
            </w:r>
            <w:r>
              <w:rPr>
                <w:rFonts w:hint="eastAsia"/>
                <w:snapToGrid w:val="0"/>
                <w:kern w:val="0"/>
                <w:sz w:val="21"/>
                <w:szCs w:val="21"/>
              </w:rPr>
              <w:t>30cm的简易排水沟排水，以防止雨水冲刷造成水土流失，待钻井项目完成后用于场地的复垦。耕植土应均匀回填並并夯压整平，回填整平后之后尽快植草以防耕植土流失。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55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kern w:val="0"/>
                <w:sz w:val="21"/>
                <w:szCs w:val="21"/>
              </w:rPr>
            </w:pPr>
            <w:r>
              <w:rPr>
                <w:kern w:val="0"/>
                <w:sz w:val="21"/>
                <w:szCs w:val="21"/>
              </w:rPr>
              <w:t>总平面及现场布置</w:t>
            </w:r>
          </w:p>
        </w:tc>
        <w:tc>
          <w:tcPr>
            <w:tcW w:w="842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rPr>
                <w:snapToGrid w:val="0"/>
                <w:kern w:val="0"/>
                <w:sz w:val="21"/>
                <w:szCs w:val="21"/>
              </w:rPr>
            </w:pPr>
            <w:r>
              <w:rPr>
                <w:rFonts w:hint="eastAsia"/>
                <w:snapToGrid w:val="0"/>
                <w:kern w:val="0"/>
                <w:sz w:val="21"/>
                <w:szCs w:val="21"/>
              </w:rPr>
              <w:t>井场布置均应按照《钻前工程及井场布置技术要求SY/T5466-2013》中相关规定执行。</w:t>
            </w:r>
          </w:p>
          <w:p>
            <w:pPr>
              <w:adjustRightInd w:val="0"/>
              <w:snapToGrid w:val="0"/>
              <w:ind w:firstLine="0" w:firstLineChars="0"/>
              <w:rPr>
                <w:b/>
                <w:snapToGrid w:val="0"/>
                <w:kern w:val="0"/>
                <w:sz w:val="21"/>
                <w:szCs w:val="21"/>
              </w:rPr>
            </w:pPr>
            <w:r>
              <w:rPr>
                <w:rFonts w:hint="eastAsia"/>
                <w:b/>
                <w:snapToGrid w:val="0"/>
                <w:kern w:val="0"/>
                <w:sz w:val="21"/>
                <w:szCs w:val="21"/>
              </w:rPr>
              <w:t>1、井场布局</w:t>
            </w:r>
          </w:p>
          <w:p>
            <w:pPr>
              <w:adjustRightInd w:val="0"/>
              <w:snapToGrid w:val="0"/>
              <w:ind w:firstLine="420"/>
              <w:rPr>
                <w:snapToGrid w:val="0"/>
                <w:kern w:val="0"/>
                <w:sz w:val="21"/>
                <w:szCs w:val="21"/>
              </w:rPr>
            </w:pPr>
            <w:r>
              <w:rPr>
                <w:rFonts w:hint="eastAsia"/>
                <w:snapToGrid w:val="0"/>
                <w:kern w:val="0"/>
                <w:sz w:val="21"/>
                <w:szCs w:val="21"/>
              </w:rPr>
              <w:t>平安</w:t>
            </w:r>
            <w:r>
              <w:rPr>
                <w:snapToGrid w:val="0"/>
                <w:kern w:val="0"/>
                <w:sz w:val="21"/>
                <w:szCs w:val="21"/>
              </w:rPr>
              <w:t>7井</w:t>
            </w:r>
            <w:r>
              <w:rPr>
                <w:rFonts w:hint="eastAsia"/>
                <w:snapToGrid w:val="0"/>
                <w:kern w:val="0"/>
                <w:sz w:val="21"/>
                <w:szCs w:val="21"/>
              </w:rPr>
              <w:t>井场沿西-东方向摆放，左场宽</w:t>
            </w:r>
            <w:r>
              <w:rPr>
                <w:snapToGrid w:val="0"/>
                <w:kern w:val="0"/>
                <w:sz w:val="21"/>
                <w:szCs w:val="21"/>
              </w:rPr>
              <w:t>25</w:t>
            </w:r>
            <w:r>
              <w:rPr>
                <w:rFonts w:hint="eastAsia"/>
                <w:snapToGrid w:val="0"/>
                <w:kern w:val="0"/>
                <w:sz w:val="21"/>
                <w:szCs w:val="21"/>
              </w:rPr>
              <w:t>m，右场宽</w:t>
            </w:r>
            <w:r>
              <w:rPr>
                <w:snapToGrid w:val="0"/>
                <w:kern w:val="0"/>
                <w:sz w:val="21"/>
                <w:szCs w:val="21"/>
              </w:rPr>
              <w:t>30</w:t>
            </w:r>
            <w:r>
              <w:rPr>
                <w:rFonts w:hint="eastAsia"/>
                <w:snapToGrid w:val="0"/>
                <w:kern w:val="0"/>
                <w:sz w:val="21"/>
                <w:szCs w:val="21"/>
              </w:rPr>
              <w:t>m。清洁生产操作平台布设于井场外西南侧前端（其中150m</w:t>
            </w:r>
            <w:r>
              <w:rPr>
                <w:rFonts w:hint="eastAsia"/>
                <w:snapToGrid w:val="0"/>
                <w:kern w:val="0"/>
                <w:sz w:val="21"/>
                <w:szCs w:val="21"/>
                <w:vertAlign w:val="superscript"/>
              </w:rPr>
              <w:t>2</w:t>
            </w:r>
            <w:r>
              <w:rPr>
                <w:rFonts w:hint="eastAsia"/>
                <w:snapToGrid w:val="0"/>
                <w:kern w:val="0"/>
                <w:sz w:val="21"/>
                <w:szCs w:val="21"/>
              </w:rPr>
              <w:t>作为岩屑堆放区），应急池布设于井场外东侧，油、水罐基础位于井场外西北侧，生活区位于井场外西南侧；泥浆储备罐基础布设于井场外南侧；燃烧池（配套设置集酸池）位于井场外东北侧距井口1</w:t>
            </w:r>
            <w:r>
              <w:rPr>
                <w:snapToGrid w:val="0"/>
                <w:kern w:val="0"/>
                <w:sz w:val="21"/>
                <w:szCs w:val="21"/>
              </w:rPr>
              <w:t>32</w:t>
            </w:r>
            <w:r>
              <w:rPr>
                <w:rFonts w:hint="eastAsia"/>
                <w:snapToGrid w:val="0"/>
                <w:kern w:val="0"/>
                <w:sz w:val="21"/>
                <w:szCs w:val="21"/>
              </w:rPr>
              <w:t>m处，耕植土堆放场布设于井场外东北侧；井场周边有环形污水沟及截水沟实现雨污分流。</w:t>
            </w:r>
          </w:p>
          <w:p>
            <w:pPr>
              <w:adjustRightInd w:val="0"/>
              <w:snapToGrid w:val="0"/>
              <w:ind w:firstLine="0" w:firstLineChars="0"/>
              <w:rPr>
                <w:b/>
                <w:snapToGrid w:val="0"/>
                <w:kern w:val="0"/>
                <w:sz w:val="21"/>
                <w:szCs w:val="21"/>
              </w:rPr>
            </w:pPr>
            <w:r>
              <w:rPr>
                <w:rFonts w:hint="eastAsia"/>
                <w:b/>
                <w:snapToGrid w:val="0"/>
                <w:kern w:val="0"/>
                <w:sz w:val="21"/>
                <w:szCs w:val="21"/>
              </w:rPr>
              <w:t>2、井场布局的合理性分析</w:t>
            </w:r>
          </w:p>
          <w:p>
            <w:pPr>
              <w:adjustRightInd w:val="0"/>
              <w:snapToGrid w:val="0"/>
              <w:ind w:firstLine="420"/>
              <w:rPr>
                <w:bCs/>
                <w:snapToGrid w:val="0"/>
                <w:kern w:val="0"/>
                <w:sz w:val="21"/>
                <w:szCs w:val="21"/>
              </w:rPr>
            </w:pPr>
            <w:r>
              <w:rPr>
                <w:rFonts w:hAnsi="宋体"/>
                <w:bCs/>
                <w:snapToGrid w:val="0"/>
                <w:kern w:val="0"/>
                <w:sz w:val="21"/>
                <w:szCs w:val="21"/>
              </w:rPr>
              <w:t>本次评价从燃烧池布置、油</w:t>
            </w:r>
            <w:r>
              <w:rPr>
                <w:rFonts w:hint="eastAsia" w:hAnsi="宋体"/>
                <w:bCs/>
                <w:snapToGrid w:val="0"/>
                <w:kern w:val="0"/>
                <w:sz w:val="21"/>
                <w:szCs w:val="21"/>
              </w:rPr>
              <w:t>、水</w:t>
            </w:r>
            <w:r>
              <w:rPr>
                <w:rFonts w:hAnsi="宋体"/>
                <w:bCs/>
                <w:snapToGrid w:val="0"/>
                <w:kern w:val="0"/>
                <w:sz w:val="21"/>
                <w:szCs w:val="21"/>
              </w:rPr>
              <w:t>罐区布置合理性分析本工程平面布置的合理性，平面布置执行《钻前工程及井场布置技术要求》（</w:t>
            </w:r>
            <w:r>
              <w:rPr>
                <w:bCs/>
                <w:snapToGrid w:val="0"/>
                <w:kern w:val="0"/>
                <w:sz w:val="21"/>
                <w:szCs w:val="21"/>
              </w:rPr>
              <w:t>SY/T5466-2013</w:t>
            </w:r>
            <w:r>
              <w:rPr>
                <w:rFonts w:hAnsi="宋体"/>
                <w:bCs/>
                <w:snapToGrid w:val="0"/>
                <w:kern w:val="0"/>
                <w:sz w:val="21"/>
                <w:szCs w:val="21"/>
              </w:rPr>
              <w:t>）、《石油与天然气钻井、开发、储运防火防爆安全生产管理规定》（</w:t>
            </w:r>
            <w:r>
              <w:rPr>
                <w:bCs/>
                <w:snapToGrid w:val="0"/>
                <w:kern w:val="0"/>
                <w:sz w:val="21"/>
                <w:szCs w:val="21"/>
              </w:rPr>
              <w:t>SY5225-2012</w:t>
            </w:r>
            <w:r>
              <w:rPr>
                <w:rFonts w:hAnsi="宋体"/>
                <w:bCs/>
                <w:snapToGrid w:val="0"/>
                <w:kern w:val="0"/>
                <w:sz w:val="21"/>
                <w:szCs w:val="21"/>
              </w:rPr>
              <w:t>）等石油天然气行业标准的相关规定。</w:t>
            </w:r>
          </w:p>
          <w:p>
            <w:pPr>
              <w:adjustRightInd w:val="0"/>
              <w:snapToGrid w:val="0"/>
              <w:ind w:firstLine="420"/>
              <w:rPr>
                <w:bCs/>
                <w:snapToGrid w:val="0"/>
                <w:kern w:val="0"/>
                <w:sz w:val="21"/>
                <w:szCs w:val="21"/>
              </w:rPr>
            </w:pPr>
            <w:r>
              <w:rPr>
                <w:rFonts w:hAnsi="宋体"/>
                <w:bCs/>
                <w:snapToGrid w:val="0"/>
                <w:kern w:val="0"/>
                <w:sz w:val="21"/>
                <w:szCs w:val="21"/>
              </w:rPr>
              <w:t>（</w:t>
            </w:r>
            <w:r>
              <w:rPr>
                <w:bCs/>
                <w:snapToGrid w:val="0"/>
                <w:kern w:val="0"/>
                <w:sz w:val="21"/>
                <w:szCs w:val="21"/>
              </w:rPr>
              <w:t>1</w:t>
            </w:r>
            <w:r>
              <w:rPr>
                <w:rFonts w:hAnsi="宋体"/>
                <w:bCs/>
                <w:snapToGrid w:val="0"/>
                <w:kern w:val="0"/>
                <w:sz w:val="21"/>
                <w:szCs w:val="21"/>
              </w:rPr>
              <w:t>）油罐区布置合理性分析</w:t>
            </w:r>
          </w:p>
          <w:p>
            <w:pPr>
              <w:adjustRightInd w:val="0"/>
              <w:snapToGrid w:val="0"/>
              <w:ind w:firstLine="420"/>
              <w:rPr>
                <w:rFonts w:hAnsi="宋体"/>
                <w:bCs/>
                <w:snapToGrid w:val="0"/>
                <w:kern w:val="0"/>
                <w:sz w:val="21"/>
                <w:szCs w:val="21"/>
              </w:rPr>
            </w:pPr>
            <w:r>
              <w:rPr>
                <w:rFonts w:hAnsi="宋体"/>
                <w:bCs/>
                <w:snapToGrid w:val="0"/>
                <w:kern w:val="0"/>
                <w:sz w:val="21"/>
                <w:szCs w:val="21"/>
              </w:rPr>
              <w:t>根据《石油天然气钻井、开发、储运防火防爆安全生产技术规程（</w:t>
            </w:r>
            <w:r>
              <w:rPr>
                <w:bCs/>
                <w:snapToGrid w:val="0"/>
                <w:kern w:val="0"/>
                <w:sz w:val="21"/>
                <w:szCs w:val="21"/>
              </w:rPr>
              <w:t>SY5225-2012</w:t>
            </w:r>
            <w:r>
              <w:rPr>
                <w:rFonts w:hAnsi="宋体"/>
                <w:bCs/>
                <w:snapToGrid w:val="0"/>
                <w:kern w:val="0"/>
                <w:sz w:val="21"/>
                <w:szCs w:val="21"/>
              </w:rPr>
              <w:t>）》中第</w:t>
            </w:r>
            <w:r>
              <w:rPr>
                <w:bCs/>
                <w:snapToGrid w:val="0"/>
                <w:kern w:val="0"/>
                <w:sz w:val="21"/>
                <w:szCs w:val="21"/>
              </w:rPr>
              <w:t>3.1.3</w:t>
            </w:r>
            <w:r>
              <w:rPr>
                <w:rFonts w:hAnsi="宋体"/>
                <w:bCs/>
                <w:snapToGrid w:val="0"/>
                <w:kern w:val="0"/>
                <w:sz w:val="21"/>
                <w:szCs w:val="21"/>
              </w:rPr>
              <w:t>条规定：柴油罐区距井口应不小于</w:t>
            </w:r>
            <w:r>
              <w:rPr>
                <w:bCs/>
                <w:snapToGrid w:val="0"/>
                <w:kern w:val="0"/>
                <w:sz w:val="21"/>
                <w:szCs w:val="21"/>
              </w:rPr>
              <w:t>30m</w:t>
            </w:r>
            <w:r>
              <w:rPr>
                <w:rFonts w:hAnsi="宋体"/>
                <w:bCs/>
                <w:snapToGrid w:val="0"/>
                <w:kern w:val="0"/>
                <w:sz w:val="21"/>
                <w:szCs w:val="21"/>
              </w:rPr>
              <w:t>，</w:t>
            </w:r>
            <w:r>
              <w:rPr>
                <w:rFonts w:hint="eastAsia" w:hAnsi="宋体"/>
                <w:bCs/>
                <w:snapToGrid w:val="0"/>
                <w:kern w:val="0"/>
                <w:sz w:val="21"/>
                <w:szCs w:val="21"/>
              </w:rPr>
              <w:t>根据平安</w:t>
            </w:r>
            <w:r>
              <w:rPr>
                <w:rFonts w:hAnsi="宋体"/>
                <w:bCs/>
                <w:snapToGrid w:val="0"/>
                <w:kern w:val="0"/>
                <w:sz w:val="21"/>
                <w:szCs w:val="21"/>
              </w:rPr>
              <w:t>7井平面布置可知，该井</w:t>
            </w:r>
            <w:r>
              <w:rPr>
                <w:rFonts w:hint="eastAsia" w:hAnsi="宋体"/>
                <w:bCs/>
                <w:snapToGrid w:val="0"/>
                <w:kern w:val="0"/>
                <w:sz w:val="21"/>
                <w:szCs w:val="21"/>
              </w:rPr>
              <w:t>油罐区</w:t>
            </w:r>
            <w:r>
              <w:rPr>
                <w:rFonts w:hAnsi="宋体"/>
                <w:bCs/>
                <w:snapToGrid w:val="0"/>
                <w:kern w:val="0"/>
                <w:sz w:val="21"/>
                <w:szCs w:val="21"/>
              </w:rPr>
              <w:t>布置在</w:t>
            </w:r>
            <w:r>
              <w:rPr>
                <w:rFonts w:hint="eastAsia" w:hAnsi="宋体"/>
                <w:bCs/>
                <w:snapToGrid w:val="0"/>
                <w:kern w:val="0"/>
                <w:sz w:val="21"/>
                <w:szCs w:val="21"/>
              </w:rPr>
              <w:t>井场外西侧</w:t>
            </w:r>
            <w:r>
              <w:rPr>
                <w:rFonts w:hAnsi="宋体"/>
                <w:bCs/>
                <w:snapToGrid w:val="0"/>
                <w:kern w:val="0"/>
                <w:sz w:val="21"/>
                <w:szCs w:val="21"/>
              </w:rPr>
              <w:t>，</w:t>
            </w:r>
            <w:r>
              <w:rPr>
                <w:rFonts w:hint="eastAsia" w:hAnsi="宋体"/>
                <w:bCs/>
                <w:snapToGrid w:val="0"/>
                <w:kern w:val="0"/>
                <w:sz w:val="21"/>
                <w:szCs w:val="21"/>
              </w:rPr>
              <w:t>距井口5</w:t>
            </w:r>
            <w:r>
              <w:rPr>
                <w:rFonts w:hAnsi="宋体"/>
                <w:bCs/>
                <w:snapToGrid w:val="0"/>
                <w:kern w:val="0"/>
                <w:sz w:val="21"/>
                <w:szCs w:val="21"/>
              </w:rPr>
              <w:t>2</w:t>
            </w:r>
            <w:r>
              <w:rPr>
                <w:rFonts w:hint="eastAsia" w:hAnsi="宋体"/>
                <w:bCs/>
                <w:snapToGrid w:val="0"/>
                <w:kern w:val="0"/>
                <w:sz w:val="21"/>
                <w:szCs w:val="21"/>
              </w:rPr>
              <w:t>m，</w:t>
            </w:r>
            <w:r>
              <w:rPr>
                <w:rFonts w:hAnsi="宋体"/>
                <w:bCs/>
                <w:snapToGrid w:val="0"/>
                <w:kern w:val="0"/>
                <w:sz w:val="21"/>
                <w:szCs w:val="21"/>
              </w:rPr>
              <w:t>满足防火间距的要求。且油罐采用架空式储存，罐体下方设置围堰及隔油池，发生泄露易发现，并能及时收集，便于职工监管，故满足要求。</w:t>
            </w:r>
          </w:p>
          <w:p>
            <w:pPr>
              <w:adjustRightInd w:val="0"/>
              <w:snapToGrid w:val="0"/>
              <w:ind w:firstLine="420"/>
              <w:rPr>
                <w:bCs/>
                <w:snapToGrid w:val="0"/>
                <w:kern w:val="0"/>
                <w:sz w:val="21"/>
                <w:szCs w:val="21"/>
              </w:rPr>
            </w:pPr>
            <w:r>
              <w:rPr>
                <w:rFonts w:hAnsi="宋体"/>
                <w:bCs/>
                <w:snapToGrid w:val="0"/>
                <w:kern w:val="0"/>
                <w:sz w:val="21"/>
                <w:szCs w:val="21"/>
              </w:rPr>
              <w:t>（</w:t>
            </w:r>
            <w:r>
              <w:rPr>
                <w:rFonts w:hint="eastAsia"/>
                <w:bCs/>
                <w:snapToGrid w:val="0"/>
                <w:kern w:val="0"/>
                <w:sz w:val="21"/>
                <w:szCs w:val="21"/>
              </w:rPr>
              <w:t>2</w:t>
            </w:r>
            <w:r>
              <w:rPr>
                <w:rFonts w:hAnsi="宋体"/>
                <w:bCs/>
                <w:snapToGrid w:val="0"/>
                <w:kern w:val="0"/>
                <w:sz w:val="21"/>
                <w:szCs w:val="21"/>
              </w:rPr>
              <w:t>）燃烧池布置合理性分析</w:t>
            </w:r>
          </w:p>
          <w:p>
            <w:pPr>
              <w:ind w:firstLine="420"/>
              <w:rPr>
                <w:bCs/>
                <w:snapToGrid w:val="0"/>
                <w:kern w:val="0"/>
                <w:sz w:val="21"/>
                <w:szCs w:val="21"/>
              </w:rPr>
            </w:pPr>
            <w:r>
              <w:rPr>
                <w:bCs/>
                <w:snapToGrid w:val="0"/>
                <w:kern w:val="0"/>
                <w:sz w:val="21"/>
                <w:szCs w:val="21"/>
              </w:rPr>
              <w:t>根据《钻井井控技术规程》（SY/T6426-2005）中的第4.1.2.3条规定：放喷管线应接至距井口75m以上的安全地带，距各种设施不小于50m。根据《石油天然气钻井、开发、储运防火防爆安全生产技术规程》（SY5225-2012）第3.1.4规定：放喷管线出口距井口应不小于75m；根据《陆上石油天然气生产环境保护推荐作法》（SY/T6628-2005）中第5.3.1条规定：放喷池和火炬应限于安全地点，尽可能考虑选择井场主导风向的下风向放喷或点燃火炬，还应使排入大气的气体完全燃烧。根据项目井场平面布置可知，本项目</w:t>
            </w:r>
            <w:r>
              <w:rPr>
                <w:rFonts w:hint="eastAsia"/>
                <w:bCs/>
                <w:snapToGrid w:val="0"/>
                <w:kern w:val="0"/>
                <w:sz w:val="21"/>
                <w:szCs w:val="21"/>
              </w:rPr>
              <w:t>燃烧池</w:t>
            </w:r>
            <w:r>
              <w:rPr>
                <w:bCs/>
                <w:snapToGrid w:val="0"/>
                <w:kern w:val="0"/>
                <w:sz w:val="21"/>
                <w:szCs w:val="21"/>
              </w:rPr>
              <w:t>位于</w:t>
            </w:r>
            <w:r>
              <w:rPr>
                <w:rFonts w:hint="eastAsia"/>
                <w:bCs/>
                <w:snapToGrid w:val="0"/>
                <w:kern w:val="0"/>
                <w:sz w:val="21"/>
                <w:szCs w:val="21"/>
              </w:rPr>
              <w:t>井口东北</w:t>
            </w:r>
            <w:r>
              <w:rPr>
                <w:bCs/>
                <w:snapToGrid w:val="0"/>
                <w:kern w:val="0"/>
                <w:sz w:val="21"/>
                <w:szCs w:val="21"/>
              </w:rPr>
              <w:t>侧，距离井口约132m，根据调查，放喷池周围50m范围内无各类设施和民房。由此可见，放喷池设置满足相关规定，布置合理。</w:t>
            </w:r>
          </w:p>
          <w:p>
            <w:pPr>
              <w:adjustRightInd w:val="0"/>
              <w:snapToGrid w:val="0"/>
              <w:ind w:firstLine="420"/>
              <w:rPr>
                <w:bCs/>
                <w:snapToGrid w:val="0"/>
                <w:kern w:val="0"/>
                <w:sz w:val="21"/>
                <w:szCs w:val="21"/>
              </w:rPr>
            </w:pPr>
            <w:r>
              <w:rPr>
                <w:rFonts w:hAnsi="宋体"/>
                <w:bCs/>
                <w:snapToGrid w:val="0"/>
                <w:kern w:val="0"/>
                <w:sz w:val="21"/>
                <w:szCs w:val="21"/>
              </w:rPr>
              <w:t>（</w:t>
            </w:r>
            <w:r>
              <w:rPr>
                <w:rFonts w:hint="eastAsia"/>
                <w:bCs/>
                <w:snapToGrid w:val="0"/>
                <w:kern w:val="0"/>
                <w:sz w:val="21"/>
                <w:szCs w:val="21"/>
              </w:rPr>
              <w:t>3</w:t>
            </w:r>
            <w:r>
              <w:rPr>
                <w:rFonts w:hAnsi="宋体"/>
                <w:bCs/>
                <w:snapToGrid w:val="0"/>
                <w:kern w:val="0"/>
                <w:sz w:val="21"/>
                <w:szCs w:val="21"/>
              </w:rPr>
              <w:t>）隔油池布置合理性分析</w:t>
            </w:r>
          </w:p>
          <w:p>
            <w:pPr>
              <w:adjustRightInd w:val="0"/>
              <w:snapToGrid w:val="0"/>
              <w:ind w:firstLine="420"/>
              <w:rPr>
                <w:rFonts w:hAnsi="宋体"/>
                <w:bCs/>
                <w:snapToGrid w:val="0"/>
                <w:kern w:val="0"/>
                <w:sz w:val="21"/>
                <w:szCs w:val="21"/>
              </w:rPr>
            </w:pPr>
            <w:r>
              <w:rPr>
                <w:rFonts w:hint="eastAsia" w:hAnsi="宋体"/>
                <w:snapToGrid w:val="0"/>
                <w:kern w:val="0"/>
                <w:sz w:val="21"/>
                <w:szCs w:val="21"/>
              </w:rPr>
              <w:t>7个隔油池，其中4个容积为4m</w:t>
            </w:r>
            <w:r>
              <w:rPr>
                <w:rFonts w:hint="eastAsia" w:hAnsi="宋体"/>
                <w:snapToGrid w:val="0"/>
                <w:kern w:val="0"/>
                <w:sz w:val="21"/>
                <w:szCs w:val="21"/>
                <w:vertAlign w:val="superscript"/>
              </w:rPr>
              <w:t>3</w:t>
            </w:r>
            <w:r>
              <w:rPr>
                <w:rFonts w:hint="eastAsia" w:hAnsi="宋体"/>
                <w:snapToGrid w:val="0"/>
                <w:kern w:val="0"/>
                <w:sz w:val="21"/>
                <w:szCs w:val="21"/>
              </w:rPr>
              <w:t>/个，分别位于井场四角、油罐区、泥浆储备罐区；1个20m</w:t>
            </w:r>
            <w:r>
              <w:rPr>
                <w:rFonts w:hint="eastAsia" w:hAnsi="宋体"/>
                <w:snapToGrid w:val="0"/>
                <w:kern w:val="0"/>
                <w:sz w:val="21"/>
                <w:szCs w:val="21"/>
                <w:vertAlign w:val="superscript"/>
              </w:rPr>
              <w:t>3</w:t>
            </w:r>
            <w:r>
              <w:rPr>
                <w:rFonts w:hint="eastAsia" w:hAnsi="宋体"/>
                <w:snapToGrid w:val="0"/>
                <w:kern w:val="0"/>
                <w:sz w:val="21"/>
                <w:szCs w:val="21"/>
              </w:rPr>
              <w:t>，位于生活区</w:t>
            </w:r>
          </w:p>
          <w:p>
            <w:pPr>
              <w:adjustRightInd w:val="0"/>
              <w:snapToGrid w:val="0"/>
              <w:ind w:firstLine="420"/>
              <w:rPr>
                <w:bCs/>
                <w:snapToGrid w:val="0"/>
                <w:kern w:val="0"/>
                <w:sz w:val="21"/>
                <w:szCs w:val="21"/>
              </w:rPr>
            </w:pPr>
            <w:r>
              <w:rPr>
                <w:rFonts w:hAnsi="宋体"/>
                <w:bCs/>
                <w:snapToGrid w:val="0"/>
                <w:kern w:val="0"/>
                <w:sz w:val="21"/>
                <w:szCs w:val="21"/>
              </w:rPr>
              <w:t>油罐区隔油池位置尽量靠近废油产生源，便于及时</w:t>
            </w:r>
            <w:r>
              <w:rPr>
                <w:rFonts w:hint="eastAsia" w:hAnsi="宋体"/>
                <w:bCs/>
                <w:snapToGrid w:val="0"/>
                <w:kern w:val="0"/>
                <w:sz w:val="21"/>
                <w:szCs w:val="21"/>
              </w:rPr>
              <w:t>收集</w:t>
            </w:r>
            <w:r>
              <w:rPr>
                <w:rFonts w:hAnsi="宋体"/>
                <w:bCs/>
                <w:snapToGrid w:val="0"/>
                <w:kern w:val="0"/>
                <w:sz w:val="21"/>
                <w:szCs w:val="21"/>
              </w:rPr>
              <w:t>事故</w:t>
            </w:r>
            <w:r>
              <w:rPr>
                <w:rFonts w:hint="eastAsia" w:hAnsi="宋体"/>
                <w:bCs/>
                <w:snapToGrid w:val="0"/>
                <w:kern w:val="0"/>
                <w:sz w:val="21"/>
                <w:szCs w:val="21"/>
              </w:rPr>
              <w:t>泄漏时</w:t>
            </w:r>
            <w:r>
              <w:rPr>
                <w:rFonts w:hAnsi="宋体"/>
                <w:bCs/>
                <w:snapToGrid w:val="0"/>
                <w:kern w:val="0"/>
                <w:sz w:val="21"/>
                <w:szCs w:val="21"/>
              </w:rPr>
              <w:t>产生的废油；由于井场内钻井设备较多，分布较为零散，为确保污水全部收集</w:t>
            </w:r>
            <w:r>
              <w:rPr>
                <w:rFonts w:hint="eastAsia" w:hAnsi="宋体"/>
                <w:bCs/>
                <w:snapToGrid w:val="0"/>
                <w:kern w:val="0"/>
                <w:sz w:val="21"/>
                <w:szCs w:val="21"/>
              </w:rPr>
              <w:t>，</w:t>
            </w:r>
            <w:r>
              <w:rPr>
                <w:rFonts w:hAnsi="宋体"/>
                <w:bCs/>
                <w:snapToGrid w:val="0"/>
                <w:kern w:val="0"/>
                <w:sz w:val="21"/>
                <w:szCs w:val="21"/>
              </w:rPr>
              <w:t>故在井场四角设置隔油池，并与井场污水沟相连，利于井场含油废水及雨水的收集，避免含油废水外泄到井场外的土壤</w:t>
            </w:r>
            <w:r>
              <w:rPr>
                <w:rFonts w:hint="eastAsia" w:hAnsi="宋体"/>
                <w:bCs/>
                <w:snapToGrid w:val="0"/>
                <w:kern w:val="0"/>
                <w:sz w:val="21"/>
                <w:szCs w:val="21"/>
              </w:rPr>
              <w:t>、</w:t>
            </w:r>
            <w:r>
              <w:rPr>
                <w:rFonts w:hAnsi="宋体"/>
                <w:bCs/>
                <w:snapToGrid w:val="0"/>
                <w:kern w:val="0"/>
                <w:sz w:val="21"/>
                <w:szCs w:val="21"/>
              </w:rPr>
              <w:t>地表水及地下水环境中。</w:t>
            </w:r>
          </w:p>
          <w:p>
            <w:pPr>
              <w:adjustRightInd w:val="0"/>
              <w:snapToGrid w:val="0"/>
              <w:ind w:firstLine="420"/>
              <w:rPr>
                <w:bCs/>
                <w:snapToGrid w:val="0"/>
                <w:kern w:val="0"/>
                <w:sz w:val="21"/>
                <w:szCs w:val="21"/>
              </w:rPr>
            </w:pPr>
            <w:r>
              <w:rPr>
                <w:rFonts w:hAnsi="宋体"/>
                <w:bCs/>
                <w:snapToGrid w:val="0"/>
                <w:kern w:val="0"/>
                <w:sz w:val="21"/>
                <w:szCs w:val="21"/>
              </w:rPr>
              <w:t>生活区的职工洗衣废水，浴室洗浴废水，含油情况及性质有所差异，在各个产污环节分别进行隔油处理和废水收集。</w:t>
            </w:r>
          </w:p>
          <w:p>
            <w:pPr>
              <w:adjustRightInd w:val="0"/>
              <w:snapToGrid w:val="0"/>
              <w:ind w:firstLine="420"/>
              <w:rPr>
                <w:bCs/>
                <w:snapToGrid w:val="0"/>
                <w:kern w:val="0"/>
                <w:sz w:val="21"/>
                <w:szCs w:val="21"/>
              </w:rPr>
            </w:pPr>
            <w:r>
              <w:rPr>
                <w:rFonts w:hAnsi="宋体"/>
                <w:bCs/>
                <w:snapToGrid w:val="0"/>
                <w:kern w:val="0"/>
                <w:sz w:val="21"/>
                <w:szCs w:val="21"/>
              </w:rPr>
              <w:t>（</w:t>
            </w:r>
            <w:r>
              <w:rPr>
                <w:rFonts w:hint="eastAsia"/>
                <w:bCs/>
                <w:snapToGrid w:val="0"/>
                <w:kern w:val="0"/>
                <w:sz w:val="21"/>
                <w:szCs w:val="21"/>
              </w:rPr>
              <w:t>4</w:t>
            </w:r>
            <w:r>
              <w:rPr>
                <w:rFonts w:hAnsi="宋体"/>
                <w:bCs/>
                <w:snapToGrid w:val="0"/>
                <w:kern w:val="0"/>
                <w:sz w:val="21"/>
                <w:szCs w:val="21"/>
              </w:rPr>
              <w:t>）应急池布置合理性分析</w:t>
            </w:r>
          </w:p>
          <w:p>
            <w:pPr>
              <w:adjustRightInd w:val="0"/>
              <w:snapToGrid w:val="0"/>
              <w:ind w:firstLine="420"/>
              <w:rPr>
                <w:bCs/>
                <w:snapToGrid w:val="0"/>
                <w:kern w:val="0"/>
                <w:sz w:val="21"/>
                <w:szCs w:val="21"/>
              </w:rPr>
            </w:pPr>
            <w:r>
              <w:rPr>
                <w:rFonts w:hAnsi="宋体"/>
                <w:bCs/>
                <w:snapToGrid w:val="0"/>
                <w:kern w:val="0"/>
                <w:sz w:val="21"/>
                <w:szCs w:val="21"/>
              </w:rPr>
              <w:t>项目拟布置1</w:t>
            </w:r>
            <w:r>
              <w:rPr>
                <w:rFonts w:hint="eastAsia" w:hAnsi="宋体"/>
                <w:bCs/>
                <w:snapToGrid w:val="0"/>
                <w:kern w:val="0"/>
                <w:sz w:val="21"/>
                <w:szCs w:val="21"/>
              </w:rPr>
              <w:t>座应急池，位于井场外东侧，应急池建设地目前均为</w:t>
            </w:r>
            <w:r>
              <w:rPr>
                <w:rFonts w:hint="eastAsia"/>
                <w:bCs/>
                <w:snapToGrid w:val="0"/>
                <w:kern w:val="0"/>
                <w:sz w:val="21"/>
                <w:szCs w:val="21"/>
              </w:rPr>
              <w:t>旱地</w:t>
            </w:r>
            <w:r>
              <w:rPr>
                <w:rFonts w:hAnsi="宋体"/>
                <w:bCs/>
                <w:snapToGrid w:val="0"/>
                <w:kern w:val="0"/>
                <w:sz w:val="21"/>
                <w:szCs w:val="21"/>
              </w:rPr>
              <w:t>，地势较为平坦，池体采用地陷式构造，尽可能</w:t>
            </w:r>
            <w:r>
              <w:rPr>
                <w:rFonts w:hint="eastAsia" w:hAnsi="宋体"/>
                <w:bCs/>
                <w:snapToGrid w:val="0"/>
                <w:kern w:val="0"/>
                <w:sz w:val="21"/>
                <w:szCs w:val="21"/>
                <w:lang w:val="en-US" w:eastAsia="zh-CN"/>
              </w:rPr>
              <w:t>地</w:t>
            </w:r>
            <w:r>
              <w:rPr>
                <w:rFonts w:hAnsi="宋体"/>
                <w:bCs/>
                <w:snapToGrid w:val="0"/>
                <w:kern w:val="0"/>
                <w:sz w:val="21"/>
                <w:szCs w:val="21"/>
              </w:rPr>
              <w:t>降低了池体垮塌的风险。</w:t>
            </w:r>
          </w:p>
          <w:p>
            <w:pPr>
              <w:adjustRightInd w:val="0"/>
              <w:snapToGrid w:val="0"/>
              <w:ind w:firstLine="420"/>
              <w:rPr>
                <w:bCs/>
                <w:snapToGrid w:val="0"/>
                <w:kern w:val="0"/>
                <w:sz w:val="21"/>
                <w:szCs w:val="21"/>
              </w:rPr>
            </w:pPr>
            <w:r>
              <w:rPr>
                <w:rFonts w:hint="eastAsia" w:hAnsi="宋体"/>
                <w:bCs/>
                <w:snapToGrid w:val="0"/>
                <w:kern w:val="0"/>
                <w:sz w:val="21"/>
                <w:szCs w:val="21"/>
              </w:rPr>
              <w:t>井场建设地地形较应急池高，有利于井场区域污水自流进入水池，保证了有效的收集井场事故污水。拟建项目在修建应急池时，池体采用地陷式构造，并对池体进行防渗漏处理，在其周围修建围堰、导流沟，井口方井与应急池之间由碳钢管道连接，井场突发事件时通过布设的碳钢管道直接引入应急池，避免事故废水外泄情况</w:t>
            </w:r>
            <w:r>
              <w:rPr>
                <w:rFonts w:hAnsi="宋体"/>
                <w:bCs/>
                <w:snapToGrid w:val="0"/>
                <w:kern w:val="0"/>
                <w:sz w:val="21"/>
                <w:szCs w:val="21"/>
              </w:rPr>
              <w:t>。</w:t>
            </w:r>
          </w:p>
          <w:p>
            <w:pPr>
              <w:adjustRightInd w:val="0"/>
              <w:snapToGrid w:val="0"/>
              <w:ind w:firstLine="420"/>
              <w:rPr>
                <w:bCs/>
                <w:snapToGrid w:val="0"/>
                <w:kern w:val="0"/>
                <w:sz w:val="21"/>
                <w:szCs w:val="21"/>
              </w:rPr>
            </w:pPr>
            <w:r>
              <w:rPr>
                <w:rFonts w:hAnsi="宋体"/>
                <w:bCs/>
                <w:snapToGrid w:val="0"/>
                <w:kern w:val="0"/>
                <w:sz w:val="21"/>
                <w:szCs w:val="21"/>
              </w:rPr>
              <w:t>应急池容积合理性：</w:t>
            </w:r>
          </w:p>
          <w:p>
            <w:pPr>
              <w:widowControl/>
              <w:ind w:firstLine="420" w:firstLineChars="0"/>
              <w:rPr>
                <w:bCs/>
                <w:snapToGrid w:val="0"/>
                <w:kern w:val="0"/>
                <w:sz w:val="21"/>
                <w:szCs w:val="21"/>
                <w:highlight w:val="yellow"/>
              </w:rPr>
            </w:pPr>
            <w:r>
              <w:rPr>
                <w:rFonts w:hAnsi="宋体"/>
                <w:bCs/>
                <w:snapToGrid w:val="0"/>
                <w:kern w:val="0"/>
                <w:sz w:val="21"/>
                <w:szCs w:val="21"/>
              </w:rPr>
              <w:t>根据钻井设计资料及西南地区同类工程</w:t>
            </w:r>
            <w:r>
              <w:rPr>
                <w:rFonts w:hint="eastAsia" w:hAnsi="宋体"/>
                <w:bCs/>
                <w:snapToGrid w:val="0"/>
                <w:kern w:val="0"/>
                <w:sz w:val="21"/>
                <w:szCs w:val="21"/>
              </w:rPr>
              <w:t>压裂</w:t>
            </w:r>
            <w:r>
              <w:rPr>
                <w:rFonts w:hAnsi="宋体"/>
                <w:bCs/>
                <w:snapToGrid w:val="0"/>
                <w:kern w:val="0"/>
                <w:sz w:val="21"/>
                <w:szCs w:val="21"/>
              </w:rPr>
              <w:t>施工情况，本项目压裂返排液平均最大产生量</w:t>
            </w:r>
            <w:r>
              <w:rPr>
                <w:rFonts w:hint="eastAsia"/>
                <w:snapToGrid w:val="0"/>
                <w:kern w:val="0"/>
                <w:sz w:val="21"/>
                <w:szCs w:val="21"/>
              </w:rPr>
              <w:t>约</w:t>
            </w:r>
            <w:r>
              <w:rPr>
                <w:bCs/>
                <w:sz w:val="21"/>
                <w:szCs w:val="21"/>
              </w:rPr>
              <w:t>126.2</w:t>
            </w:r>
            <w:r>
              <w:rPr>
                <w:snapToGrid w:val="0"/>
                <w:kern w:val="0"/>
                <w:sz w:val="21"/>
                <w:szCs w:val="21"/>
              </w:rPr>
              <w:t>m</w:t>
            </w:r>
            <w:r>
              <w:rPr>
                <w:snapToGrid w:val="0"/>
                <w:kern w:val="0"/>
                <w:sz w:val="21"/>
                <w:szCs w:val="21"/>
                <w:vertAlign w:val="superscript"/>
              </w:rPr>
              <w:t>3</w:t>
            </w:r>
            <w:r>
              <w:rPr>
                <w:snapToGrid w:val="0"/>
                <w:kern w:val="0"/>
                <w:sz w:val="21"/>
                <w:szCs w:val="21"/>
              </w:rPr>
              <w:t>/d</w:t>
            </w:r>
            <w:r>
              <w:rPr>
                <w:rFonts w:hint="eastAsia"/>
                <w:snapToGrid w:val="0"/>
                <w:kern w:val="0"/>
                <w:sz w:val="21"/>
                <w:szCs w:val="21"/>
              </w:rPr>
              <w:t>，压裂</w:t>
            </w:r>
            <w:r>
              <w:rPr>
                <w:snapToGrid w:val="0"/>
                <w:kern w:val="0"/>
                <w:sz w:val="21"/>
                <w:szCs w:val="21"/>
              </w:rPr>
              <w:t>返排液暂存于</w:t>
            </w:r>
            <w:r>
              <w:rPr>
                <w:rFonts w:hint="eastAsia"/>
                <w:snapToGrid w:val="0"/>
                <w:kern w:val="0"/>
                <w:sz w:val="21"/>
                <w:szCs w:val="21"/>
              </w:rPr>
              <w:t>应急池</w:t>
            </w:r>
            <w:r>
              <w:rPr>
                <w:snapToGrid w:val="0"/>
                <w:kern w:val="0"/>
                <w:sz w:val="21"/>
                <w:szCs w:val="21"/>
              </w:rPr>
              <w:t>中</w:t>
            </w:r>
            <w:r>
              <w:rPr>
                <w:rFonts w:hint="eastAsia"/>
                <w:snapToGrid w:val="0"/>
                <w:kern w:val="0"/>
                <w:sz w:val="21"/>
                <w:szCs w:val="21"/>
              </w:rPr>
              <w:t>，安排运输公司通过罐车及时转运至其他平台回用或转运至污水处理厂处置。如发生事故，施工对会立即暂停压裂作业进行应急处置，因此按最不利情况考虑，预计钻井压裂返排液进入应急池量为</w:t>
            </w:r>
            <w:r>
              <w:rPr>
                <w:bCs/>
                <w:sz w:val="21"/>
                <w:szCs w:val="21"/>
              </w:rPr>
              <w:t>126.2</w:t>
            </w:r>
            <w:r>
              <w:rPr>
                <w:snapToGrid w:val="0"/>
                <w:kern w:val="0"/>
                <w:sz w:val="21"/>
                <w:szCs w:val="21"/>
              </w:rPr>
              <w:t>m</w:t>
            </w:r>
            <w:r>
              <w:rPr>
                <w:snapToGrid w:val="0"/>
                <w:kern w:val="0"/>
                <w:sz w:val="21"/>
                <w:szCs w:val="21"/>
                <w:vertAlign w:val="superscript"/>
              </w:rPr>
              <w:t>3</w:t>
            </w:r>
            <w:r>
              <w:rPr>
                <w:snapToGrid w:val="0"/>
                <w:kern w:val="0"/>
                <w:sz w:val="21"/>
                <w:szCs w:val="21"/>
              </w:rPr>
              <w:t>/d</w:t>
            </w:r>
            <w:r>
              <w:rPr>
                <w:rFonts w:hint="eastAsia"/>
                <w:snapToGrid w:val="0"/>
                <w:kern w:val="0"/>
                <w:sz w:val="21"/>
                <w:szCs w:val="21"/>
              </w:rPr>
              <w:t>。拟建项目井场污染区（含井架基础、机房系统、泵房基础、循环系统）面积约</w:t>
            </w:r>
            <w:r>
              <w:rPr>
                <w:snapToGrid w:val="0"/>
                <w:kern w:val="0"/>
                <w:sz w:val="21"/>
                <w:szCs w:val="21"/>
              </w:rPr>
              <w:t>1150</w:t>
            </w:r>
            <w:r>
              <w:rPr>
                <w:rFonts w:hint="eastAsia"/>
                <w:snapToGrid w:val="0"/>
                <w:kern w:val="0"/>
                <w:sz w:val="21"/>
                <w:szCs w:val="21"/>
              </w:rPr>
              <w:t>m</w:t>
            </w:r>
            <w:r>
              <w:rPr>
                <w:rFonts w:hint="eastAsia"/>
                <w:snapToGrid w:val="0"/>
                <w:kern w:val="0"/>
                <w:sz w:val="21"/>
                <w:szCs w:val="21"/>
                <w:vertAlign w:val="superscript"/>
              </w:rPr>
              <w:t>2</w:t>
            </w:r>
            <w:r>
              <w:rPr>
                <w:rFonts w:hint="eastAsia"/>
                <w:snapToGrid w:val="0"/>
                <w:kern w:val="0"/>
                <w:sz w:val="21"/>
                <w:szCs w:val="21"/>
              </w:rPr>
              <w:t>，根据气象资料，项目所在地年均降雨量为</w:t>
            </w:r>
            <w:r>
              <w:rPr>
                <w:bCs/>
                <w:snapToGrid w:val="0"/>
                <w:kern w:val="0"/>
                <w:sz w:val="21"/>
                <w:szCs w:val="21"/>
              </w:rPr>
              <w:t>1211.4</w:t>
            </w:r>
            <w:r>
              <w:rPr>
                <w:rFonts w:hint="eastAsia"/>
                <w:snapToGrid w:val="0"/>
                <w:kern w:val="0"/>
                <w:sz w:val="21"/>
                <w:szCs w:val="21"/>
              </w:rPr>
              <w:t>mm，日最大降雨量按特大暴雨等级计算（2</w:t>
            </w:r>
            <w:r>
              <w:rPr>
                <w:snapToGrid w:val="0"/>
                <w:kern w:val="0"/>
                <w:sz w:val="21"/>
                <w:szCs w:val="21"/>
              </w:rPr>
              <w:t>50mm</w:t>
            </w:r>
            <w:r>
              <w:rPr>
                <w:rFonts w:hint="eastAsia"/>
                <w:snapToGrid w:val="0"/>
                <w:kern w:val="0"/>
                <w:sz w:val="21"/>
                <w:szCs w:val="21"/>
              </w:rPr>
              <w:t>），</w:t>
            </w:r>
            <w:r>
              <w:rPr>
                <w:rFonts w:hint="eastAsia"/>
                <w:bCs/>
                <w:snapToGrid w:val="0"/>
                <w:kern w:val="0"/>
                <w:sz w:val="21"/>
                <w:szCs w:val="21"/>
              </w:rPr>
              <w:t>拟建项目未搭棚污染区最大日雨水量约</w:t>
            </w:r>
            <w:r>
              <w:rPr>
                <w:bCs/>
                <w:snapToGrid w:val="0"/>
                <w:kern w:val="0"/>
                <w:sz w:val="21"/>
                <w:szCs w:val="21"/>
              </w:rPr>
              <w:t>302.8</w:t>
            </w:r>
            <w:r>
              <w:rPr>
                <w:rFonts w:hint="eastAsia"/>
                <w:bCs/>
                <w:snapToGrid w:val="0"/>
                <w:kern w:val="0"/>
                <w:sz w:val="21"/>
                <w:szCs w:val="21"/>
              </w:rPr>
              <w:t>m</w:t>
            </w:r>
            <w:r>
              <w:rPr>
                <w:rFonts w:hint="eastAsia"/>
                <w:bCs/>
                <w:snapToGrid w:val="0"/>
                <w:kern w:val="0"/>
                <w:sz w:val="21"/>
                <w:szCs w:val="21"/>
                <w:vertAlign w:val="superscript"/>
              </w:rPr>
              <w:t>3</w:t>
            </w:r>
            <w:r>
              <w:rPr>
                <w:rFonts w:hint="eastAsia"/>
                <w:snapToGrid w:val="0"/>
                <w:kern w:val="0"/>
                <w:sz w:val="21"/>
                <w:szCs w:val="21"/>
              </w:rPr>
              <w:t>。项目在暴雨期间不进行压裂作业，同时工艺上也可通过控制放喷阀门的尺寸控制压裂液返排量。因此，施工期间单日进入应急池最大事故废水量为</w:t>
            </w:r>
            <w:r>
              <w:rPr>
                <w:snapToGrid w:val="0"/>
                <w:kern w:val="0"/>
                <w:sz w:val="21"/>
                <w:szCs w:val="21"/>
              </w:rPr>
              <w:t>429</w:t>
            </w:r>
            <w:r>
              <w:rPr>
                <w:rFonts w:hint="eastAsia"/>
                <w:snapToGrid w:val="0"/>
                <w:kern w:val="0"/>
                <w:sz w:val="21"/>
                <w:szCs w:val="21"/>
              </w:rPr>
              <w:t>m</w:t>
            </w:r>
            <w:r>
              <w:rPr>
                <w:rFonts w:hint="eastAsia"/>
                <w:snapToGrid w:val="0"/>
                <w:kern w:val="0"/>
                <w:sz w:val="21"/>
                <w:szCs w:val="21"/>
                <w:vertAlign w:val="superscript"/>
              </w:rPr>
              <w:t>3</w:t>
            </w:r>
            <w:r>
              <w:rPr>
                <w:rFonts w:hint="eastAsia"/>
                <w:snapToGrid w:val="0"/>
                <w:kern w:val="0"/>
                <w:sz w:val="21"/>
                <w:szCs w:val="21"/>
              </w:rPr>
              <w:t>。</w:t>
            </w:r>
          </w:p>
          <w:p>
            <w:pPr>
              <w:adjustRightInd w:val="0"/>
              <w:snapToGrid w:val="0"/>
              <w:ind w:firstLine="420"/>
              <w:rPr>
                <w:rFonts w:hAnsi="宋体"/>
                <w:bCs/>
                <w:snapToGrid w:val="0"/>
                <w:kern w:val="0"/>
                <w:sz w:val="21"/>
                <w:szCs w:val="21"/>
              </w:rPr>
            </w:pPr>
            <w:r>
              <w:rPr>
                <w:rFonts w:hint="eastAsia"/>
                <w:snapToGrid w:val="0"/>
                <w:kern w:val="0"/>
                <w:sz w:val="21"/>
                <w:szCs w:val="21"/>
              </w:rPr>
              <w:t>本工程应急池总容积为</w:t>
            </w:r>
            <w:r>
              <w:rPr>
                <w:snapToGrid w:val="0"/>
                <w:kern w:val="0"/>
                <w:sz w:val="21"/>
                <w:szCs w:val="21"/>
              </w:rPr>
              <w:t>5</w:t>
            </w:r>
            <w:r>
              <w:rPr>
                <w:rFonts w:hint="eastAsia"/>
                <w:snapToGrid w:val="0"/>
                <w:kern w:val="0"/>
                <w:sz w:val="21"/>
                <w:szCs w:val="21"/>
              </w:rPr>
              <w:t>00m</w:t>
            </w:r>
            <w:r>
              <w:rPr>
                <w:rFonts w:hint="eastAsia"/>
                <w:snapToGrid w:val="0"/>
                <w:kern w:val="0"/>
                <w:sz w:val="21"/>
                <w:szCs w:val="21"/>
                <w:vertAlign w:val="superscript"/>
              </w:rPr>
              <w:t>3</w:t>
            </w:r>
            <w:r>
              <w:rPr>
                <w:rFonts w:hint="eastAsia"/>
                <w:snapToGrid w:val="0"/>
                <w:kern w:val="0"/>
                <w:sz w:val="21"/>
                <w:szCs w:val="21"/>
              </w:rPr>
              <w:t>，高于应急状态下的日最大废水产生量</w:t>
            </w:r>
            <w:r>
              <w:rPr>
                <w:snapToGrid w:val="0"/>
                <w:kern w:val="0"/>
                <w:sz w:val="21"/>
                <w:szCs w:val="21"/>
              </w:rPr>
              <w:t>429</w:t>
            </w:r>
            <w:r>
              <w:rPr>
                <w:rFonts w:hint="eastAsia"/>
                <w:snapToGrid w:val="0"/>
                <w:kern w:val="0"/>
                <w:sz w:val="21"/>
                <w:szCs w:val="21"/>
              </w:rPr>
              <w:t>m</w:t>
            </w:r>
            <w:r>
              <w:rPr>
                <w:rFonts w:hint="eastAsia"/>
                <w:snapToGrid w:val="0"/>
                <w:kern w:val="0"/>
                <w:sz w:val="21"/>
                <w:szCs w:val="21"/>
                <w:vertAlign w:val="superscript"/>
              </w:rPr>
              <w:t>3</w:t>
            </w:r>
            <w:r>
              <w:rPr>
                <w:rFonts w:hint="eastAsia"/>
                <w:snapToGrid w:val="0"/>
                <w:kern w:val="0"/>
                <w:sz w:val="21"/>
                <w:szCs w:val="21"/>
              </w:rPr>
              <w:t>。运输罐车统一调配，可确保在</w:t>
            </w:r>
            <w:r>
              <w:rPr>
                <w:snapToGrid w:val="0"/>
                <w:kern w:val="0"/>
                <w:sz w:val="21"/>
                <w:szCs w:val="21"/>
              </w:rPr>
              <w:t>3h</w:t>
            </w:r>
            <w:r>
              <w:rPr>
                <w:rFonts w:hint="eastAsia"/>
                <w:snapToGrid w:val="0"/>
                <w:kern w:val="0"/>
                <w:sz w:val="21"/>
                <w:szCs w:val="21"/>
              </w:rPr>
              <w:t>内抵达现场并投入转运工作。因此，应急池可满足项目事故状态下应急废水暂存处置要求</w:t>
            </w:r>
            <w:r>
              <w:rPr>
                <w:rFonts w:hint="eastAsia" w:hAnsi="宋体"/>
                <w:bCs/>
                <w:snapToGrid w:val="0"/>
                <w:kern w:val="0"/>
                <w:sz w:val="21"/>
                <w:szCs w:val="21"/>
              </w:rPr>
              <w:t>。</w:t>
            </w:r>
          </w:p>
          <w:p>
            <w:pPr>
              <w:adjustRightInd w:val="0"/>
              <w:snapToGrid w:val="0"/>
              <w:ind w:firstLine="420"/>
              <w:rPr>
                <w:bCs/>
                <w:snapToGrid w:val="0"/>
                <w:kern w:val="0"/>
                <w:sz w:val="21"/>
                <w:szCs w:val="21"/>
              </w:rPr>
            </w:pPr>
            <w:r>
              <w:rPr>
                <w:rFonts w:hAnsi="宋体"/>
                <w:bCs/>
                <w:snapToGrid w:val="0"/>
                <w:kern w:val="0"/>
                <w:sz w:val="21"/>
                <w:szCs w:val="21"/>
              </w:rPr>
              <w:t>（</w:t>
            </w:r>
            <w:r>
              <w:rPr>
                <w:rFonts w:hint="eastAsia"/>
                <w:bCs/>
                <w:snapToGrid w:val="0"/>
                <w:kern w:val="0"/>
                <w:sz w:val="21"/>
                <w:szCs w:val="21"/>
              </w:rPr>
              <w:t>5</w:t>
            </w:r>
            <w:r>
              <w:rPr>
                <w:rFonts w:hAnsi="宋体"/>
                <w:bCs/>
                <w:snapToGrid w:val="0"/>
                <w:kern w:val="0"/>
                <w:sz w:val="21"/>
                <w:szCs w:val="21"/>
              </w:rPr>
              <w:t>）噪声源布置合理性分析</w:t>
            </w:r>
          </w:p>
          <w:p>
            <w:pPr>
              <w:adjustRightInd w:val="0"/>
              <w:snapToGrid w:val="0"/>
              <w:ind w:firstLine="420"/>
              <w:rPr>
                <w:bCs/>
                <w:snapToGrid w:val="0"/>
                <w:kern w:val="0"/>
                <w:sz w:val="21"/>
                <w:szCs w:val="21"/>
              </w:rPr>
            </w:pPr>
            <w:r>
              <w:rPr>
                <w:rFonts w:hAnsi="宋体"/>
                <w:bCs/>
                <w:snapToGrid w:val="0"/>
                <w:kern w:val="0"/>
                <w:sz w:val="21"/>
                <w:szCs w:val="21"/>
              </w:rPr>
              <w:t>本工程主要噪声源为柴油发电机、放喷施工等，发电房位于井场</w:t>
            </w:r>
            <w:r>
              <w:rPr>
                <w:rFonts w:hint="eastAsia" w:hAnsi="宋体"/>
                <w:bCs/>
                <w:snapToGrid w:val="0"/>
                <w:kern w:val="0"/>
                <w:sz w:val="21"/>
                <w:szCs w:val="21"/>
              </w:rPr>
              <w:t>东侧</w:t>
            </w:r>
            <w:r>
              <w:rPr>
                <w:rFonts w:hAnsi="宋体"/>
                <w:bCs/>
                <w:snapToGrid w:val="0"/>
                <w:kern w:val="0"/>
                <w:sz w:val="21"/>
                <w:szCs w:val="21"/>
              </w:rPr>
              <w:t>，燃烧池位于井场</w:t>
            </w:r>
            <w:r>
              <w:rPr>
                <w:rFonts w:hint="eastAsia" w:hAnsi="宋体"/>
                <w:bCs/>
                <w:snapToGrid w:val="0"/>
                <w:kern w:val="0"/>
                <w:sz w:val="21"/>
                <w:szCs w:val="21"/>
              </w:rPr>
              <w:t>外东北侧。</w:t>
            </w:r>
            <w:r>
              <w:rPr>
                <w:rFonts w:hAnsi="宋体"/>
                <w:bCs/>
                <w:snapToGrid w:val="0"/>
                <w:kern w:val="0"/>
                <w:sz w:val="21"/>
                <w:szCs w:val="21"/>
              </w:rPr>
              <w:t>根据人居分布情况，</w:t>
            </w:r>
            <w:r>
              <w:rPr>
                <w:rFonts w:hint="eastAsia" w:hAnsi="宋体"/>
                <w:bCs/>
                <w:snapToGrid w:val="0"/>
                <w:kern w:val="0"/>
                <w:sz w:val="21"/>
                <w:szCs w:val="21"/>
              </w:rPr>
              <w:t>发电房距最近农户约</w:t>
            </w:r>
            <w:r>
              <w:rPr>
                <w:rFonts w:hAnsi="宋体"/>
                <w:bCs/>
                <w:snapToGrid w:val="0"/>
                <w:kern w:val="0"/>
                <w:sz w:val="21"/>
                <w:szCs w:val="21"/>
              </w:rPr>
              <w:t>135</w:t>
            </w:r>
            <w:r>
              <w:rPr>
                <w:rFonts w:hint="eastAsia" w:hAnsi="宋体"/>
                <w:bCs/>
                <w:snapToGrid w:val="0"/>
                <w:kern w:val="0"/>
                <w:sz w:val="21"/>
                <w:szCs w:val="21"/>
              </w:rPr>
              <w:t>m</w:t>
            </w:r>
            <w:r>
              <w:rPr>
                <w:rFonts w:hAnsi="宋体"/>
                <w:bCs/>
                <w:snapToGrid w:val="0"/>
                <w:kern w:val="0"/>
                <w:sz w:val="21"/>
                <w:szCs w:val="21"/>
              </w:rPr>
              <w:t>，</w:t>
            </w:r>
            <w:r>
              <w:rPr>
                <w:rFonts w:hint="eastAsia" w:hAnsi="宋体"/>
                <w:bCs/>
                <w:snapToGrid w:val="0"/>
                <w:kern w:val="0"/>
                <w:sz w:val="21"/>
                <w:szCs w:val="21"/>
              </w:rPr>
              <w:t>燃烧池距最近农户约</w:t>
            </w:r>
            <w:r>
              <w:rPr>
                <w:rFonts w:hAnsi="宋体"/>
                <w:bCs/>
                <w:snapToGrid w:val="0"/>
                <w:kern w:val="0"/>
                <w:sz w:val="21"/>
                <w:szCs w:val="21"/>
              </w:rPr>
              <w:t>191</w:t>
            </w:r>
            <w:r>
              <w:rPr>
                <w:rFonts w:hint="eastAsia"/>
                <w:snapToGrid w:val="0"/>
                <w:kern w:val="0"/>
                <w:sz w:val="21"/>
                <w:szCs w:val="21"/>
              </w:rPr>
              <w:t>m</w:t>
            </w:r>
            <w:r>
              <w:rPr>
                <w:rFonts w:hint="eastAsia" w:hAnsi="宋体"/>
                <w:bCs/>
                <w:snapToGrid w:val="0"/>
                <w:kern w:val="0"/>
                <w:sz w:val="21"/>
                <w:szCs w:val="21"/>
              </w:rPr>
              <w:t>，主要噪声源布置与周边声环境敏感目标保持了一定的</w:t>
            </w:r>
            <w:r>
              <w:rPr>
                <w:rFonts w:hAnsi="宋体"/>
                <w:bCs/>
                <w:snapToGrid w:val="0"/>
                <w:kern w:val="0"/>
                <w:sz w:val="21"/>
                <w:szCs w:val="21"/>
              </w:rPr>
              <w:t>的噪声衰减距离，最大限度</w:t>
            </w:r>
            <w:r>
              <w:rPr>
                <w:rFonts w:hint="eastAsia" w:hAnsi="宋体"/>
                <w:bCs/>
                <w:snapToGrid w:val="0"/>
                <w:kern w:val="0"/>
                <w:sz w:val="21"/>
                <w:szCs w:val="21"/>
                <w:lang w:val="en-US" w:eastAsia="zh-CN"/>
              </w:rPr>
              <w:t>地</w:t>
            </w:r>
            <w:r>
              <w:rPr>
                <w:rFonts w:hAnsi="宋体"/>
                <w:bCs/>
                <w:snapToGrid w:val="0"/>
                <w:kern w:val="0"/>
                <w:sz w:val="21"/>
                <w:szCs w:val="21"/>
              </w:rPr>
              <w:t>降低钻井噪声对敏感点的影响，噪声源布局合理。</w:t>
            </w:r>
          </w:p>
          <w:p>
            <w:pPr>
              <w:adjustRightInd w:val="0"/>
              <w:snapToGrid w:val="0"/>
              <w:ind w:firstLine="420"/>
              <w:rPr>
                <w:bCs/>
                <w:snapToGrid w:val="0"/>
                <w:kern w:val="0"/>
                <w:sz w:val="21"/>
                <w:szCs w:val="21"/>
              </w:rPr>
            </w:pPr>
            <w:r>
              <w:rPr>
                <w:rFonts w:hAnsi="宋体"/>
                <w:bCs/>
                <w:snapToGrid w:val="0"/>
                <w:kern w:val="0"/>
                <w:sz w:val="21"/>
                <w:szCs w:val="21"/>
              </w:rPr>
              <w:t>（</w:t>
            </w:r>
            <w:r>
              <w:rPr>
                <w:rFonts w:hint="eastAsia"/>
                <w:bCs/>
                <w:snapToGrid w:val="0"/>
                <w:kern w:val="0"/>
                <w:sz w:val="21"/>
                <w:szCs w:val="21"/>
              </w:rPr>
              <w:t>6</w:t>
            </w:r>
            <w:r>
              <w:rPr>
                <w:rFonts w:hAnsi="宋体"/>
                <w:bCs/>
                <w:snapToGrid w:val="0"/>
                <w:kern w:val="0"/>
                <w:sz w:val="21"/>
                <w:szCs w:val="21"/>
              </w:rPr>
              <w:t>）废水收集暂存设施合理性分析</w:t>
            </w:r>
          </w:p>
          <w:p>
            <w:pPr>
              <w:adjustRightInd w:val="0"/>
              <w:snapToGrid w:val="0"/>
              <w:ind w:firstLine="420"/>
              <w:rPr>
                <w:bCs/>
                <w:snapToGrid w:val="0"/>
                <w:kern w:val="0"/>
                <w:sz w:val="21"/>
                <w:szCs w:val="21"/>
              </w:rPr>
            </w:pPr>
            <w:r>
              <w:rPr>
                <w:rFonts w:hAnsi="宋体"/>
                <w:bCs/>
                <w:snapToGrid w:val="0"/>
                <w:kern w:val="0"/>
                <w:sz w:val="21"/>
                <w:szCs w:val="21"/>
              </w:rPr>
              <w:t>本工程废水收集、处理设备废水罐、沉淀罐等均位于</w:t>
            </w:r>
            <w:r>
              <w:rPr>
                <w:rFonts w:hint="eastAsia" w:hAnsi="宋体"/>
                <w:bCs/>
                <w:snapToGrid w:val="0"/>
                <w:kern w:val="0"/>
                <w:sz w:val="21"/>
                <w:szCs w:val="21"/>
              </w:rPr>
              <w:t>井场外西南侧</w:t>
            </w:r>
            <w:r>
              <w:rPr>
                <w:rFonts w:hAnsi="宋体"/>
                <w:bCs/>
                <w:snapToGrid w:val="0"/>
                <w:kern w:val="0"/>
                <w:sz w:val="21"/>
                <w:szCs w:val="21"/>
              </w:rPr>
              <w:t>的清洁化操作平台内，</w:t>
            </w:r>
            <w:r>
              <w:rPr>
                <w:rFonts w:hint="eastAsia" w:hAnsi="宋体"/>
                <w:bCs/>
                <w:snapToGrid w:val="0"/>
                <w:kern w:val="0"/>
                <w:sz w:val="21"/>
                <w:szCs w:val="21"/>
              </w:rPr>
              <w:t>最近农户距离清洁化操作平台约</w:t>
            </w:r>
            <w:r>
              <w:rPr>
                <w:rFonts w:hAnsi="宋体"/>
                <w:bCs/>
                <w:snapToGrid w:val="0"/>
                <w:kern w:val="0"/>
                <w:sz w:val="21"/>
                <w:szCs w:val="21"/>
              </w:rPr>
              <w:t>40m</w:t>
            </w:r>
            <w:r>
              <w:rPr>
                <w:rFonts w:hint="eastAsia" w:hAnsi="宋体"/>
                <w:bCs/>
                <w:snapToGrid w:val="0"/>
                <w:kern w:val="0"/>
                <w:sz w:val="21"/>
                <w:szCs w:val="21"/>
              </w:rPr>
              <w:t>，项目建设有应急池，</w:t>
            </w:r>
            <w:r>
              <w:rPr>
                <w:rFonts w:hAnsi="宋体"/>
                <w:bCs/>
                <w:snapToGrid w:val="0"/>
                <w:kern w:val="0"/>
                <w:sz w:val="21"/>
                <w:szCs w:val="21"/>
              </w:rPr>
              <w:t>废水收集暂存设施虽距离周边居民较近，但废水在紧急情况下可泵入应急池内暂存，可有效降低紧急状态下废水外溢对周边居民的影响。故选址是合理的。</w:t>
            </w:r>
          </w:p>
          <w:p>
            <w:pPr>
              <w:adjustRightInd w:val="0"/>
              <w:snapToGrid w:val="0"/>
              <w:ind w:firstLine="420"/>
              <w:rPr>
                <w:bCs/>
                <w:sz w:val="21"/>
                <w:szCs w:val="21"/>
              </w:rPr>
            </w:pPr>
            <w:r>
              <w:rPr>
                <w:bCs/>
                <w:sz w:val="21"/>
                <w:szCs w:val="21"/>
              </w:rPr>
              <w:t>（7）固废暂存设施布设合理性分析</w:t>
            </w:r>
          </w:p>
          <w:p>
            <w:pPr>
              <w:adjustRightInd w:val="0"/>
              <w:snapToGrid w:val="0"/>
              <w:ind w:firstLine="420"/>
              <w:rPr>
                <w:bCs/>
                <w:sz w:val="21"/>
                <w:szCs w:val="21"/>
              </w:rPr>
            </w:pPr>
            <w:r>
              <w:rPr>
                <w:bCs/>
                <w:sz w:val="21"/>
                <w:szCs w:val="21"/>
              </w:rPr>
              <w:t>工程针对废水基泥浆、水基岩屑在清洁化操作平台内设置一般固废暂存间（岩屑堆放场）90m</w:t>
            </w:r>
            <w:r>
              <w:rPr>
                <w:bCs/>
                <w:sz w:val="21"/>
                <w:szCs w:val="21"/>
                <w:vertAlign w:val="superscript"/>
              </w:rPr>
              <w:t>2</w:t>
            </w:r>
            <w:r>
              <w:rPr>
                <w:bCs/>
                <w:sz w:val="21"/>
                <w:szCs w:val="21"/>
              </w:rPr>
              <w:t>；针对废油、含油污染物、油基岩屑设置危废暂存间60m</w:t>
            </w:r>
            <w:r>
              <w:rPr>
                <w:bCs/>
                <w:sz w:val="21"/>
                <w:szCs w:val="21"/>
                <w:vertAlign w:val="superscript"/>
              </w:rPr>
              <w:t>2</w:t>
            </w:r>
            <w:r>
              <w:rPr>
                <w:bCs/>
                <w:sz w:val="21"/>
                <w:szCs w:val="21"/>
              </w:rPr>
              <w:t>，危废暂存间位于井场东南侧厂界，危废暂存间进行了重点防渗，且距离下游环境保护目标较远，事故状态下，对其影响较小，因此固废暂存设施选址合理。</w:t>
            </w:r>
          </w:p>
          <w:p>
            <w:pPr>
              <w:adjustRightInd w:val="0"/>
              <w:snapToGrid w:val="0"/>
              <w:ind w:firstLine="420"/>
              <w:rPr>
                <w:rFonts w:hAnsi="宋体"/>
                <w:bCs/>
                <w:snapToGrid w:val="0"/>
                <w:kern w:val="0"/>
                <w:sz w:val="21"/>
                <w:szCs w:val="21"/>
              </w:rPr>
            </w:pPr>
            <w:r>
              <w:rPr>
                <w:bCs/>
                <w:sz w:val="21"/>
                <w:szCs w:val="21"/>
              </w:rPr>
              <w:t>综上所述，本工程总图根据《钻井工程及井场布置技术要求SYT5466-2013》《石油天然气钻井、开发、储运防火防爆安全生产技术规程》（SY-T 5225-2005）等规定的相关要求布置，对井场内各设施布置均已优化，从环保角度分析是合理可行的。</w:t>
            </w:r>
          </w:p>
          <w:p>
            <w:pPr>
              <w:adjustRightInd w:val="0"/>
              <w:snapToGrid w:val="0"/>
              <w:ind w:firstLine="420"/>
              <w:rPr>
                <w:rFonts w:hAnsi="宋体"/>
                <w:bCs/>
                <w:snapToGrid w:val="0"/>
                <w:kern w:val="0"/>
                <w:sz w:val="21"/>
                <w:szCs w:val="21"/>
              </w:rPr>
            </w:pPr>
            <w:r>
              <w:rPr>
                <w:rFonts w:hAnsi="宋体"/>
                <w:bCs/>
                <w:snapToGrid w:val="0"/>
                <w:kern w:val="0"/>
                <w:sz w:val="21"/>
                <w:szCs w:val="21"/>
              </w:rPr>
              <w:t>（</w:t>
            </w:r>
            <w:r>
              <w:rPr>
                <w:rFonts w:hint="eastAsia" w:hAnsi="宋体"/>
                <w:bCs/>
                <w:snapToGrid w:val="0"/>
                <w:kern w:val="0"/>
                <w:sz w:val="21"/>
                <w:szCs w:val="21"/>
              </w:rPr>
              <w:t>8</w:t>
            </w:r>
            <w:r>
              <w:rPr>
                <w:rFonts w:hAnsi="宋体"/>
                <w:bCs/>
                <w:snapToGrid w:val="0"/>
                <w:kern w:val="0"/>
                <w:sz w:val="21"/>
                <w:szCs w:val="21"/>
              </w:rPr>
              <w:t>）耕植土堆放场选址合理性分析</w:t>
            </w:r>
          </w:p>
          <w:p>
            <w:pPr>
              <w:adjustRightInd w:val="0"/>
              <w:snapToGrid w:val="0"/>
              <w:ind w:firstLine="420"/>
              <w:rPr>
                <w:rFonts w:hAnsi="宋体"/>
                <w:bCs/>
                <w:snapToGrid w:val="0"/>
                <w:kern w:val="0"/>
                <w:sz w:val="21"/>
                <w:szCs w:val="21"/>
              </w:rPr>
            </w:pPr>
            <w:r>
              <w:rPr>
                <w:rFonts w:hAnsi="宋体"/>
                <w:bCs/>
                <w:snapToGrid w:val="0"/>
                <w:kern w:val="0"/>
                <w:sz w:val="21"/>
                <w:szCs w:val="21"/>
              </w:rPr>
              <w:t>项目于井场外</w:t>
            </w:r>
            <w:r>
              <w:rPr>
                <w:rFonts w:hint="eastAsia" w:hAnsi="宋体"/>
                <w:bCs/>
                <w:snapToGrid w:val="0"/>
                <w:kern w:val="0"/>
                <w:sz w:val="21"/>
                <w:szCs w:val="21"/>
              </w:rPr>
              <w:t>东北侧</w:t>
            </w:r>
            <w:r>
              <w:rPr>
                <w:rFonts w:hAnsi="宋体"/>
                <w:bCs/>
                <w:snapToGrid w:val="0"/>
                <w:kern w:val="0"/>
                <w:sz w:val="21"/>
                <w:szCs w:val="21"/>
              </w:rPr>
              <w:t>建设耕植土堆放场。耕植土堆放场选址紧邻井场，缩短了耕植土转运距离，降低了转运过程废气、噪声的环境影响。耕植土堆放场占地较小，同时满足耕植土对方要求。项目于</w:t>
            </w:r>
            <w:r>
              <w:rPr>
                <w:rFonts w:hint="eastAsia" w:hAnsi="宋体"/>
                <w:bCs/>
                <w:snapToGrid w:val="0"/>
                <w:kern w:val="0"/>
                <w:sz w:val="21"/>
                <w:szCs w:val="21"/>
              </w:rPr>
              <w:t>耕植土堆放场外边修建M7.5浆砌片石挡土墙护脚。同时，在耕植土堆放场围护外侧30cm处开挖30cm×30cm的简易排水沟排水，以防止雨水冲刷造成水土流失。采取上述措施后，可有效避免耕植土堆放场垮塌风险。</w:t>
            </w:r>
          </w:p>
          <w:p>
            <w:pPr>
              <w:adjustRightInd w:val="0"/>
              <w:snapToGrid w:val="0"/>
              <w:ind w:firstLine="420"/>
              <w:rPr>
                <w:bCs/>
                <w:sz w:val="21"/>
                <w:szCs w:val="21"/>
              </w:rPr>
            </w:pPr>
            <w:r>
              <w:rPr>
                <w:rFonts w:hAnsi="宋体"/>
                <w:bCs/>
                <w:snapToGrid w:val="0"/>
                <w:kern w:val="0"/>
                <w:sz w:val="21"/>
                <w:szCs w:val="21"/>
              </w:rPr>
              <w:t>综上，项目耕植土堆放场选址合理。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kern w:val="0"/>
                <w:sz w:val="21"/>
                <w:szCs w:val="21"/>
              </w:rPr>
            </w:pPr>
            <w:r>
              <w:rPr>
                <w:kern w:val="0"/>
                <w:sz w:val="21"/>
                <w:szCs w:val="21"/>
              </w:rPr>
              <w:t>施工方案</w:t>
            </w:r>
          </w:p>
        </w:tc>
        <w:tc>
          <w:tcPr>
            <w:tcW w:w="842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b/>
                <w:snapToGrid w:val="0"/>
                <w:kern w:val="0"/>
                <w:sz w:val="21"/>
                <w:szCs w:val="21"/>
              </w:rPr>
            </w:pPr>
            <w:r>
              <w:rPr>
                <w:rFonts w:hint="eastAsia"/>
                <w:b/>
                <w:snapToGrid w:val="0"/>
                <w:kern w:val="0"/>
                <w:sz w:val="21"/>
                <w:szCs w:val="21"/>
              </w:rPr>
              <w:t>1、施工工艺：</w:t>
            </w:r>
          </w:p>
          <w:p>
            <w:pPr>
              <w:adjustRightInd w:val="0"/>
              <w:snapToGrid w:val="0"/>
              <w:ind w:firstLine="420"/>
              <w:rPr>
                <w:snapToGrid w:val="0"/>
                <w:kern w:val="0"/>
                <w:sz w:val="21"/>
                <w:szCs w:val="21"/>
              </w:rPr>
            </w:pPr>
            <w:r>
              <w:rPr>
                <w:rFonts w:hint="eastAsia"/>
                <w:snapToGrid w:val="0"/>
                <w:kern w:val="0"/>
                <w:sz w:val="21"/>
                <w:szCs w:val="21"/>
              </w:rPr>
              <w:t>拟建项目主要包括钻前工程（包括修建井场道路、平整井场、井场基础建设以及钻井设备安装等）、钻井工程（钻井、固井、射孔、压裂、完井测试放喷）和后期施工队伍的搬迁及废弃物资源化利用，如图2-</w:t>
            </w:r>
            <w:r>
              <w:rPr>
                <w:snapToGrid w:val="0"/>
                <w:kern w:val="0"/>
                <w:sz w:val="21"/>
                <w:szCs w:val="21"/>
              </w:rPr>
              <w:t>2</w:t>
            </w:r>
            <w:r>
              <w:rPr>
                <w:rFonts w:hint="eastAsia"/>
                <w:snapToGrid w:val="0"/>
                <w:kern w:val="0"/>
                <w:sz w:val="21"/>
                <w:szCs w:val="21"/>
              </w:rPr>
              <w:t>所示。</w:t>
            </w:r>
          </w:p>
          <w:p>
            <w:pPr>
              <w:adjustRightInd w:val="0"/>
              <w:snapToGrid w:val="0"/>
              <w:ind w:firstLine="420"/>
              <w:rPr>
                <w:snapToGrid w:val="0"/>
                <w:kern w:val="0"/>
                <w:sz w:val="21"/>
                <w:szCs w:val="21"/>
              </w:rPr>
            </w:pPr>
          </w:p>
          <w:p>
            <w:pPr>
              <w:adjustRightInd w:val="0"/>
              <w:snapToGrid w:val="0"/>
              <w:ind w:firstLine="420"/>
              <w:rPr>
                <w:snapToGrid w:val="0"/>
                <w:kern w:val="0"/>
                <w:sz w:val="21"/>
                <w:szCs w:val="21"/>
              </w:rPr>
            </w:pPr>
          </w:p>
          <w:p>
            <w:pPr>
              <w:adjustRightInd w:val="0"/>
              <w:snapToGrid w:val="0"/>
              <w:ind w:firstLine="420"/>
              <w:rPr>
                <w:snapToGrid w:val="0"/>
                <w:kern w:val="0"/>
                <w:sz w:val="21"/>
                <w:szCs w:val="21"/>
              </w:rPr>
            </w:pPr>
          </w:p>
          <w:p>
            <w:pPr>
              <w:adjustRightInd w:val="0"/>
              <w:snapToGrid w:val="0"/>
              <w:ind w:firstLine="420"/>
              <w:rPr>
                <w:snapToGrid w:val="0"/>
                <w:kern w:val="0"/>
                <w:sz w:val="21"/>
                <w:szCs w:val="21"/>
              </w:rPr>
            </w:pPr>
          </w:p>
          <w:p>
            <w:pPr>
              <w:adjustRightInd w:val="0"/>
              <w:snapToGrid w:val="0"/>
              <w:ind w:firstLine="420"/>
              <w:rPr>
                <w:snapToGrid w:val="0"/>
                <w:kern w:val="0"/>
                <w:sz w:val="21"/>
                <w:szCs w:val="21"/>
              </w:rPr>
            </w:pPr>
          </w:p>
          <w:p>
            <w:pPr>
              <w:spacing w:line="240" w:lineRule="auto"/>
              <w:ind w:firstLine="0" w:firstLineChars="0"/>
              <w:rPr>
                <w:sz w:val="21"/>
                <w:szCs w:val="21"/>
              </w:rPr>
            </w:pPr>
          </w:p>
          <w:p>
            <w:pPr>
              <w:adjustRightInd w:val="0"/>
              <w:snapToGrid w:val="0"/>
              <w:ind w:firstLine="0" w:firstLineChars="0"/>
              <w:jc w:val="center"/>
              <w:rPr>
                <w:rFonts w:hAnsi="宋体"/>
                <w:b/>
                <w:snapToGrid w:val="0"/>
                <w:kern w:val="0"/>
                <w:sz w:val="21"/>
                <w:szCs w:val="21"/>
              </w:rPr>
            </w:pPr>
            <w:r>
              <w:rPr>
                <w:sz w:val="21"/>
                <w:szCs w:val="21"/>
              </w:rPr>
              <w:object>
                <v:shape id="_x0000_i1025" o:spt="75" type="#_x0000_t75" style="height:424.7pt;width:410.1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pPr>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图</w:t>
            </w:r>
            <w:r>
              <w:rPr>
                <w:rFonts w:hint="eastAsia"/>
                <w:b/>
                <w:snapToGrid w:val="0"/>
                <w:kern w:val="0"/>
                <w:sz w:val="21"/>
                <w:szCs w:val="21"/>
              </w:rPr>
              <w:t>2</w:t>
            </w:r>
            <w:r>
              <w:rPr>
                <w:b/>
                <w:snapToGrid w:val="0"/>
                <w:kern w:val="0"/>
                <w:sz w:val="21"/>
                <w:szCs w:val="21"/>
              </w:rPr>
              <w:t xml:space="preserve">-2  </w:t>
            </w:r>
            <w:r>
              <w:rPr>
                <w:rFonts w:hint="eastAsia" w:hAnsi="宋体"/>
                <w:b/>
                <w:snapToGrid w:val="0"/>
                <w:kern w:val="0"/>
                <w:sz w:val="21"/>
                <w:szCs w:val="21"/>
              </w:rPr>
              <w:t>钻井工艺总流程图</w:t>
            </w:r>
          </w:p>
          <w:p>
            <w:pPr>
              <w:adjustRightInd w:val="0"/>
              <w:snapToGrid w:val="0"/>
              <w:ind w:firstLine="422"/>
              <w:rPr>
                <w:b/>
                <w:snapToGrid w:val="0"/>
                <w:kern w:val="0"/>
                <w:sz w:val="21"/>
                <w:szCs w:val="21"/>
              </w:rPr>
            </w:pPr>
            <w:r>
              <w:rPr>
                <w:rFonts w:hint="eastAsia"/>
                <w:b/>
                <w:snapToGrid w:val="0"/>
                <w:kern w:val="0"/>
                <w:sz w:val="21"/>
                <w:szCs w:val="21"/>
              </w:rPr>
              <w:t>1.1钻前工程</w:t>
            </w:r>
          </w:p>
          <w:p>
            <w:pPr>
              <w:adjustRightInd w:val="0"/>
              <w:snapToGrid w:val="0"/>
              <w:ind w:firstLine="420"/>
              <w:rPr>
                <w:snapToGrid w:val="0"/>
                <w:kern w:val="0"/>
                <w:sz w:val="21"/>
                <w:szCs w:val="21"/>
              </w:rPr>
            </w:pPr>
            <w:r>
              <w:rPr>
                <w:rFonts w:hint="eastAsia"/>
                <w:snapToGrid w:val="0"/>
                <w:kern w:val="0"/>
                <w:sz w:val="21"/>
                <w:szCs w:val="21"/>
              </w:rPr>
              <w:t>1.1.1主要构筑物</w:t>
            </w:r>
          </w:p>
          <w:p>
            <w:pPr>
              <w:adjustRightInd w:val="0"/>
              <w:snapToGrid w:val="0"/>
              <w:ind w:firstLine="420"/>
              <w:rPr>
                <w:rFonts w:hAnsi="宋体"/>
                <w:snapToGrid w:val="0"/>
                <w:kern w:val="0"/>
                <w:sz w:val="21"/>
                <w:szCs w:val="21"/>
              </w:rPr>
            </w:pPr>
            <w:r>
              <w:rPr>
                <w:rFonts w:hint="eastAsia"/>
                <w:snapToGrid w:val="0"/>
                <w:kern w:val="0"/>
                <w:sz w:val="21"/>
                <w:szCs w:val="21"/>
              </w:rPr>
              <w:t>拟建工程新建规模为</w:t>
            </w:r>
            <w:r>
              <w:rPr>
                <w:snapToGrid w:val="0"/>
                <w:kern w:val="0"/>
                <w:sz w:val="21"/>
                <w:szCs w:val="21"/>
              </w:rPr>
              <w:t>105</w:t>
            </w:r>
            <w:r>
              <w:rPr>
                <w:rFonts w:hint="eastAsia"/>
                <w:snapToGrid w:val="0"/>
                <w:kern w:val="0"/>
                <w:sz w:val="21"/>
                <w:szCs w:val="21"/>
              </w:rPr>
              <w:t>m</w:t>
            </w:r>
            <w:r>
              <w:rPr>
                <w:snapToGrid w:val="0"/>
                <w:kern w:val="0"/>
                <w:sz w:val="21"/>
                <w:szCs w:val="21"/>
              </w:rPr>
              <w:t>×55</w:t>
            </w:r>
            <w:r>
              <w:rPr>
                <w:rFonts w:hint="eastAsia"/>
                <w:snapToGrid w:val="0"/>
                <w:kern w:val="0"/>
                <w:sz w:val="21"/>
                <w:szCs w:val="21"/>
              </w:rPr>
              <w:t>m的井场1座，</w:t>
            </w:r>
            <w:r>
              <w:rPr>
                <w:rFonts w:hint="eastAsia" w:cs="Arial"/>
                <w:snapToGrid w:val="0"/>
                <w:kern w:val="0"/>
                <w:sz w:val="21"/>
                <w:szCs w:val="21"/>
              </w:rPr>
              <w:t>改建公路1.2km、新建公路0.228km</w:t>
            </w:r>
            <w:r>
              <w:rPr>
                <w:rFonts w:hint="eastAsia"/>
                <w:snapToGrid w:val="0"/>
                <w:kern w:val="0"/>
                <w:sz w:val="21"/>
                <w:szCs w:val="21"/>
              </w:rPr>
              <w:t>。</w:t>
            </w:r>
          </w:p>
          <w:p>
            <w:pPr>
              <w:adjustRightInd w:val="0"/>
              <w:snapToGrid w:val="0"/>
              <w:ind w:firstLine="420"/>
              <w:rPr>
                <w:snapToGrid w:val="0"/>
                <w:kern w:val="0"/>
                <w:sz w:val="21"/>
                <w:szCs w:val="21"/>
              </w:rPr>
            </w:pPr>
            <w:r>
              <w:rPr>
                <w:rFonts w:hint="eastAsia"/>
                <w:snapToGrid w:val="0"/>
                <w:kern w:val="0"/>
                <w:sz w:val="21"/>
                <w:szCs w:val="21"/>
              </w:rPr>
              <w:t>井场采用清洁化操作，于井场外西南侧新建</w:t>
            </w:r>
            <w:r>
              <w:rPr>
                <w:snapToGrid w:val="0"/>
                <w:kern w:val="0"/>
                <w:sz w:val="21"/>
                <w:szCs w:val="21"/>
              </w:rPr>
              <w:t>45</w:t>
            </w:r>
            <w:r>
              <w:rPr>
                <w:rFonts w:hint="eastAsia"/>
                <w:snapToGrid w:val="0"/>
                <w:kern w:val="0"/>
                <w:sz w:val="21"/>
                <w:szCs w:val="21"/>
              </w:rPr>
              <w:t>0m</w:t>
            </w:r>
            <w:r>
              <w:rPr>
                <w:rFonts w:hint="eastAsia"/>
                <w:snapToGrid w:val="0"/>
                <w:kern w:val="0"/>
                <w:sz w:val="21"/>
                <w:szCs w:val="21"/>
                <w:vertAlign w:val="superscript"/>
              </w:rPr>
              <w:t>2</w:t>
            </w:r>
            <w:r>
              <w:rPr>
                <w:rFonts w:hint="eastAsia"/>
                <w:snapToGrid w:val="0"/>
                <w:kern w:val="0"/>
                <w:sz w:val="21"/>
                <w:szCs w:val="21"/>
              </w:rPr>
              <w:t>清洁化操作平台（内部包括</w:t>
            </w:r>
            <w:r>
              <w:rPr>
                <w:snapToGrid w:val="0"/>
                <w:kern w:val="0"/>
                <w:sz w:val="21"/>
                <w:szCs w:val="21"/>
              </w:rPr>
              <w:t>150</w:t>
            </w:r>
            <w:r>
              <w:rPr>
                <w:rFonts w:hint="eastAsia"/>
                <w:snapToGrid w:val="0"/>
                <w:kern w:val="0"/>
                <w:sz w:val="21"/>
                <w:szCs w:val="21"/>
              </w:rPr>
              <w:t>m</w:t>
            </w:r>
            <w:r>
              <w:rPr>
                <w:rFonts w:hint="eastAsia"/>
                <w:snapToGrid w:val="0"/>
                <w:kern w:val="0"/>
                <w:sz w:val="21"/>
                <w:szCs w:val="21"/>
                <w:vertAlign w:val="superscript"/>
              </w:rPr>
              <w:t>2</w:t>
            </w:r>
            <w:r>
              <w:rPr>
                <w:rFonts w:hint="eastAsia"/>
                <w:snapToGrid w:val="0"/>
                <w:kern w:val="0"/>
                <w:sz w:val="21"/>
                <w:szCs w:val="21"/>
              </w:rPr>
              <w:t>岩屑堆放区），新建</w:t>
            </w:r>
            <w:r>
              <w:rPr>
                <w:snapToGrid w:val="0"/>
                <w:kern w:val="0"/>
                <w:sz w:val="21"/>
                <w:szCs w:val="21"/>
              </w:rPr>
              <w:t>5</w:t>
            </w:r>
            <w:r>
              <w:rPr>
                <w:rFonts w:hint="eastAsia"/>
                <w:snapToGrid w:val="0"/>
                <w:kern w:val="0"/>
                <w:sz w:val="21"/>
                <w:szCs w:val="21"/>
              </w:rPr>
              <w:t>00m</w:t>
            </w:r>
            <w:r>
              <w:rPr>
                <w:rFonts w:hint="eastAsia"/>
                <w:snapToGrid w:val="0"/>
                <w:kern w:val="0"/>
                <w:sz w:val="21"/>
                <w:szCs w:val="21"/>
                <w:vertAlign w:val="superscript"/>
              </w:rPr>
              <w:t>3</w:t>
            </w:r>
            <w:r>
              <w:rPr>
                <w:rFonts w:hint="eastAsia"/>
                <w:snapToGrid w:val="0"/>
                <w:kern w:val="0"/>
                <w:sz w:val="21"/>
                <w:szCs w:val="21"/>
              </w:rPr>
              <w:t>应急池</w:t>
            </w:r>
            <w:r>
              <w:rPr>
                <w:snapToGrid w:val="0"/>
                <w:kern w:val="0"/>
                <w:sz w:val="21"/>
                <w:szCs w:val="21"/>
              </w:rPr>
              <w:t>1</w:t>
            </w:r>
            <w:r>
              <w:rPr>
                <w:rFonts w:hint="eastAsia"/>
                <w:snapToGrid w:val="0"/>
                <w:kern w:val="0"/>
                <w:sz w:val="21"/>
                <w:szCs w:val="21"/>
              </w:rPr>
              <w:t>座（位于井场外东侧），A类燃烧池</w:t>
            </w:r>
            <w:r>
              <w:rPr>
                <w:snapToGrid w:val="0"/>
                <w:kern w:val="0"/>
                <w:sz w:val="21"/>
                <w:szCs w:val="21"/>
              </w:rPr>
              <w:t>1</w:t>
            </w:r>
            <w:r>
              <w:rPr>
                <w:rFonts w:hint="eastAsia"/>
                <w:snapToGrid w:val="0"/>
                <w:kern w:val="0"/>
                <w:sz w:val="21"/>
                <w:szCs w:val="21"/>
              </w:rPr>
              <w:t>个，井队生活区1套，泥浆储备罐</w:t>
            </w:r>
            <w:r>
              <w:rPr>
                <w:snapToGrid w:val="0"/>
                <w:kern w:val="0"/>
                <w:sz w:val="21"/>
                <w:szCs w:val="21"/>
              </w:rPr>
              <w:t>6</w:t>
            </w:r>
            <w:r>
              <w:rPr>
                <w:rFonts w:hint="eastAsia"/>
                <w:snapToGrid w:val="0"/>
                <w:kern w:val="0"/>
                <w:sz w:val="21"/>
                <w:szCs w:val="21"/>
              </w:rPr>
              <w:t>个（井场外东南侧），厕所2座、油水罐基础1处（井场外西北侧），配套建设钻井临时房屋、钻井设备基础、给排水、供配电等辅助工程。</w:t>
            </w:r>
          </w:p>
          <w:p>
            <w:pPr>
              <w:adjustRightInd w:val="0"/>
              <w:snapToGrid w:val="0"/>
              <w:ind w:firstLine="420"/>
              <w:rPr>
                <w:snapToGrid w:val="0"/>
                <w:kern w:val="0"/>
                <w:sz w:val="21"/>
                <w:szCs w:val="21"/>
              </w:rPr>
            </w:pPr>
            <w:r>
              <w:rPr>
                <w:rFonts w:hint="eastAsia"/>
                <w:snapToGrid w:val="0"/>
                <w:kern w:val="0"/>
                <w:sz w:val="21"/>
                <w:szCs w:val="21"/>
              </w:rPr>
              <w:t>1.1.2分区防渗</w:t>
            </w:r>
          </w:p>
          <w:p>
            <w:pPr>
              <w:adjustRightInd w:val="0"/>
              <w:snapToGrid w:val="0"/>
              <w:ind w:firstLine="420"/>
              <w:rPr>
                <w:snapToGrid w:val="0"/>
                <w:kern w:val="0"/>
                <w:sz w:val="21"/>
                <w:szCs w:val="21"/>
              </w:rPr>
            </w:pPr>
            <w:r>
              <w:rPr>
                <w:rFonts w:hint="eastAsia"/>
                <w:snapToGrid w:val="0"/>
                <w:kern w:val="0"/>
                <w:sz w:val="21"/>
                <w:szCs w:val="21"/>
              </w:rPr>
              <w:t>项目通过采取分区防渗措施，加强井场防渗等级，避免钻井过程污染物入渗土壤及地下水环境。根据《环境影响评价技术导则地下水环境》（HJ610-2016）中分区防渗要求、《危险废物贮存污染控制标准》（GB18597-2023）中要求并参照《非常规油气开采污染控制技术规范》（SY∕T 7482-2020）中相关规定，项目采取如下分区防渗措施：</w:t>
            </w:r>
          </w:p>
          <w:p>
            <w:pPr>
              <w:adjustRightInd w:val="0"/>
              <w:snapToGrid w:val="0"/>
              <w:ind w:firstLine="0" w:firstLineChars="0"/>
              <w:jc w:val="center"/>
              <w:rPr>
                <w:b/>
                <w:snapToGrid w:val="0"/>
                <w:kern w:val="0"/>
                <w:sz w:val="21"/>
                <w:szCs w:val="21"/>
              </w:rPr>
            </w:pPr>
            <w:r>
              <w:rPr>
                <w:rFonts w:hint="eastAsia"/>
                <w:b/>
                <w:snapToGrid w:val="0"/>
                <w:kern w:val="0"/>
                <w:sz w:val="21"/>
                <w:szCs w:val="21"/>
              </w:rPr>
              <w:t>表2-</w:t>
            </w:r>
            <w:r>
              <w:rPr>
                <w:b/>
                <w:snapToGrid w:val="0"/>
                <w:kern w:val="0"/>
                <w:sz w:val="21"/>
                <w:szCs w:val="21"/>
              </w:rPr>
              <w:t xml:space="preserve">10  </w:t>
            </w:r>
            <w:r>
              <w:rPr>
                <w:rFonts w:hint="eastAsia"/>
                <w:b/>
                <w:snapToGrid w:val="0"/>
                <w:kern w:val="0"/>
                <w:sz w:val="21"/>
                <w:szCs w:val="21"/>
              </w:rPr>
              <w:t>项目分区防渗方案一览表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5"/>
              <w:gridCol w:w="1764"/>
              <w:gridCol w:w="2651"/>
              <w:gridCol w:w="27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
                      <w:bCs/>
                      <w:snapToGrid w:val="0"/>
                      <w:kern w:val="0"/>
                      <w:sz w:val="21"/>
                      <w:szCs w:val="21"/>
                    </w:rPr>
                  </w:pPr>
                  <w:r>
                    <w:rPr>
                      <w:rFonts w:hint="eastAsia" w:hAnsi="宋体"/>
                      <w:b/>
                      <w:bCs/>
                      <w:snapToGrid w:val="0"/>
                      <w:kern w:val="0"/>
                      <w:sz w:val="21"/>
                      <w:szCs w:val="21"/>
                    </w:rPr>
                    <w:t>污染防渗区类别</w:t>
                  </w:r>
                </w:p>
              </w:tc>
              <w:tc>
                <w:tcPr>
                  <w:tcW w:w="104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
                      <w:bCs/>
                      <w:snapToGrid w:val="0"/>
                      <w:kern w:val="0"/>
                      <w:sz w:val="21"/>
                      <w:szCs w:val="21"/>
                    </w:rPr>
                  </w:pPr>
                  <w:r>
                    <w:rPr>
                      <w:rFonts w:hint="eastAsia" w:hAnsi="宋体"/>
                      <w:b/>
                      <w:bCs/>
                      <w:snapToGrid w:val="0"/>
                      <w:kern w:val="0"/>
                      <w:sz w:val="21"/>
                      <w:szCs w:val="21"/>
                    </w:rPr>
                    <w:t>防渗性能要求</w:t>
                  </w: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
                      <w:bCs/>
                      <w:snapToGrid w:val="0"/>
                      <w:kern w:val="0"/>
                      <w:sz w:val="21"/>
                      <w:szCs w:val="21"/>
                    </w:rPr>
                  </w:pPr>
                  <w:r>
                    <w:rPr>
                      <w:rFonts w:hint="eastAsia" w:hAnsi="宋体"/>
                      <w:b/>
                      <w:bCs/>
                      <w:snapToGrid w:val="0"/>
                      <w:kern w:val="0"/>
                      <w:sz w:val="21"/>
                      <w:szCs w:val="21"/>
                    </w:rPr>
                    <w:t>装置、单元名称</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
                      <w:bCs/>
                      <w:snapToGrid w:val="0"/>
                      <w:kern w:val="0"/>
                      <w:sz w:val="21"/>
                      <w:szCs w:val="21"/>
                    </w:rPr>
                  </w:pPr>
                  <w:r>
                    <w:rPr>
                      <w:rFonts w:hint="eastAsia" w:hAnsi="宋体"/>
                      <w:b/>
                      <w:bCs/>
                      <w:snapToGrid w:val="0"/>
                      <w:kern w:val="0"/>
                      <w:sz w:val="21"/>
                      <w:szCs w:val="21"/>
                    </w:rPr>
                    <w:t>污染防渗区域或部位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restart"/>
                  <w:tcBorders>
                    <w:top w:val="single" w:color="auto" w:sz="6" w:space="0"/>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重点防渗区</w:t>
                  </w:r>
                </w:p>
              </w:tc>
              <w:tc>
                <w:tcPr>
                  <w:tcW w:w="1049" w:type="pct"/>
                  <w:vMerge w:val="restart"/>
                  <w:tcBorders>
                    <w:top w:val="single" w:color="auto" w:sz="6" w:space="0"/>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铺设150mm混凝土或2mm厚高密度聚乙烯膜、渗透系数不大于10</w:t>
                  </w:r>
                  <w:r>
                    <w:rPr>
                      <w:rFonts w:hint="eastAsia" w:hAnsi="宋体"/>
                      <w:bCs/>
                      <w:snapToGrid w:val="0"/>
                      <w:kern w:val="0"/>
                      <w:sz w:val="21"/>
                      <w:szCs w:val="21"/>
                      <w:vertAlign w:val="superscript"/>
                    </w:rPr>
                    <w:t>-10</w:t>
                  </w:r>
                  <w:r>
                    <w:rPr>
                      <w:rFonts w:hint="eastAsia" w:hAnsi="宋体"/>
                      <w:bCs/>
                      <w:snapToGrid w:val="0"/>
                      <w:kern w:val="0"/>
                      <w:sz w:val="21"/>
                      <w:szCs w:val="21"/>
                    </w:rPr>
                    <w:t>cm/s，或采取铺设渗透系数不大于10</w:t>
                  </w:r>
                  <w:r>
                    <w:rPr>
                      <w:rFonts w:hAnsi="宋体"/>
                      <w:bCs/>
                      <w:snapToGrid w:val="0"/>
                      <w:kern w:val="0"/>
                      <w:sz w:val="21"/>
                      <w:szCs w:val="21"/>
                      <w:vertAlign w:val="superscript"/>
                    </w:rPr>
                    <w:t>-</w:t>
                  </w:r>
                  <w:r>
                    <w:rPr>
                      <w:rFonts w:hint="eastAsia" w:hAnsi="宋体"/>
                      <w:bCs/>
                      <w:snapToGrid w:val="0"/>
                      <w:kern w:val="0"/>
                      <w:sz w:val="21"/>
                      <w:szCs w:val="21"/>
                      <w:vertAlign w:val="superscript"/>
                    </w:rPr>
                    <w:t>10</w:t>
                  </w:r>
                  <w:r>
                    <w:rPr>
                      <w:rFonts w:hint="eastAsia" w:hAnsi="宋体"/>
                      <w:bCs/>
                      <w:snapToGrid w:val="0"/>
                      <w:kern w:val="0"/>
                      <w:sz w:val="21"/>
                      <w:szCs w:val="21"/>
                    </w:rPr>
                    <w:t>cm/s、至少2mm厚的其他人工材料的防渗措施</w:t>
                  </w: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方井</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底部及四周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04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钻井基础</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04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循环罐区</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地面、围堰四周及底部，防渗罐体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04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清洁化操作平台（包括岩屑堆放场及危废暂存间）</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地面及四周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应急池</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池底及池壁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集酸池（集酸沟）</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池底及池壁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燃烧池</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池底及池壁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井场隔油池</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池底及池壁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机房基础</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泥浆储备罐区</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地面、围堰及四周及底部，防渗罐体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bCs/>
                      <w:snapToGrid w:val="0"/>
                      <w:kern w:val="0"/>
                      <w:sz w:val="21"/>
                      <w:szCs w:val="21"/>
                    </w:rPr>
                    <w:t>油罐基础</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地面、围堰及四周及底部，防渗罐体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049" w:type="pct"/>
                  <w:vMerge w:val="continue"/>
                  <w:tcBorders>
                    <w:left w:val="single" w:color="auto" w:sz="6" w:space="0"/>
                    <w:right w:val="single" w:color="auto" w:sz="6" w:space="0"/>
                  </w:tcBorders>
                  <w:vAlign w:val="center"/>
                </w:tcPr>
                <w:p>
                  <w:pPr>
                    <w:widowControl/>
                    <w:spacing w:line="240" w:lineRule="auto"/>
                    <w:ind w:firstLine="0" w:firstLineChars="0"/>
                    <w:jc w:val="left"/>
                    <w:rPr>
                      <w:bCs/>
                      <w:snapToGrid w:val="0"/>
                      <w:kern w:val="0"/>
                      <w:sz w:val="21"/>
                      <w:szCs w:val="21"/>
                    </w:rPr>
                  </w:pPr>
                </w:p>
              </w:tc>
              <w:tc>
                <w:tcPr>
                  <w:tcW w:w="15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泥浆储备罐区</w:t>
                  </w:r>
                </w:p>
              </w:tc>
              <w:tc>
                <w:tcPr>
                  <w:tcW w:w="1645"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地面、围堰及四周及底部，防渗罐体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vMerge w:val="restart"/>
                  <w:tcBorders>
                    <w:top w:val="single" w:color="auto" w:sz="6" w:space="0"/>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一般防渗区</w:t>
                  </w:r>
                </w:p>
              </w:tc>
              <w:tc>
                <w:tcPr>
                  <w:tcW w:w="1049" w:type="pct"/>
                  <w:vMerge w:val="restart"/>
                  <w:tcBorders>
                    <w:top w:val="single" w:color="auto" w:sz="6" w:space="0"/>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bCs/>
                      <w:snapToGrid w:val="0"/>
                      <w:kern w:val="0"/>
                      <w:sz w:val="21"/>
                      <w:szCs w:val="21"/>
                    </w:rPr>
                  </w:pPr>
                  <w:r>
                    <w:rPr>
                      <w:rFonts w:hint="eastAsia" w:hAnsi="宋体"/>
                      <w:bCs/>
                      <w:snapToGrid w:val="0"/>
                      <w:kern w:val="0"/>
                      <w:sz w:val="21"/>
                      <w:szCs w:val="21"/>
                    </w:rPr>
                    <w:t>应满足等效黏土防渗层</w:t>
                  </w:r>
                  <w:r>
                    <w:rPr>
                      <w:bCs/>
                      <w:snapToGrid w:val="0"/>
                      <w:kern w:val="0"/>
                      <w:sz w:val="21"/>
                      <w:szCs w:val="21"/>
                    </w:rPr>
                    <w:t>Mb</w:t>
                  </w:r>
                  <w:r>
                    <w:rPr>
                      <w:rFonts w:hint="eastAsia" w:ascii="宋体" w:hAnsi="宋体"/>
                      <w:bCs/>
                      <w:snapToGrid w:val="0"/>
                      <w:kern w:val="0"/>
                      <w:sz w:val="21"/>
                      <w:szCs w:val="21"/>
                    </w:rPr>
                    <w:t>≧</w:t>
                  </w:r>
                  <w:r>
                    <w:rPr>
                      <w:bCs/>
                      <w:snapToGrid w:val="0"/>
                      <w:kern w:val="0"/>
                      <w:sz w:val="21"/>
                      <w:szCs w:val="21"/>
                    </w:rPr>
                    <w:t>1.5m</w:t>
                  </w:r>
                  <w:r>
                    <w:rPr>
                      <w:rFonts w:hint="eastAsia" w:hAnsi="宋体"/>
                      <w:bCs/>
                      <w:snapToGrid w:val="0"/>
                      <w:kern w:val="0"/>
                      <w:sz w:val="21"/>
                      <w:szCs w:val="21"/>
                    </w:rPr>
                    <w:t>，</w:t>
                  </w:r>
                  <w:r>
                    <w:rPr>
                      <w:bCs/>
                      <w:snapToGrid w:val="0"/>
                      <w:kern w:val="0"/>
                      <w:sz w:val="21"/>
                      <w:szCs w:val="21"/>
                    </w:rPr>
                    <w:t>K≤1×10</w:t>
                  </w:r>
                  <w:r>
                    <w:rPr>
                      <w:bCs/>
                      <w:snapToGrid w:val="0"/>
                      <w:kern w:val="0"/>
                      <w:sz w:val="21"/>
                      <w:szCs w:val="21"/>
                      <w:vertAlign w:val="superscript"/>
                    </w:rPr>
                    <w:t>-7</w:t>
                  </w:r>
                  <w:r>
                    <w:rPr>
                      <w:bCs/>
                      <w:snapToGrid w:val="0"/>
                      <w:kern w:val="0"/>
                      <w:sz w:val="21"/>
                      <w:szCs w:val="21"/>
                    </w:rPr>
                    <w:t>cm/s</w:t>
                  </w:r>
                  <w:r>
                    <w:rPr>
                      <w:rFonts w:hint="eastAsia" w:hAnsi="宋体"/>
                      <w:bCs/>
                      <w:snapToGrid w:val="0"/>
                      <w:kern w:val="0"/>
                      <w:sz w:val="21"/>
                      <w:szCs w:val="21"/>
                    </w:rPr>
                    <w:t>的防渗性能</w:t>
                  </w:r>
                </w:p>
              </w:tc>
              <w:tc>
                <w:tcPr>
                  <w:tcW w:w="1577" w:type="pct"/>
                  <w:tcBorders>
                    <w:top w:val="single" w:color="auto" w:sz="6" w:space="0"/>
                    <w:left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井场</w:t>
                  </w:r>
                </w:p>
              </w:tc>
              <w:tc>
                <w:tcPr>
                  <w:tcW w:w="1645" w:type="pct"/>
                  <w:tcBorders>
                    <w:top w:val="single" w:color="auto" w:sz="6" w:space="0"/>
                    <w:left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除重点防渗区之外的井场平台地面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72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049" w:type="pct"/>
                  <w:vMerge w:val="continue"/>
                  <w:tcBorders>
                    <w:left w:val="single" w:color="auto" w:sz="6" w:space="0"/>
                    <w:right w:val="single" w:color="auto" w:sz="6" w:space="0"/>
                  </w:tcBorders>
                  <w:vAlign w:val="center"/>
                </w:tcPr>
                <w:p>
                  <w:pPr>
                    <w:autoSpaceDE w:val="0"/>
                    <w:autoSpaceDN w:val="0"/>
                    <w:adjustRightInd w:val="0"/>
                    <w:spacing w:line="240" w:lineRule="auto"/>
                    <w:ind w:firstLine="0" w:firstLineChars="0"/>
                    <w:jc w:val="center"/>
                    <w:outlineLvl w:val="1"/>
                    <w:rPr>
                      <w:rFonts w:hAnsi="宋体"/>
                      <w:bCs/>
                      <w:snapToGrid w:val="0"/>
                      <w:kern w:val="0"/>
                      <w:sz w:val="21"/>
                      <w:szCs w:val="21"/>
                    </w:rPr>
                  </w:pPr>
                </w:p>
              </w:tc>
              <w:tc>
                <w:tcPr>
                  <w:tcW w:w="1577" w:type="pct"/>
                  <w:tcBorders>
                    <w:top w:val="single" w:color="auto" w:sz="6" w:space="0"/>
                    <w:left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清污分流区域</w:t>
                  </w:r>
                </w:p>
              </w:tc>
              <w:tc>
                <w:tcPr>
                  <w:tcW w:w="1645" w:type="pct"/>
                  <w:tcBorders>
                    <w:top w:val="single" w:color="auto" w:sz="6" w:space="0"/>
                    <w:left w:val="single" w:color="auto" w:sz="6" w:space="0"/>
                    <w:right w:val="single" w:color="auto" w:sz="6" w:space="0"/>
                  </w:tcBorders>
                  <w:vAlign w:val="center"/>
                </w:tcPr>
                <w:p>
                  <w:pPr>
                    <w:autoSpaceDE w:val="0"/>
                    <w:autoSpaceDN w:val="0"/>
                    <w:adjustRightInd w:val="0"/>
                    <w:spacing w:beforeAutospacing="1" w:afterAutospacing="1" w:line="240" w:lineRule="auto"/>
                    <w:ind w:firstLine="0" w:firstLineChars="0"/>
                    <w:jc w:val="center"/>
                    <w:outlineLvl w:val="1"/>
                    <w:rPr>
                      <w:rFonts w:hAnsi="宋体"/>
                      <w:bCs/>
                      <w:snapToGrid w:val="0"/>
                      <w:kern w:val="0"/>
                      <w:sz w:val="21"/>
                      <w:szCs w:val="21"/>
                    </w:rPr>
                  </w:pPr>
                  <w:r>
                    <w:rPr>
                      <w:rFonts w:hint="eastAsia" w:hAnsi="宋体"/>
                      <w:bCs/>
                      <w:snapToGrid w:val="0"/>
                      <w:kern w:val="0"/>
                      <w:sz w:val="21"/>
                      <w:szCs w:val="21"/>
                    </w:rPr>
                    <w:t>沟底及沟壁</w:t>
                  </w:r>
                </w:p>
              </w:tc>
            </w:tr>
          </w:tbl>
          <w:p>
            <w:pPr>
              <w:autoSpaceDE w:val="0"/>
              <w:autoSpaceDN w:val="0"/>
              <w:adjustRightInd w:val="0"/>
              <w:ind w:firstLine="420"/>
              <w:jc w:val="left"/>
              <w:outlineLvl w:val="1"/>
              <w:rPr>
                <w:bCs/>
                <w:snapToGrid w:val="0"/>
                <w:kern w:val="0"/>
                <w:sz w:val="21"/>
                <w:szCs w:val="21"/>
              </w:rPr>
            </w:pPr>
            <w:r>
              <w:rPr>
                <w:rFonts w:hAnsi="宋体"/>
                <w:bCs/>
                <w:snapToGrid w:val="0"/>
                <w:kern w:val="0"/>
                <w:sz w:val="21"/>
                <w:szCs w:val="21"/>
              </w:rPr>
              <w:t>依据《危险废物贮存污染控制标准》（</w:t>
            </w:r>
            <w:r>
              <w:rPr>
                <w:bCs/>
                <w:snapToGrid w:val="0"/>
                <w:kern w:val="0"/>
                <w:sz w:val="21"/>
                <w:szCs w:val="21"/>
              </w:rPr>
              <w:t>GB 18597-2023</w:t>
            </w:r>
            <w:r>
              <w:rPr>
                <w:rFonts w:hAnsi="宋体"/>
                <w:bCs/>
                <w:snapToGrid w:val="0"/>
                <w:kern w:val="0"/>
                <w:sz w:val="21"/>
                <w:szCs w:val="21"/>
              </w:rPr>
              <w:t>）</w:t>
            </w:r>
            <w:r>
              <w:rPr>
                <w:rFonts w:hint="eastAsia"/>
                <w:bCs/>
                <w:snapToGrid w:val="0"/>
                <w:kern w:val="0"/>
                <w:sz w:val="21"/>
                <w:szCs w:val="21"/>
              </w:rPr>
              <w:t>“贮存的危险废物直接接触地面的，还应进行基础防渗，防渗层为至少1m厚黏土层（渗透系数不大于10</w:t>
            </w:r>
            <w:r>
              <w:rPr>
                <w:bCs/>
                <w:snapToGrid w:val="0"/>
                <w:kern w:val="0"/>
                <w:sz w:val="21"/>
                <w:szCs w:val="21"/>
                <w:vertAlign w:val="superscript"/>
              </w:rPr>
              <w:t>-7</w:t>
            </w:r>
            <w:r>
              <w:rPr>
                <w:rFonts w:hint="eastAsia"/>
                <w:bCs/>
                <w:snapToGrid w:val="0"/>
                <w:kern w:val="0"/>
                <w:sz w:val="21"/>
                <w:szCs w:val="21"/>
              </w:rPr>
              <w:t>cm/s），或至少2mm厚高密度聚乙烯膜等人工防渗材料（渗透系数不大于10</w:t>
            </w:r>
            <w:r>
              <w:rPr>
                <w:bCs/>
                <w:snapToGrid w:val="0"/>
                <w:kern w:val="0"/>
                <w:sz w:val="21"/>
                <w:szCs w:val="21"/>
                <w:vertAlign w:val="superscript"/>
              </w:rPr>
              <w:t>-10</w:t>
            </w:r>
            <w:r>
              <w:rPr>
                <w:rFonts w:hint="eastAsia"/>
                <w:bCs/>
                <w:snapToGrid w:val="0"/>
                <w:kern w:val="0"/>
                <w:sz w:val="21"/>
                <w:szCs w:val="21"/>
              </w:rPr>
              <w:t>cm/s），或其他防渗性能等效的材料”</w:t>
            </w:r>
            <w:r>
              <w:rPr>
                <w:rFonts w:hAnsi="宋体"/>
                <w:bCs/>
                <w:snapToGrid w:val="0"/>
                <w:kern w:val="0"/>
                <w:sz w:val="21"/>
                <w:szCs w:val="21"/>
              </w:rPr>
              <w:t>。</w:t>
            </w:r>
            <w:r>
              <w:rPr>
                <w:rFonts w:hint="eastAsia" w:hAnsi="宋体"/>
                <w:bCs/>
                <w:snapToGrid w:val="0"/>
                <w:kern w:val="0"/>
                <w:sz w:val="21"/>
                <w:szCs w:val="21"/>
              </w:rPr>
              <w:t>本工程应在临时危废暂存间区域加强防渗措施，即在已设计的重点防渗要求之上均增加2mm高密度聚乙烯膜，再用水泥砂浆抹面，渗透系数≤10</w:t>
            </w:r>
            <w:r>
              <w:rPr>
                <w:rFonts w:hint="eastAsia" w:hAnsi="宋体"/>
                <w:bCs/>
                <w:snapToGrid w:val="0"/>
                <w:kern w:val="0"/>
                <w:sz w:val="21"/>
                <w:szCs w:val="21"/>
                <w:vertAlign w:val="superscript"/>
              </w:rPr>
              <w:t>-10</w:t>
            </w:r>
            <w:r>
              <w:rPr>
                <w:rFonts w:hint="eastAsia" w:hAnsi="宋体"/>
                <w:bCs/>
                <w:snapToGrid w:val="0"/>
                <w:kern w:val="0"/>
                <w:sz w:val="21"/>
                <w:szCs w:val="21"/>
              </w:rPr>
              <w:t>cm/s，可有效防止污染物入渗。</w:t>
            </w:r>
          </w:p>
          <w:p>
            <w:pPr>
              <w:autoSpaceDE w:val="0"/>
              <w:autoSpaceDN w:val="0"/>
              <w:adjustRightInd w:val="0"/>
              <w:ind w:firstLine="420"/>
              <w:rPr>
                <w:rFonts w:hAnsi="宋体"/>
                <w:bCs/>
                <w:snapToGrid w:val="0"/>
                <w:kern w:val="0"/>
                <w:sz w:val="21"/>
                <w:szCs w:val="21"/>
              </w:rPr>
            </w:pPr>
            <w:r>
              <w:rPr>
                <w:rFonts w:hAnsi="宋体"/>
                <w:bCs/>
                <w:snapToGrid w:val="0"/>
                <w:kern w:val="0"/>
                <w:sz w:val="21"/>
                <w:szCs w:val="21"/>
              </w:rPr>
              <w:t>1.1.3</w:t>
            </w:r>
            <w:r>
              <w:rPr>
                <w:rFonts w:hint="eastAsia" w:hAnsi="宋体"/>
                <w:bCs/>
                <w:snapToGrid w:val="0"/>
                <w:kern w:val="0"/>
                <w:sz w:val="21"/>
                <w:szCs w:val="21"/>
              </w:rPr>
              <w:t>表土保护</w:t>
            </w:r>
          </w:p>
          <w:p>
            <w:pPr>
              <w:autoSpaceDE w:val="0"/>
              <w:autoSpaceDN w:val="0"/>
              <w:adjustRightInd w:val="0"/>
              <w:ind w:firstLine="420"/>
              <w:rPr>
                <w:rFonts w:hAnsi="宋体"/>
                <w:bCs/>
                <w:snapToGrid w:val="0"/>
                <w:kern w:val="0"/>
                <w:sz w:val="21"/>
                <w:szCs w:val="21"/>
              </w:rPr>
            </w:pPr>
            <w:r>
              <w:rPr>
                <w:rFonts w:hint="eastAsia" w:hAnsi="宋体"/>
                <w:bCs/>
                <w:snapToGrid w:val="0"/>
                <w:kern w:val="0"/>
                <w:sz w:val="21"/>
                <w:szCs w:val="21"/>
              </w:rPr>
              <w:t>钻前工程施工前对井场区域表土进行剥离，表土剥离量</w:t>
            </w:r>
            <w:r>
              <w:rPr>
                <w:snapToGrid w:val="0"/>
                <w:kern w:val="0"/>
                <w:sz w:val="21"/>
                <w:szCs w:val="21"/>
              </w:rPr>
              <w:t>3813.30</w:t>
            </w:r>
            <w:r>
              <w:rPr>
                <w:rFonts w:hAnsi="宋体"/>
                <w:bCs/>
                <w:snapToGrid w:val="0"/>
                <w:kern w:val="0"/>
                <w:sz w:val="21"/>
                <w:szCs w:val="21"/>
              </w:rPr>
              <w:t>m</w:t>
            </w:r>
            <w:r>
              <w:rPr>
                <w:rFonts w:hAnsi="宋体"/>
                <w:bCs/>
                <w:snapToGrid w:val="0"/>
                <w:kern w:val="0"/>
                <w:sz w:val="21"/>
                <w:szCs w:val="21"/>
                <w:vertAlign w:val="superscript"/>
              </w:rPr>
              <w:t>3</w:t>
            </w:r>
            <w:r>
              <w:rPr>
                <w:rFonts w:hint="eastAsia" w:hAnsi="宋体"/>
                <w:bCs/>
                <w:snapToGrid w:val="0"/>
                <w:kern w:val="0"/>
                <w:sz w:val="21"/>
                <w:szCs w:val="21"/>
              </w:rPr>
              <w:t>，剥离表土临时单独堆放于井场东北侧耕植土堆放场内，用于后期临时用地的生态恢复用表土。耕植土堆放场靠外边修建M7.5浆砌片石挡土墙护脚。同时，在耕植土堆放场围护外侧30cm处开挖30cm×30cm的简易排水沟排水，以防止雨水冲刷造成水土流失，待项目建设完成后用于场地的复垦。耕植土应均匀回填並并夯压整平，回填整平后之后尽快植草以防表土流失。</w:t>
            </w:r>
          </w:p>
          <w:p>
            <w:pPr>
              <w:autoSpaceDE w:val="0"/>
              <w:autoSpaceDN w:val="0"/>
              <w:adjustRightInd w:val="0"/>
              <w:ind w:firstLine="420"/>
              <w:rPr>
                <w:rFonts w:hAnsi="宋体"/>
                <w:bCs/>
                <w:snapToGrid w:val="0"/>
                <w:kern w:val="0"/>
                <w:sz w:val="21"/>
                <w:szCs w:val="21"/>
              </w:rPr>
            </w:pPr>
            <w:r>
              <w:rPr>
                <w:rFonts w:hAnsi="宋体"/>
                <w:bCs/>
                <w:snapToGrid w:val="0"/>
                <w:kern w:val="0"/>
                <w:sz w:val="21"/>
                <w:szCs w:val="21"/>
              </w:rPr>
              <w:t>1.1.4</w:t>
            </w:r>
            <w:r>
              <w:rPr>
                <w:rFonts w:hint="eastAsia" w:hAnsi="宋体"/>
                <w:bCs/>
                <w:snapToGrid w:val="0"/>
                <w:kern w:val="0"/>
                <w:sz w:val="21"/>
                <w:szCs w:val="21"/>
              </w:rPr>
              <w:t>清污分流</w:t>
            </w:r>
          </w:p>
          <w:p>
            <w:pPr>
              <w:autoSpaceDE w:val="0"/>
              <w:autoSpaceDN w:val="0"/>
              <w:adjustRightInd w:val="0"/>
              <w:ind w:firstLine="420"/>
              <w:rPr>
                <w:rFonts w:hAnsi="宋体"/>
                <w:bCs/>
                <w:snapToGrid w:val="0"/>
                <w:kern w:val="0"/>
                <w:sz w:val="21"/>
                <w:szCs w:val="21"/>
              </w:rPr>
            </w:pPr>
            <w:r>
              <w:rPr>
                <w:rFonts w:hint="eastAsia" w:hAnsi="宋体"/>
                <w:bCs/>
                <w:snapToGrid w:val="0"/>
                <w:kern w:val="0"/>
                <w:sz w:val="21"/>
                <w:szCs w:val="21"/>
              </w:rPr>
              <w:t>井场采用清污分流制，井场内非污染区雨水依靠井场设置的地面坡度，就地散排至井场四周设置的排水沟，经隔油池隔油处理后排出场外；井场内污染区设置有挡污墙，截留井场散落的污水并汇集至集水坑内，利用污水泵泵入废水罐中，以避免进入雨水排水系统。且井场泥浆循环罐区、泵房等区域设挡雨棚，因此泥浆循环罐区、泵房区域的雨水由挡雨棚汇集后进入场内清水沟后排出场外。仅井架基础、机房区域的雨水收集在方井内，通过污水泵泵入废水罐中。</w:t>
            </w:r>
          </w:p>
          <w:p>
            <w:pPr>
              <w:autoSpaceDE w:val="0"/>
              <w:autoSpaceDN w:val="0"/>
              <w:adjustRightInd w:val="0"/>
              <w:ind w:firstLine="420"/>
              <w:rPr>
                <w:rFonts w:hAnsi="宋体"/>
                <w:bCs/>
                <w:snapToGrid w:val="0"/>
                <w:kern w:val="0"/>
                <w:sz w:val="21"/>
                <w:szCs w:val="21"/>
              </w:rPr>
            </w:pPr>
            <w:r>
              <w:rPr>
                <w:rFonts w:hAnsi="宋体"/>
                <w:bCs/>
                <w:snapToGrid w:val="0"/>
                <w:kern w:val="0"/>
                <w:sz w:val="21"/>
                <w:szCs w:val="21"/>
              </w:rPr>
              <w:t>1.1.5</w:t>
            </w:r>
            <w:r>
              <w:rPr>
                <w:rFonts w:hint="eastAsia" w:hAnsi="宋体"/>
                <w:bCs/>
                <w:snapToGrid w:val="0"/>
                <w:kern w:val="0"/>
                <w:sz w:val="21"/>
                <w:szCs w:val="21"/>
              </w:rPr>
              <w:t>水土流失防治</w:t>
            </w:r>
          </w:p>
          <w:p>
            <w:pPr>
              <w:autoSpaceDE w:val="0"/>
              <w:autoSpaceDN w:val="0"/>
              <w:adjustRightInd w:val="0"/>
              <w:ind w:firstLine="420"/>
              <w:rPr>
                <w:rFonts w:hAnsi="宋体"/>
                <w:bCs/>
                <w:snapToGrid w:val="0"/>
                <w:kern w:val="0"/>
                <w:sz w:val="21"/>
                <w:szCs w:val="21"/>
              </w:rPr>
            </w:pPr>
            <w:r>
              <w:rPr>
                <w:rFonts w:hint="eastAsia" w:hAnsi="宋体"/>
                <w:bCs/>
                <w:snapToGrid w:val="0"/>
                <w:kern w:val="0"/>
                <w:sz w:val="21"/>
                <w:szCs w:val="21"/>
              </w:rPr>
              <w:t>井场区域采取混凝土硬化并分区防渗，避免雨水冲刷造成水土流失。耕植土堆放场外边修建M7.5水泥砂浆浆砌MU30片（块）石挡土墙护脚，并建有截水沟和排水管等排水系统，同时撒播草籽绿化，避免雨水冲刷造成耕植土堆放场区域水土流失。新建道路用条石护基，并修建排水沟，路面采用混凝土硬化，防止由于雨水冲刷造成水土流失。</w:t>
            </w:r>
          </w:p>
          <w:p>
            <w:pPr>
              <w:autoSpaceDE w:val="0"/>
              <w:autoSpaceDN w:val="0"/>
              <w:adjustRightInd w:val="0"/>
              <w:ind w:firstLine="420"/>
              <w:rPr>
                <w:rFonts w:hAnsi="宋体"/>
                <w:bCs/>
                <w:snapToGrid w:val="0"/>
                <w:kern w:val="0"/>
                <w:sz w:val="21"/>
                <w:szCs w:val="21"/>
              </w:rPr>
            </w:pPr>
            <w:r>
              <w:rPr>
                <w:rFonts w:hAnsi="宋体"/>
                <w:bCs/>
                <w:snapToGrid w:val="0"/>
                <w:kern w:val="0"/>
                <w:sz w:val="21"/>
                <w:szCs w:val="21"/>
              </w:rPr>
              <w:t>1.1.6</w:t>
            </w:r>
            <w:r>
              <w:rPr>
                <w:rFonts w:hint="eastAsia" w:hAnsi="宋体"/>
                <w:bCs/>
                <w:snapToGrid w:val="0"/>
                <w:kern w:val="0"/>
                <w:sz w:val="21"/>
                <w:szCs w:val="21"/>
              </w:rPr>
              <w:t>隔油池</w:t>
            </w:r>
          </w:p>
          <w:p>
            <w:pPr>
              <w:autoSpaceDE w:val="0"/>
              <w:autoSpaceDN w:val="0"/>
              <w:adjustRightInd w:val="0"/>
              <w:ind w:firstLine="420"/>
              <w:rPr>
                <w:rFonts w:hAnsi="宋体"/>
                <w:bCs/>
                <w:snapToGrid w:val="0"/>
                <w:kern w:val="0"/>
                <w:sz w:val="21"/>
                <w:szCs w:val="21"/>
              </w:rPr>
            </w:pPr>
            <w:r>
              <w:rPr>
                <w:rFonts w:hAnsi="宋体"/>
                <w:bCs/>
                <w:snapToGrid w:val="0"/>
                <w:kern w:val="0"/>
                <w:sz w:val="21"/>
                <w:szCs w:val="21"/>
              </w:rPr>
              <w:t>7</w:t>
            </w:r>
            <w:r>
              <w:rPr>
                <w:rFonts w:hint="eastAsia" w:hAnsi="宋体"/>
                <w:bCs/>
                <w:snapToGrid w:val="0"/>
                <w:kern w:val="0"/>
                <w:sz w:val="21"/>
                <w:szCs w:val="21"/>
              </w:rPr>
              <w:t>个隔油池，其中6个容积为4m</w:t>
            </w:r>
            <w:r>
              <w:rPr>
                <w:rFonts w:hAnsi="宋体"/>
                <w:bCs/>
                <w:snapToGrid w:val="0"/>
                <w:kern w:val="0"/>
                <w:sz w:val="21"/>
                <w:szCs w:val="21"/>
                <w:vertAlign w:val="superscript"/>
              </w:rPr>
              <w:t>3</w:t>
            </w:r>
            <w:r>
              <w:rPr>
                <w:rFonts w:hint="eastAsia" w:hAnsi="宋体"/>
                <w:bCs/>
                <w:snapToGrid w:val="0"/>
                <w:kern w:val="0"/>
                <w:sz w:val="21"/>
                <w:szCs w:val="21"/>
              </w:rPr>
              <w:t>/个，分别位于井场四角、油罐区、泥浆储备罐区；</w:t>
            </w:r>
            <w:r>
              <w:rPr>
                <w:rFonts w:hAnsi="宋体"/>
                <w:bCs/>
                <w:snapToGrid w:val="0"/>
                <w:kern w:val="0"/>
                <w:sz w:val="21"/>
                <w:szCs w:val="21"/>
              </w:rPr>
              <w:t>1</w:t>
            </w:r>
            <w:r>
              <w:rPr>
                <w:rFonts w:hint="eastAsia" w:hAnsi="宋体"/>
                <w:bCs/>
                <w:snapToGrid w:val="0"/>
                <w:kern w:val="0"/>
                <w:sz w:val="21"/>
                <w:szCs w:val="21"/>
              </w:rPr>
              <w:t>个</w:t>
            </w:r>
            <w:r>
              <w:rPr>
                <w:rFonts w:hAnsi="宋体"/>
                <w:bCs/>
                <w:snapToGrid w:val="0"/>
                <w:kern w:val="0"/>
                <w:sz w:val="21"/>
                <w:szCs w:val="21"/>
              </w:rPr>
              <w:t>2</w:t>
            </w:r>
            <w:r>
              <w:rPr>
                <w:rFonts w:hint="eastAsia" w:hAnsi="宋体"/>
                <w:bCs/>
                <w:snapToGrid w:val="0"/>
                <w:kern w:val="0"/>
                <w:sz w:val="21"/>
                <w:szCs w:val="21"/>
              </w:rPr>
              <w:t>0m</w:t>
            </w:r>
            <w:r>
              <w:rPr>
                <w:rFonts w:hAnsi="宋体"/>
                <w:bCs/>
                <w:snapToGrid w:val="0"/>
                <w:kern w:val="0"/>
                <w:sz w:val="21"/>
                <w:szCs w:val="21"/>
                <w:vertAlign w:val="superscript"/>
              </w:rPr>
              <w:t>3</w:t>
            </w:r>
            <w:r>
              <w:rPr>
                <w:rFonts w:hint="eastAsia" w:hAnsi="宋体"/>
                <w:bCs/>
                <w:snapToGrid w:val="0"/>
                <w:kern w:val="0"/>
                <w:sz w:val="21"/>
                <w:szCs w:val="21"/>
              </w:rPr>
              <w:t>，位于生活区。隔油池是利用油滴与水的密度差产生上浮作用来去除含油废水中可浮性油类物质的一种废水预处理构筑物，用于废水隔油沉淀预处理。</w:t>
            </w:r>
          </w:p>
          <w:p>
            <w:pPr>
              <w:autoSpaceDE w:val="0"/>
              <w:autoSpaceDN w:val="0"/>
              <w:adjustRightInd w:val="0"/>
              <w:ind w:firstLine="420"/>
              <w:outlineLvl w:val="1"/>
              <w:rPr>
                <w:b/>
                <w:bCs/>
                <w:snapToGrid w:val="0"/>
                <w:kern w:val="0"/>
                <w:sz w:val="21"/>
                <w:szCs w:val="21"/>
              </w:rPr>
            </w:pPr>
            <w:r>
              <w:rPr>
                <w:rFonts w:hAnsi="宋体"/>
                <w:bCs/>
                <w:snapToGrid w:val="0"/>
                <w:kern w:val="0"/>
                <w:sz w:val="21"/>
                <w:szCs w:val="21"/>
              </w:rPr>
              <w:t>1.1.7</w:t>
            </w:r>
            <w:r>
              <w:rPr>
                <w:rFonts w:hint="eastAsia" w:hAnsi="宋体"/>
                <w:b/>
                <w:bCs/>
                <w:snapToGrid w:val="0"/>
                <w:kern w:val="0"/>
                <w:sz w:val="21"/>
                <w:szCs w:val="21"/>
              </w:rPr>
              <w:t>道路建设</w:t>
            </w:r>
          </w:p>
          <w:p>
            <w:pPr>
              <w:ind w:firstLine="420"/>
              <w:rPr>
                <w:snapToGrid w:val="0"/>
                <w:kern w:val="0"/>
                <w:sz w:val="21"/>
                <w:szCs w:val="21"/>
              </w:rPr>
            </w:pPr>
            <w:r>
              <w:rPr>
                <w:rFonts w:hint="eastAsia" w:hAnsi="宋体"/>
                <w:iCs/>
                <w:snapToGrid w:val="0"/>
                <w:kern w:val="0"/>
                <w:sz w:val="21"/>
                <w:szCs w:val="21"/>
                <w:lang w:val="zh-CN"/>
              </w:rPr>
              <w:t>改建公路</w:t>
            </w:r>
            <w:r>
              <w:rPr>
                <w:rFonts w:hint="eastAsia" w:hAnsi="宋体"/>
                <w:iCs/>
                <w:snapToGrid w:val="0"/>
                <w:kern w:val="0"/>
                <w:sz w:val="21"/>
                <w:szCs w:val="21"/>
              </w:rPr>
              <w:t>1.2km</w:t>
            </w:r>
            <w:r>
              <w:rPr>
                <w:rFonts w:hint="eastAsia" w:hAnsi="宋体"/>
                <w:iCs/>
                <w:snapToGrid w:val="0"/>
                <w:kern w:val="0"/>
                <w:sz w:val="21"/>
                <w:szCs w:val="21"/>
                <w:lang w:val="zh-CN"/>
              </w:rPr>
              <w:t>、新建公路</w:t>
            </w:r>
            <w:r>
              <w:rPr>
                <w:rFonts w:hint="eastAsia" w:hAnsi="宋体"/>
                <w:iCs/>
                <w:snapToGrid w:val="0"/>
                <w:kern w:val="0"/>
                <w:sz w:val="21"/>
                <w:szCs w:val="21"/>
              </w:rPr>
              <w:t>0.228km</w:t>
            </w:r>
            <w:r>
              <w:rPr>
                <w:rFonts w:hint="eastAsia" w:cs="Arial"/>
                <w:snapToGrid w:val="0"/>
                <w:kern w:val="0"/>
                <w:sz w:val="21"/>
                <w:szCs w:val="21"/>
              </w:rPr>
              <w:t>。</w:t>
            </w:r>
          </w:p>
          <w:p>
            <w:pPr>
              <w:ind w:firstLine="420"/>
              <w:rPr>
                <w:snapToGrid w:val="0"/>
                <w:kern w:val="0"/>
                <w:sz w:val="21"/>
                <w:szCs w:val="21"/>
              </w:rPr>
            </w:pPr>
            <w:r>
              <w:rPr>
                <w:rFonts w:hint="eastAsia"/>
                <w:snapToGrid w:val="0"/>
                <w:kern w:val="0"/>
                <w:sz w:val="21"/>
                <w:szCs w:val="21"/>
              </w:rPr>
              <w:t>改建公路为Y206乡道至井场的混凝土路面村道1.2Km，该村道由村民集资自建，全线路面宽度3.5m不等，部分弯道及部分路基出现病害，造成路基悬空大型车辆无法通行，为满足钻井运输车辆安全通行，需对出现病害处和弯道半径不满足处进行整改，对路面宽度不足处进行拓宽，并对弯道处增加转弯半径，路面加宽结构为 20cm 厚 C25 混凝土面层＋20cm 厚砂砾石基层。</w:t>
            </w:r>
          </w:p>
          <w:p>
            <w:pPr>
              <w:ind w:firstLine="420"/>
              <w:rPr>
                <w:snapToGrid w:val="0"/>
                <w:kern w:val="0"/>
                <w:sz w:val="21"/>
                <w:szCs w:val="21"/>
              </w:rPr>
            </w:pPr>
            <w:r>
              <w:rPr>
                <w:rFonts w:hint="eastAsia"/>
                <w:snapToGrid w:val="0"/>
                <w:kern w:val="0"/>
                <w:sz w:val="21"/>
                <w:szCs w:val="21"/>
              </w:rPr>
              <w:t>新建公路新建公路大部位于水田内，起点接改建公路终点，终点接井场K0+000桩，长度</w:t>
            </w:r>
            <w:r>
              <w:rPr>
                <w:rFonts w:hint="eastAsia" w:hAnsi="宋体"/>
                <w:iCs/>
                <w:snapToGrid w:val="0"/>
                <w:kern w:val="0"/>
                <w:sz w:val="21"/>
                <w:szCs w:val="21"/>
              </w:rPr>
              <w:t>0.228</w:t>
            </w:r>
            <w:r>
              <w:rPr>
                <w:rFonts w:hint="eastAsia"/>
                <w:snapToGrid w:val="0"/>
                <w:kern w:val="0"/>
                <w:sz w:val="21"/>
                <w:szCs w:val="21"/>
              </w:rPr>
              <w:t>km，宽4</w:t>
            </w:r>
            <w:r>
              <w:rPr>
                <w:snapToGrid w:val="0"/>
                <w:kern w:val="0"/>
                <w:sz w:val="21"/>
                <w:szCs w:val="21"/>
              </w:rPr>
              <w:t>.5m，</w:t>
            </w:r>
            <w:r>
              <w:rPr>
                <w:rFonts w:hint="eastAsia"/>
                <w:snapToGrid w:val="0"/>
                <w:kern w:val="0"/>
                <w:sz w:val="21"/>
                <w:szCs w:val="21"/>
              </w:rPr>
              <w:t>路面结构层为20cm厚C25混凝土面层＋20cm厚砂砾石压实基层。路基压实度不小于94%。</w:t>
            </w:r>
          </w:p>
          <w:p>
            <w:pPr>
              <w:ind w:firstLine="422"/>
              <w:rPr>
                <w:b/>
                <w:snapToGrid w:val="0"/>
                <w:kern w:val="0"/>
                <w:sz w:val="21"/>
                <w:szCs w:val="21"/>
              </w:rPr>
            </w:pPr>
            <w:r>
              <w:rPr>
                <w:rFonts w:hint="eastAsia"/>
                <w:b/>
                <w:snapToGrid w:val="0"/>
                <w:kern w:val="0"/>
                <w:sz w:val="21"/>
                <w:szCs w:val="21"/>
              </w:rPr>
              <w:t>1.</w:t>
            </w:r>
            <w:r>
              <w:rPr>
                <w:b/>
                <w:snapToGrid w:val="0"/>
                <w:kern w:val="0"/>
                <w:sz w:val="21"/>
                <w:szCs w:val="21"/>
              </w:rPr>
              <w:t>2</w:t>
            </w:r>
            <w:r>
              <w:rPr>
                <w:rFonts w:hint="eastAsia"/>
                <w:b/>
                <w:snapToGrid w:val="0"/>
                <w:kern w:val="0"/>
                <w:sz w:val="21"/>
                <w:szCs w:val="21"/>
              </w:rPr>
              <w:t>钻井工程</w:t>
            </w:r>
          </w:p>
          <w:p>
            <w:pPr>
              <w:adjustRightInd w:val="0"/>
              <w:snapToGrid w:val="0"/>
              <w:ind w:firstLine="420"/>
              <w:rPr>
                <w:snapToGrid w:val="0"/>
                <w:kern w:val="0"/>
                <w:sz w:val="21"/>
                <w:szCs w:val="21"/>
              </w:rPr>
            </w:pPr>
            <w:r>
              <w:rPr>
                <w:rFonts w:hint="eastAsia"/>
                <w:snapToGrid w:val="0"/>
                <w:kern w:val="0"/>
                <w:sz w:val="21"/>
                <w:szCs w:val="21"/>
              </w:rPr>
              <w:t>1.</w:t>
            </w:r>
            <w:r>
              <w:rPr>
                <w:snapToGrid w:val="0"/>
                <w:kern w:val="0"/>
                <w:sz w:val="21"/>
                <w:szCs w:val="21"/>
              </w:rPr>
              <w:t>2</w:t>
            </w:r>
            <w:r>
              <w:rPr>
                <w:rFonts w:hint="eastAsia"/>
                <w:snapToGrid w:val="0"/>
                <w:kern w:val="0"/>
                <w:sz w:val="21"/>
                <w:szCs w:val="21"/>
              </w:rPr>
              <w:t>.</w:t>
            </w:r>
            <w:r>
              <w:rPr>
                <w:snapToGrid w:val="0"/>
                <w:kern w:val="0"/>
                <w:sz w:val="21"/>
                <w:szCs w:val="21"/>
              </w:rPr>
              <w:t>1</w:t>
            </w:r>
            <w:r>
              <w:rPr>
                <w:rFonts w:hint="eastAsia"/>
                <w:snapToGrid w:val="0"/>
                <w:kern w:val="0"/>
                <w:sz w:val="21"/>
                <w:szCs w:val="21"/>
              </w:rPr>
              <w:t>钻进</w:t>
            </w:r>
          </w:p>
          <w:p>
            <w:pPr>
              <w:adjustRightInd w:val="0"/>
              <w:snapToGrid w:val="0"/>
              <w:ind w:firstLine="420"/>
              <w:rPr>
                <w:snapToGrid w:val="0"/>
                <w:kern w:val="0"/>
                <w:sz w:val="21"/>
                <w:szCs w:val="21"/>
              </w:rPr>
            </w:pPr>
            <w:r>
              <w:rPr>
                <w:rFonts w:hint="eastAsia"/>
                <w:snapToGrid w:val="0"/>
                <w:kern w:val="0"/>
                <w:sz w:val="21"/>
                <w:szCs w:val="21"/>
              </w:rPr>
              <w:t>在保证工程顺利实施的情况下，从尽量降低工程实施的环境影响原则出发，项目钻进工程阶段主要包括清水钻阶段和水基泥浆钻阶段，其中导管（</w:t>
            </w:r>
            <w:r>
              <w:rPr>
                <w:snapToGrid w:val="0"/>
                <w:kern w:val="0"/>
                <w:sz w:val="21"/>
                <w:szCs w:val="21"/>
              </w:rPr>
              <w:t>0m~30m</w:t>
            </w:r>
            <w:r>
              <w:rPr>
                <w:rFonts w:hint="eastAsia"/>
                <w:snapToGrid w:val="0"/>
                <w:kern w:val="0"/>
                <w:sz w:val="21"/>
                <w:szCs w:val="21"/>
              </w:rPr>
              <w:t>）采用清水钻井液钻进，可有效保护浅层地下水；一开（3</w:t>
            </w:r>
            <w:r>
              <w:rPr>
                <w:snapToGrid w:val="0"/>
                <w:kern w:val="0"/>
                <w:sz w:val="21"/>
                <w:szCs w:val="21"/>
              </w:rPr>
              <w:t>0m~502m</w:t>
            </w:r>
            <w:r>
              <w:rPr>
                <w:rFonts w:hint="eastAsia"/>
                <w:snapToGrid w:val="0"/>
                <w:kern w:val="0"/>
                <w:sz w:val="21"/>
                <w:szCs w:val="21"/>
              </w:rPr>
              <w:t>）、二开（5</w:t>
            </w:r>
            <w:r>
              <w:rPr>
                <w:snapToGrid w:val="0"/>
                <w:kern w:val="0"/>
                <w:sz w:val="21"/>
                <w:szCs w:val="21"/>
              </w:rPr>
              <w:t>02m~2965m</w:t>
            </w:r>
            <w:r>
              <w:rPr>
                <w:rFonts w:hint="eastAsia"/>
                <w:snapToGrid w:val="0"/>
                <w:kern w:val="0"/>
                <w:sz w:val="21"/>
                <w:szCs w:val="21"/>
              </w:rPr>
              <w:t>）采用水基钻井液钻进</w:t>
            </w:r>
            <w:bookmarkStart w:id="10" w:name="_GoBack"/>
            <w:bookmarkEnd w:id="10"/>
            <w:r>
              <w:rPr>
                <w:rFonts w:hint="eastAsia"/>
                <w:snapToGrid w:val="0"/>
                <w:kern w:val="0"/>
                <w:sz w:val="21"/>
                <w:szCs w:val="21"/>
              </w:rPr>
              <w:t>，有利于降低作业成本，对地层污染较小。三开（</w:t>
            </w:r>
            <w:r>
              <w:rPr>
                <w:snapToGrid w:val="0"/>
                <w:kern w:val="0"/>
                <w:sz w:val="21"/>
                <w:szCs w:val="21"/>
              </w:rPr>
              <w:t>2965</w:t>
            </w:r>
            <w:r>
              <w:rPr>
                <w:rFonts w:hint="eastAsia"/>
                <w:snapToGrid w:val="0"/>
                <w:kern w:val="0"/>
                <w:sz w:val="21"/>
                <w:szCs w:val="21"/>
              </w:rPr>
              <w:t>m~</w:t>
            </w:r>
            <w:r>
              <w:rPr>
                <w:snapToGrid w:val="0"/>
                <w:kern w:val="0"/>
                <w:sz w:val="21"/>
                <w:szCs w:val="21"/>
              </w:rPr>
              <w:t>5072</w:t>
            </w:r>
            <w:r>
              <w:rPr>
                <w:rFonts w:hint="eastAsia"/>
                <w:snapToGrid w:val="0"/>
                <w:kern w:val="0"/>
                <w:sz w:val="21"/>
                <w:szCs w:val="21"/>
              </w:rPr>
              <w:t>m）采用油基钻井也钻进，可有效降低井底摩阻，避免井下复杂。钻井以及随钻作业实施的固井、录井和钻屑随钻处理工程，整个钻进阶段均为24小时连续作业。</w:t>
            </w:r>
          </w:p>
          <w:p>
            <w:pPr>
              <w:adjustRightInd w:val="0"/>
              <w:snapToGrid w:val="0"/>
              <w:ind w:firstLine="420"/>
              <w:rPr>
                <w:snapToGrid w:val="0"/>
                <w:kern w:val="0"/>
                <w:sz w:val="21"/>
                <w:szCs w:val="21"/>
              </w:rPr>
            </w:pPr>
            <w:r>
              <w:rPr>
                <w:rFonts w:hint="eastAsia"/>
                <w:snapToGrid w:val="0"/>
                <w:kern w:val="0"/>
                <w:sz w:val="21"/>
                <w:szCs w:val="21"/>
              </w:rPr>
              <w:t>本工程井身按“导管+三开”设计，井身结构设计情况见表2-</w:t>
            </w:r>
            <w:r>
              <w:rPr>
                <w:snapToGrid w:val="0"/>
                <w:kern w:val="0"/>
                <w:sz w:val="21"/>
                <w:szCs w:val="21"/>
              </w:rPr>
              <w:t>11</w:t>
            </w:r>
            <w:r>
              <w:rPr>
                <w:rFonts w:hint="eastAsia"/>
                <w:snapToGrid w:val="0"/>
                <w:kern w:val="0"/>
                <w:sz w:val="21"/>
                <w:szCs w:val="21"/>
              </w:rPr>
              <w:t>，井身结构示意图见图2-</w:t>
            </w:r>
            <w:r>
              <w:rPr>
                <w:snapToGrid w:val="0"/>
                <w:kern w:val="0"/>
                <w:sz w:val="21"/>
                <w:szCs w:val="21"/>
              </w:rPr>
              <w:t>3</w:t>
            </w:r>
            <w:r>
              <w:rPr>
                <w:rFonts w:hint="eastAsia"/>
                <w:snapToGrid w:val="0"/>
                <w:kern w:val="0"/>
                <w:sz w:val="21"/>
                <w:szCs w:val="21"/>
              </w:rPr>
              <w:t>。该工艺通过顶驱带动钻杆旋转，由钻杆带动井底钻头切削地层，同时由泥浆泵经钻杆向井内注入高压钻井泥浆冲刷井底，并将钻头切削下的岩屑不断地带至地面，整个过程循环进行，使井不断加深，直至目的井深。</w:t>
            </w:r>
          </w:p>
          <w:p>
            <w:pPr>
              <w:adjustRightInd w:val="0"/>
              <w:snapToGrid w:val="0"/>
              <w:ind w:firstLine="420"/>
              <w:rPr>
                <w:snapToGrid w:val="0"/>
                <w:kern w:val="0"/>
                <w:sz w:val="21"/>
                <w:szCs w:val="21"/>
              </w:rPr>
            </w:pPr>
            <w:r>
              <w:rPr>
                <w:rFonts w:hint="eastAsia"/>
                <w:snapToGrid w:val="0"/>
                <w:kern w:val="0"/>
                <w:sz w:val="21"/>
                <w:szCs w:val="21"/>
              </w:rPr>
              <w:t>带钻屑的钻井泥浆进入泥浆循环系统进行固液分离并循环使用，分离出的水基岩屑经压滤脱水后暂存于</w:t>
            </w:r>
            <w:r>
              <w:rPr>
                <w:rFonts w:hint="eastAsia" w:hAnsi="宋体"/>
                <w:snapToGrid w:val="0"/>
                <w:kern w:val="0"/>
                <w:sz w:val="21"/>
                <w:szCs w:val="21"/>
              </w:rPr>
              <w:t>岩屑堆放场</w:t>
            </w:r>
            <w:r>
              <w:rPr>
                <w:rFonts w:hint="eastAsia"/>
                <w:snapToGrid w:val="0"/>
                <w:kern w:val="0"/>
                <w:sz w:val="21"/>
                <w:szCs w:val="21"/>
              </w:rPr>
              <w:t>，外运制烧结砖处理；</w:t>
            </w:r>
            <w:r>
              <w:rPr>
                <w:kern w:val="0"/>
                <w:sz w:val="21"/>
                <w:szCs w:val="21"/>
              </w:rPr>
              <w:t>油基岩屑由收集罐收集后暂存于危废暂存间，交由资质单位处置；</w:t>
            </w:r>
            <w:r>
              <w:rPr>
                <w:rFonts w:hint="eastAsia"/>
                <w:snapToGrid w:val="0"/>
                <w:kern w:val="0"/>
                <w:sz w:val="21"/>
                <w:szCs w:val="21"/>
              </w:rPr>
              <w:t>压滤机压滤（固液分离）过程产生的废水随钻拉运至四川鑫泓废水处理厂</w:t>
            </w:r>
            <w:r>
              <w:rPr>
                <w:rFonts w:hint="eastAsia" w:hAnsi="宋体"/>
                <w:bCs/>
                <w:snapToGrid w:val="0"/>
                <w:kern w:val="0"/>
                <w:sz w:val="21"/>
                <w:szCs w:val="21"/>
              </w:rPr>
              <w:t>处理后达标排放</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表2-</w:t>
            </w:r>
            <w:r>
              <w:rPr>
                <w:b/>
                <w:snapToGrid w:val="0"/>
                <w:kern w:val="0"/>
                <w:sz w:val="21"/>
                <w:szCs w:val="21"/>
              </w:rPr>
              <w:t xml:space="preserve">11  </w:t>
            </w:r>
            <w:r>
              <w:rPr>
                <w:rFonts w:hint="eastAsia"/>
                <w:b/>
                <w:snapToGrid w:val="0"/>
                <w:kern w:val="0"/>
                <w:sz w:val="21"/>
                <w:szCs w:val="21"/>
              </w:rPr>
              <w:t>平安</w:t>
            </w:r>
            <w:r>
              <w:rPr>
                <w:b/>
                <w:snapToGrid w:val="0"/>
                <w:kern w:val="0"/>
                <w:sz w:val="21"/>
                <w:szCs w:val="21"/>
              </w:rPr>
              <w:t>7井</w:t>
            </w:r>
            <w:r>
              <w:rPr>
                <w:rFonts w:hint="eastAsia"/>
                <w:b/>
                <w:snapToGrid w:val="0"/>
                <w:kern w:val="0"/>
                <w:sz w:val="21"/>
                <w:szCs w:val="21"/>
              </w:rPr>
              <w:t>井身结构设计</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5"/>
              <w:gridCol w:w="1043"/>
              <w:gridCol w:w="829"/>
              <w:gridCol w:w="1025"/>
              <w:gridCol w:w="1324"/>
              <w:gridCol w:w="1104"/>
              <w:gridCol w:w="143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tblHeader/>
                <w:jc w:val="center"/>
              </w:trPr>
              <w:tc>
                <w:tcPr>
                  <w:tcW w:w="330" w:type="pct"/>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开钻次序</w:t>
                  </w:r>
                </w:p>
              </w:tc>
              <w:tc>
                <w:tcPr>
                  <w:tcW w:w="620" w:type="pct"/>
                  <w:vAlign w:val="center"/>
                </w:tcPr>
                <w:p>
                  <w:pPr>
                    <w:spacing w:line="240" w:lineRule="auto"/>
                    <w:ind w:firstLine="0" w:firstLineChars="0"/>
                    <w:jc w:val="center"/>
                    <w:rPr>
                      <w:snapToGrid w:val="0"/>
                      <w:kern w:val="0"/>
                      <w:sz w:val="21"/>
                      <w:szCs w:val="21"/>
                    </w:rPr>
                  </w:pPr>
                  <w:r>
                    <w:rPr>
                      <w:snapToGrid w:val="0"/>
                      <w:kern w:val="0"/>
                      <w:sz w:val="21"/>
                      <w:szCs w:val="21"/>
                    </w:rPr>
                    <w:t>井段（m~m）</w:t>
                  </w:r>
                </w:p>
              </w:tc>
              <w:tc>
                <w:tcPr>
                  <w:tcW w:w="493" w:type="pct"/>
                  <w:vAlign w:val="center"/>
                </w:tcPr>
                <w:p>
                  <w:pPr>
                    <w:spacing w:line="240" w:lineRule="auto"/>
                    <w:ind w:firstLine="0" w:firstLineChars="0"/>
                    <w:jc w:val="center"/>
                    <w:rPr>
                      <w:snapToGrid w:val="0"/>
                      <w:kern w:val="0"/>
                      <w:sz w:val="21"/>
                      <w:szCs w:val="21"/>
                    </w:rPr>
                  </w:pPr>
                  <w:r>
                    <w:rPr>
                      <w:snapToGrid w:val="0"/>
                      <w:kern w:val="0"/>
                      <w:sz w:val="21"/>
                      <w:szCs w:val="21"/>
                    </w:rPr>
                    <w:t>钻头尺寸</w:t>
                  </w:r>
                </w:p>
                <w:p>
                  <w:pPr>
                    <w:widowControl/>
                    <w:spacing w:line="240" w:lineRule="auto"/>
                    <w:ind w:firstLine="0" w:firstLineChars="0"/>
                    <w:jc w:val="center"/>
                    <w:rPr>
                      <w:snapToGrid w:val="0"/>
                      <w:kern w:val="0"/>
                      <w:sz w:val="21"/>
                      <w:szCs w:val="21"/>
                    </w:rPr>
                  </w:pPr>
                  <w:r>
                    <w:rPr>
                      <w:snapToGrid w:val="0"/>
                      <w:kern w:val="0"/>
                      <w:sz w:val="21"/>
                      <w:szCs w:val="21"/>
                    </w:rPr>
                    <w:t>（mm）</w:t>
                  </w:r>
                </w:p>
              </w:tc>
              <w:tc>
                <w:tcPr>
                  <w:tcW w:w="609" w:type="pct"/>
                  <w:vAlign w:val="center"/>
                </w:tcPr>
                <w:p>
                  <w:pPr>
                    <w:spacing w:line="240" w:lineRule="auto"/>
                    <w:ind w:firstLine="0" w:firstLineChars="0"/>
                    <w:jc w:val="center"/>
                    <w:rPr>
                      <w:snapToGrid w:val="0"/>
                      <w:kern w:val="0"/>
                      <w:sz w:val="21"/>
                      <w:szCs w:val="21"/>
                    </w:rPr>
                  </w:pPr>
                  <w:r>
                    <w:rPr>
                      <w:snapToGrid w:val="0"/>
                      <w:kern w:val="0"/>
                      <w:sz w:val="21"/>
                      <w:szCs w:val="21"/>
                    </w:rPr>
                    <w:t>套管尺寸（mm）</w:t>
                  </w:r>
                </w:p>
              </w:tc>
              <w:tc>
                <w:tcPr>
                  <w:tcW w:w="787" w:type="pct"/>
                  <w:vAlign w:val="center"/>
                </w:tcPr>
                <w:p>
                  <w:pPr>
                    <w:spacing w:line="240" w:lineRule="auto"/>
                    <w:ind w:firstLine="0" w:firstLineChars="0"/>
                    <w:jc w:val="center"/>
                    <w:rPr>
                      <w:snapToGrid w:val="0"/>
                      <w:kern w:val="0"/>
                      <w:sz w:val="21"/>
                      <w:szCs w:val="21"/>
                    </w:rPr>
                  </w:pPr>
                  <w:r>
                    <w:rPr>
                      <w:snapToGrid w:val="0"/>
                      <w:kern w:val="0"/>
                      <w:sz w:val="21"/>
                      <w:szCs w:val="21"/>
                    </w:rPr>
                    <w:t>套管下入深度（m~m）</w:t>
                  </w:r>
                </w:p>
              </w:tc>
              <w:tc>
                <w:tcPr>
                  <w:tcW w:w="656" w:type="pct"/>
                  <w:vAlign w:val="center"/>
                </w:tcPr>
                <w:p>
                  <w:pPr>
                    <w:widowControl/>
                    <w:spacing w:line="240" w:lineRule="auto"/>
                    <w:ind w:firstLine="0" w:firstLineChars="0"/>
                    <w:jc w:val="center"/>
                    <w:rPr>
                      <w:snapToGrid w:val="0"/>
                      <w:kern w:val="0"/>
                      <w:sz w:val="21"/>
                      <w:szCs w:val="21"/>
                    </w:rPr>
                  </w:pPr>
                  <w:r>
                    <w:rPr>
                      <w:snapToGrid w:val="0"/>
                      <w:kern w:val="0"/>
                      <w:sz w:val="21"/>
                      <w:szCs w:val="21"/>
                    </w:rPr>
                    <w:t>套管程序</w:t>
                  </w:r>
                </w:p>
              </w:tc>
              <w:tc>
                <w:tcPr>
                  <w:tcW w:w="850" w:type="pct"/>
                  <w:vAlign w:val="center"/>
                </w:tcPr>
                <w:p>
                  <w:pPr>
                    <w:spacing w:line="240" w:lineRule="auto"/>
                    <w:ind w:firstLine="0" w:firstLineChars="0"/>
                    <w:jc w:val="center"/>
                    <w:rPr>
                      <w:snapToGrid w:val="0"/>
                      <w:kern w:val="0"/>
                      <w:sz w:val="21"/>
                      <w:szCs w:val="21"/>
                    </w:rPr>
                  </w:pPr>
                  <w:r>
                    <w:rPr>
                      <w:snapToGrid w:val="0"/>
                      <w:kern w:val="0"/>
                      <w:sz w:val="21"/>
                      <w:szCs w:val="21"/>
                    </w:rPr>
                    <w:t>套管下入地层层位</w:t>
                  </w:r>
                </w:p>
              </w:tc>
              <w:tc>
                <w:tcPr>
                  <w:tcW w:w="655" w:type="pct"/>
                  <w:vAlign w:val="center"/>
                </w:tcPr>
                <w:p>
                  <w:pPr>
                    <w:widowControl/>
                    <w:spacing w:line="240" w:lineRule="auto"/>
                    <w:ind w:firstLine="0" w:firstLineChars="0"/>
                    <w:jc w:val="center"/>
                    <w:rPr>
                      <w:snapToGrid w:val="0"/>
                      <w:kern w:val="0"/>
                      <w:sz w:val="21"/>
                      <w:szCs w:val="21"/>
                    </w:rPr>
                  </w:pPr>
                  <w:r>
                    <w:rPr>
                      <w:snapToGrid w:val="0"/>
                      <w:kern w:val="0"/>
                      <w:sz w:val="21"/>
                      <w:szCs w:val="21"/>
                    </w:rPr>
                    <w:t>水泥返高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330"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导管</w:t>
                  </w:r>
                </w:p>
              </w:tc>
              <w:tc>
                <w:tcPr>
                  <w:tcW w:w="620" w:type="pct"/>
                  <w:vAlign w:val="center"/>
                </w:tcPr>
                <w:p>
                  <w:pPr>
                    <w:widowControl/>
                    <w:spacing w:line="240" w:lineRule="auto"/>
                    <w:ind w:firstLine="0" w:firstLineChars="0"/>
                    <w:jc w:val="center"/>
                    <w:rPr>
                      <w:snapToGrid w:val="0"/>
                      <w:kern w:val="0"/>
                      <w:sz w:val="21"/>
                      <w:szCs w:val="21"/>
                    </w:rPr>
                  </w:pPr>
                  <w:r>
                    <w:rPr>
                      <w:snapToGrid w:val="0"/>
                      <w:kern w:val="0"/>
                      <w:sz w:val="21"/>
                      <w:szCs w:val="21"/>
                    </w:rPr>
                    <w:t>0~30</w:t>
                  </w:r>
                </w:p>
              </w:tc>
              <w:tc>
                <w:tcPr>
                  <w:tcW w:w="493" w:type="pct"/>
                  <w:vAlign w:val="center"/>
                </w:tcPr>
                <w:p>
                  <w:pPr>
                    <w:widowControl/>
                    <w:spacing w:line="240" w:lineRule="auto"/>
                    <w:ind w:firstLine="0" w:firstLineChars="0"/>
                    <w:jc w:val="center"/>
                    <w:rPr>
                      <w:snapToGrid w:val="0"/>
                      <w:kern w:val="0"/>
                      <w:sz w:val="21"/>
                      <w:szCs w:val="21"/>
                    </w:rPr>
                  </w:pPr>
                  <w:r>
                    <w:rPr>
                      <w:snapToGrid w:val="0"/>
                      <w:kern w:val="0"/>
                      <w:sz w:val="21"/>
                      <w:szCs w:val="21"/>
                    </w:rPr>
                    <w:t>660.4</w:t>
                  </w:r>
                </w:p>
              </w:tc>
              <w:tc>
                <w:tcPr>
                  <w:tcW w:w="609" w:type="pct"/>
                  <w:vAlign w:val="center"/>
                </w:tcPr>
                <w:p>
                  <w:pPr>
                    <w:widowControl/>
                    <w:spacing w:line="240" w:lineRule="auto"/>
                    <w:ind w:firstLine="0" w:firstLineChars="0"/>
                    <w:jc w:val="center"/>
                    <w:rPr>
                      <w:snapToGrid w:val="0"/>
                      <w:kern w:val="0"/>
                      <w:sz w:val="21"/>
                      <w:szCs w:val="21"/>
                    </w:rPr>
                  </w:pPr>
                  <w:r>
                    <w:rPr>
                      <w:snapToGrid w:val="0"/>
                      <w:kern w:val="0"/>
                      <w:sz w:val="21"/>
                      <w:szCs w:val="21"/>
                    </w:rPr>
                    <w:t>508</w:t>
                  </w:r>
                </w:p>
              </w:tc>
              <w:tc>
                <w:tcPr>
                  <w:tcW w:w="787" w:type="pct"/>
                  <w:vAlign w:val="center"/>
                </w:tcPr>
                <w:p>
                  <w:pPr>
                    <w:widowControl/>
                    <w:spacing w:line="240" w:lineRule="auto"/>
                    <w:ind w:firstLine="0" w:firstLineChars="0"/>
                    <w:jc w:val="center"/>
                    <w:rPr>
                      <w:snapToGrid w:val="0"/>
                      <w:kern w:val="0"/>
                      <w:sz w:val="21"/>
                      <w:szCs w:val="21"/>
                    </w:rPr>
                  </w:pPr>
                  <w:r>
                    <w:rPr>
                      <w:snapToGrid w:val="0"/>
                      <w:kern w:val="0"/>
                      <w:sz w:val="21"/>
                      <w:szCs w:val="21"/>
                    </w:rPr>
                    <w:t>0～30</w:t>
                  </w:r>
                </w:p>
              </w:tc>
              <w:tc>
                <w:tcPr>
                  <w:tcW w:w="656" w:type="pct"/>
                  <w:vAlign w:val="center"/>
                </w:tcPr>
                <w:p>
                  <w:pPr>
                    <w:widowControl/>
                    <w:spacing w:line="240" w:lineRule="auto"/>
                    <w:ind w:firstLine="0" w:firstLineChars="0"/>
                    <w:jc w:val="center"/>
                    <w:rPr>
                      <w:snapToGrid w:val="0"/>
                      <w:kern w:val="0"/>
                      <w:sz w:val="21"/>
                      <w:szCs w:val="21"/>
                    </w:rPr>
                  </w:pPr>
                  <w:r>
                    <w:rPr>
                      <w:snapToGrid w:val="0"/>
                      <w:kern w:val="0"/>
                      <w:sz w:val="21"/>
                      <w:szCs w:val="21"/>
                    </w:rPr>
                    <w:t>导管</w:t>
                  </w:r>
                </w:p>
              </w:tc>
              <w:tc>
                <w:tcPr>
                  <w:tcW w:w="850" w:type="pct"/>
                  <w:vAlign w:val="center"/>
                </w:tcPr>
                <w:p>
                  <w:pPr>
                    <w:widowControl/>
                    <w:spacing w:line="240" w:lineRule="auto"/>
                    <w:ind w:firstLine="0" w:firstLineChars="0"/>
                    <w:jc w:val="center"/>
                    <w:rPr>
                      <w:snapToGrid w:val="0"/>
                      <w:kern w:val="0"/>
                      <w:sz w:val="21"/>
                      <w:szCs w:val="21"/>
                    </w:rPr>
                  </w:pPr>
                  <w:r>
                    <w:rPr>
                      <w:snapToGrid w:val="0"/>
                      <w:kern w:val="0"/>
                      <w:sz w:val="21"/>
                      <w:szCs w:val="21"/>
                    </w:rPr>
                    <w:t>天马山组</w:t>
                  </w:r>
                </w:p>
              </w:tc>
              <w:tc>
                <w:tcPr>
                  <w:tcW w:w="655" w:type="pct"/>
                  <w:vAlign w:val="center"/>
                </w:tcPr>
                <w:p>
                  <w:pPr>
                    <w:widowControl/>
                    <w:spacing w:line="240" w:lineRule="auto"/>
                    <w:ind w:firstLine="0" w:firstLineChars="0"/>
                    <w:jc w:val="center"/>
                    <w:rPr>
                      <w:snapToGrid w:val="0"/>
                      <w:kern w:val="0"/>
                      <w:sz w:val="21"/>
                      <w:szCs w:val="21"/>
                    </w:rPr>
                  </w:pPr>
                  <w:r>
                    <w:rPr>
                      <w:snapToGrid w:val="0"/>
                      <w:kern w:val="0"/>
                      <w:sz w:val="21"/>
                      <w:szCs w:val="21"/>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330"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一开</w:t>
                  </w:r>
                </w:p>
              </w:tc>
              <w:tc>
                <w:tcPr>
                  <w:tcW w:w="620" w:type="pct"/>
                  <w:vAlign w:val="center"/>
                </w:tcPr>
                <w:p>
                  <w:pPr>
                    <w:widowControl/>
                    <w:spacing w:line="240" w:lineRule="auto"/>
                    <w:ind w:firstLine="0" w:firstLineChars="0"/>
                    <w:jc w:val="center"/>
                    <w:rPr>
                      <w:snapToGrid w:val="0"/>
                      <w:kern w:val="0"/>
                      <w:sz w:val="21"/>
                      <w:szCs w:val="21"/>
                    </w:rPr>
                  </w:pPr>
                  <w:r>
                    <w:rPr>
                      <w:snapToGrid w:val="0"/>
                      <w:kern w:val="0"/>
                      <w:sz w:val="21"/>
                      <w:szCs w:val="21"/>
                    </w:rPr>
                    <w:t>30~502</w:t>
                  </w:r>
                </w:p>
              </w:tc>
              <w:tc>
                <w:tcPr>
                  <w:tcW w:w="493" w:type="pct"/>
                  <w:vAlign w:val="center"/>
                </w:tcPr>
                <w:p>
                  <w:pPr>
                    <w:widowControl/>
                    <w:spacing w:line="240" w:lineRule="auto"/>
                    <w:ind w:firstLine="0" w:firstLineChars="0"/>
                    <w:jc w:val="center"/>
                    <w:rPr>
                      <w:snapToGrid w:val="0"/>
                      <w:kern w:val="0"/>
                      <w:sz w:val="21"/>
                      <w:szCs w:val="21"/>
                    </w:rPr>
                  </w:pPr>
                  <w:r>
                    <w:rPr>
                      <w:snapToGrid w:val="0"/>
                      <w:kern w:val="0"/>
                      <w:sz w:val="21"/>
                      <w:szCs w:val="21"/>
                    </w:rPr>
                    <w:t>406.4</w:t>
                  </w:r>
                </w:p>
              </w:tc>
              <w:tc>
                <w:tcPr>
                  <w:tcW w:w="609" w:type="pct"/>
                  <w:vAlign w:val="center"/>
                </w:tcPr>
                <w:p>
                  <w:pPr>
                    <w:widowControl/>
                    <w:spacing w:line="240" w:lineRule="auto"/>
                    <w:ind w:firstLine="0" w:firstLineChars="0"/>
                    <w:jc w:val="center"/>
                    <w:rPr>
                      <w:snapToGrid w:val="0"/>
                      <w:kern w:val="0"/>
                      <w:sz w:val="21"/>
                      <w:szCs w:val="21"/>
                    </w:rPr>
                  </w:pPr>
                  <w:r>
                    <w:rPr>
                      <w:snapToGrid w:val="0"/>
                      <w:kern w:val="0"/>
                      <w:sz w:val="21"/>
                      <w:szCs w:val="21"/>
                    </w:rPr>
                    <w:t>339.7</w:t>
                  </w:r>
                </w:p>
              </w:tc>
              <w:tc>
                <w:tcPr>
                  <w:tcW w:w="787" w:type="pct"/>
                  <w:vAlign w:val="center"/>
                </w:tcPr>
                <w:p>
                  <w:pPr>
                    <w:widowControl/>
                    <w:spacing w:line="240" w:lineRule="auto"/>
                    <w:ind w:firstLine="0" w:firstLineChars="0"/>
                    <w:jc w:val="center"/>
                    <w:rPr>
                      <w:snapToGrid w:val="0"/>
                      <w:kern w:val="0"/>
                      <w:sz w:val="21"/>
                      <w:szCs w:val="21"/>
                    </w:rPr>
                  </w:pPr>
                  <w:r>
                    <w:rPr>
                      <w:snapToGrid w:val="0"/>
                      <w:kern w:val="0"/>
                      <w:sz w:val="21"/>
                      <w:szCs w:val="21"/>
                    </w:rPr>
                    <w:t>0～502</w:t>
                  </w:r>
                </w:p>
              </w:tc>
              <w:tc>
                <w:tcPr>
                  <w:tcW w:w="656" w:type="pct"/>
                  <w:vAlign w:val="center"/>
                </w:tcPr>
                <w:p>
                  <w:pPr>
                    <w:widowControl/>
                    <w:spacing w:line="240" w:lineRule="auto"/>
                    <w:ind w:firstLine="0" w:firstLineChars="0"/>
                    <w:jc w:val="center"/>
                    <w:rPr>
                      <w:snapToGrid w:val="0"/>
                      <w:kern w:val="0"/>
                      <w:sz w:val="21"/>
                      <w:szCs w:val="21"/>
                    </w:rPr>
                  </w:pPr>
                  <w:r>
                    <w:rPr>
                      <w:snapToGrid w:val="0"/>
                      <w:kern w:val="0"/>
                      <w:sz w:val="21"/>
                      <w:szCs w:val="21"/>
                    </w:rPr>
                    <w:t>表层套管</w:t>
                  </w:r>
                </w:p>
              </w:tc>
              <w:tc>
                <w:tcPr>
                  <w:tcW w:w="850" w:type="pct"/>
                  <w:vAlign w:val="center"/>
                </w:tcPr>
                <w:p>
                  <w:pPr>
                    <w:widowControl/>
                    <w:spacing w:line="240" w:lineRule="auto"/>
                    <w:ind w:firstLine="0" w:firstLineChars="0"/>
                    <w:jc w:val="center"/>
                    <w:rPr>
                      <w:snapToGrid w:val="0"/>
                      <w:kern w:val="0"/>
                      <w:sz w:val="21"/>
                      <w:szCs w:val="21"/>
                    </w:rPr>
                  </w:pPr>
                  <w:r>
                    <w:rPr>
                      <w:snapToGrid w:val="0"/>
                      <w:kern w:val="0"/>
                      <w:sz w:val="21"/>
                      <w:szCs w:val="21"/>
                    </w:rPr>
                    <w:t>蓬莱镇组</w:t>
                  </w:r>
                </w:p>
              </w:tc>
              <w:tc>
                <w:tcPr>
                  <w:tcW w:w="655" w:type="pct"/>
                  <w:vAlign w:val="center"/>
                </w:tcPr>
                <w:p>
                  <w:pPr>
                    <w:widowControl/>
                    <w:spacing w:line="240" w:lineRule="auto"/>
                    <w:ind w:firstLine="0" w:firstLineChars="0"/>
                    <w:jc w:val="center"/>
                    <w:rPr>
                      <w:snapToGrid w:val="0"/>
                      <w:kern w:val="0"/>
                      <w:sz w:val="21"/>
                      <w:szCs w:val="21"/>
                    </w:rPr>
                  </w:pPr>
                  <w:r>
                    <w:rPr>
                      <w:snapToGrid w:val="0"/>
                      <w:kern w:val="0"/>
                      <w:sz w:val="21"/>
                      <w:szCs w:val="21"/>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330"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二开</w:t>
                  </w:r>
                </w:p>
              </w:tc>
              <w:tc>
                <w:tcPr>
                  <w:tcW w:w="620" w:type="pct"/>
                  <w:vAlign w:val="center"/>
                </w:tcPr>
                <w:p>
                  <w:pPr>
                    <w:widowControl/>
                    <w:spacing w:line="240" w:lineRule="auto"/>
                    <w:ind w:firstLine="0" w:firstLineChars="0"/>
                    <w:jc w:val="center"/>
                    <w:rPr>
                      <w:snapToGrid w:val="0"/>
                      <w:kern w:val="0"/>
                      <w:sz w:val="21"/>
                      <w:szCs w:val="21"/>
                    </w:rPr>
                  </w:pPr>
                  <w:r>
                    <w:rPr>
                      <w:snapToGrid w:val="0"/>
                      <w:kern w:val="0"/>
                      <w:sz w:val="21"/>
                      <w:szCs w:val="21"/>
                    </w:rPr>
                    <w:t>502~2965</w:t>
                  </w:r>
                </w:p>
              </w:tc>
              <w:tc>
                <w:tcPr>
                  <w:tcW w:w="493" w:type="pct"/>
                  <w:vAlign w:val="center"/>
                </w:tcPr>
                <w:p>
                  <w:pPr>
                    <w:widowControl/>
                    <w:spacing w:line="240" w:lineRule="auto"/>
                    <w:ind w:firstLine="0" w:firstLineChars="0"/>
                    <w:jc w:val="center"/>
                    <w:rPr>
                      <w:snapToGrid w:val="0"/>
                      <w:kern w:val="0"/>
                      <w:sz w:val="21"/>
                      <w:szCs w:val="21"/>
                    </w:rPr>
                  </w:pPr>
                  <w:r>
                    <w:rPr>
                      <w:snapToGrid w:val="0"/>
                      <w:kern w:val="0"/>
                      <w:sz w:val="21"/>
                      <w:szCs w:val="21"/>
                    </w:rPr>
                    <w:t>311.2</w:t>
                  </w:r>
                </w:p>
              </w:tc>
              <w:tc>
                <w:tcPr>
                  <w:tcW w:w="609"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244.5</w:t>
                  </w:r>
                </w:p>
              </w:tc>
              <w:tc>
                <w:tcPr>
                  <w:tcW w:w="787" w:type="pct"/>
                  <w:vAlign w:val="center"/>
                </w:tcPr>
                <w:p>
                  <w:pPr>
                    <w:widowControl/>
                    <w:spacing w:line="240" w:lineRule="auto"/>
                    <w:ind w:firstLine="0" w:firstLineChars="0"/>
                    <w:jc w:val="center"/>
                    <w:rPr>
                      <w:snapToGrid w:val="0"/>
                      <w:kern w:val="0"/>
                      <w:sz w:val="21"/>
                      <w:szCs w:val="21"/>
                    </w:rPr>
                  </w:pPr>
                  <w:r>
                    <w:rPr>
                      <w:snapToGrid w:val="0"/>
                      <w:kern w:val="0"/>
                      <w:sz w:val="21"/>
                      <w:szCs w:val="21"/>
                    </w:rPr>
                    <w:t>0～2963</w:t>
                  </w:r>
                </w:p>
              </w:tc>
              <w:tc>
                <w:tcPr>
                  <w:tcW w:w="656"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技术套管</w:t>
                  </w:r>
                </w:p>
              </w:tc>
              <w:tc>
                <w:tcPr>
                  <w:tcW w:w="850" w:type="pct"/>
                  <w:vAlign w:val="center"/>
                </w:tcPr>
                <w:p>
                  <w:pPr>
                    <w:spacing w:line="240" w:lineRule="auto"/>
                    <w:ind w:firstLine="0" w:firstLineChars="0"/>
                    <w:jc w:val="center"/>
                    <w:rPr>
                      <w:snapToGrid w:val="0"/>
                      <w:kern w:val="0"/>
                      <w:sz w:val="21"/>
                      <w:szCs w:val="21"/>
                    </w:rPr>
                  </w:pPr>
                  <w:r>
                    <w:rPr>
                      <w:snapToGrid w:val="0"/>
                      <w:kern w:val="0"/>
                      <w:sz w:val="21"/>
                      <w:szCs w:val="21"/>
                    </w:rPr>
                    <w:t>沙一段</w:t>
                  </w:r>
                </w:p>
              </w:tc>
              <w:tc>
                <w:tcPr>
                  <w:tcW w:w="655" w:type="pct"/>
                  <w:vAlign w:val="center"/>
                </w:tcPr>
                <w:p>
                  <w:pPr>
                    <w:widowControl/>
                    <w:spacing w:line="240" w:lineRule="auto"/>
                    <w:ind w:firstLine="0" w:firstLineChars="0"/>
                    <w:jc w:val="center"/>
                    <w:rPr>
                      <w:snapToGrid w:val="0"/>
                      <w:kern w:val="0"/>
                      <w:sz w:val="21"/>
                      <w:szCs w:val="21"/>
                    </w:rPr>
                  </w:pPr>
                  <w:r>
                    <w:rPr>
                      <w:snapToGrid w:val="0"/>
                      <w:kern w:val="0"/>
                      <w:sz w:val="21"/>
                      <w:szCs w:val="21"/>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330"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三开</w:t>
                  </w:r>
                </w:p>
              </w:tc>
              <w:tc>
                <w:tcPr>
                  <w:tcW w:w="620" w:type="pct"/>
                  <w:vAlign w:val="center"/>
                </w:tcPr>
                <w:p>
                  <w:pPr>
                    <w:widowControl/>
                    <w:spacing w:line="240" w:lineRule="auto"/>
                    <w:ind w:firstLine="0" w:firstLineChars="0"/>
                    <w:jc w:val="center"/>
                    <w:rPr>
                      <w:snapToGrid w:val="0"/>
                      <w:kern w:val="0"/>
                      <w:sz w:val="21"/>
                      <w:szCs w:val="21"/>
                    </w:rPr>
                  </w:pPr>
                  <w:r>
                    <w:rPr>
                      <w:snapToGrid w:val="0"/>
                      <w:kern w:val="0"/>
                      <w:sz w:val="21"/>
                      <w:szCs w:val="21"/>
                    </w:rPr>
                    <w:t>2965~5072</w:t>
                  </w:r>
                </w:p>
              </w:tc>
              <w:tc>
                <w:tcPr>
                  <w:tcW w:w="493" w:type="pct"/>
                  <w:vAlign w:val="center"/>
                </w:tcPr>
                <w:p>
                  <w:pPr>
                    <w:widowControl/>
                    <w:spacing w:line="240" w:lineRule="auto"/>
                    <w:ind w:firstLine="0" w:firstLineChars="0"/>
                    <w:jc w:val="center"/>
                    <w:rPr>
                      <w:snapToGrid w:val="0"/>
                      <w:kern w:val="0"/>
                      <w:sz w:val="21"/>
                      <w:szCs w:val="21"/>
                    </w:rPr>
                  </w:pPr>
                  <w:r>
                    <w:rPr>
                      <w:snapToGrid w:val="0"/>
                      <w:kern w:val="0"/>
                      <w:sz w:val="21"/>
                      <w:szCs w:val="21"/>
                    </w:rPr>
                    <w:t>215.9</w:t>
                  </w:r>
                </w:p>
              </w:tc>
              <w:tc>
                <w:tcPr>
                  <w:tcW w:w="609" w:type="pct"/>
                  <w:vAlign w:val="center"/>
                </w:tcPr>
                <w:p>
                  <w:pPr>
                    <w:widowControl/>
                    <w:spacing w:line="240" w:lineRule="auto"/>
                    <w:ind w:firstLine="0" w:firstLineChars="0"/>
                    <w:jc w:val="center"/>
                    <w:rPr>
                      <w:snapToGrid w:val="0"/>
                      <w:kern w:val="0"/>
                      <w:sz w:val="21"/>
                      <w:szCs w:val="21"/>
                    </w:rPr>
                  </w:pPr>
                  <w:r>
                    <w:rPr>
                      <w:snapToGrid w:val="0"/>
                      <w:kern w:val="0"/>
                      <w:sz w:val="21"/>
                      <w:szCs w:val="21"/>
                    </w:rPr>
                    <w:t>139.7</w:t>
                  </w:r>
                </w:p>
              </w:tc>
              <w:tc>
                <w:tcPr>
                  <w:tcW w:w="787" w:type="pct"/>
                  <w:vAlign w:val="center"/>
                </w:tcPr>
                <w:p>
                  <w:pPr>
                    <w:widowControl/>
                    <w:spacing w:line="240" w:lineRule="auto"/>
                    <w:ind w:firstLine="0" w:firstLineChars="0"/>
                    <w:jc w:val="center"/>
                    <w:rPr>
                      <w:snapToGrid w:val="0"/>
                      <w:kern w:val="0"/>
                      <w:sz w:val="21"/>
                      <w:szCs w:val="21"/>
                    </w:rPr>
                  </w:pPr>
                  <w:r>
                    <w:rPr>
                      <w:snapToGrid w:val="0"/>
                      <w:kern w:val="0"/>
                      <w:sz w:val="21"/>
                      <w:szCs w:val="21"/>
                    </w:rPr>
                    <w:t>0～5070</w:t>
                  </w:r>
                </w:p>
              </w:tc>
              <w:tc>
                <w:tcPr>
                  <w:tcW w:w="656"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生产套管</w:t>
                  </w:r>
                </w:p>
              </w:tc>
              <w:tc>
                <w:tcPr>
                  <w:tcW w:w="850" w:type="pct"/>
                  <w:vAlign w:val="center"/>
                </w:tcPr>
                <w:p>
                  <w:pPr>
                    <w:widowControl/>
                    <w:spacing w:line="240" w:lineRule="auto"/>
                    <w:ind w:firstLine="0" w:firstLineChars="0"/>
                    <w:jc w:val="center"/>
                    <w:rPr>
                      <w:snapToGrid w:val="0"/>
                      <w:kern w:val="0"/>
                      <w:sz w:val="21"/>
                      <w:szCs w:val="21"/>
                    </w:rPr>
                  </w:pPr>
                  <w:r>
                    <w:rPr>
                      <w:snapToGrid w:val="0"/>
                      <w:kern w:val="0"/>
                      <w:sz w:val="21"/>
                      <w:szCs w:val="21"/>
                    </w:rPr>
                    <w:t>凉高山组</w:t>
                  </w:r>
                </w:p>
              </w:tc>
              <w:tc>
                <w:tcPr>
                  <w:tcW w:w="655" w:type="pct"/>
                  <w:vAlign w:val="center"/>
                </w:tcPr>
                <w:p>
                  <w:pPr>
                    <w:widowControl/>
                    <w:spacing w:line="240" w:lineRule="auto"/>
                    <w:ind w:firstLine="0" w:firstLineChars="0"/>
                    <w:jc w:val="center"/>
                    <w:rPr>
                      <w:snapToGrid w:val="0"/>
                      <w:kern w:val="0"/>
                      <w:sz w:val="21"/>
                      <w:szCs w:val="21"/>
                    </w:rPr>
                  </w:pPr>
                  <w:r>
                    <w:rPr>
                      <w:snapToGrid w:val="0"/>
                      <w:kern w:val="0"/>
                      <w:sz w:val="21"/>
                      <w:szCs w:val="21"/>
                    </w:rPr>
                    <w:t>地面</w:t>
                  </w:r>
                </w:p>
              </w:tc>
            </w:tr>
          </w:tbl>
          <w:p>
            <w:pPr>
              <w:adjustRightInd w:val="0"/>
              <w:snapToGrid w:val="0"/>
              <w:ind w:firstLine="0" w:firstLineChars="0"/>
              <w:jc w:val="center"/>
              <w:rPr>
                <w:b/>
                <w:snapToGrid w:val="0"/>
                <w:kern w:val="0"/>
                <w:sz w:val="21"/>
                <w:szCs w:val="21"/>
              </w:rPr>
            </w:pPr>
            <w:r>
              <w:drawing>
                <wp:inline distT="0" distB="0" distL="0" distR="0">
                  <wp:extent cx="4679950" cy="3234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4680000" cy="3235213"/>
                          </a:xfrm>
                          <a:prstGeom prst="rect">
                            <a:avLst/>
                          </a:prstGeom>
                        </pic:spPr>
                      </pic:pic>
                    </a:graphicData>
                  </a:graphic>
                </wp:inline>
              </w:drawing>
            </w:r>
          </w:p>
          <w:p>
            <w:pPr>
              <w:adjustRightInd w:val="0"/>
              <w:snapToGrid w:val="0"/>
              <w:ind w:firstLine="0" w:firstLineChars="0"/>
              <w:jc w:val="center"/>
              <w:rPr>
                <w:b/>
                <w:snapToGrid w:val="0"/>
                <w:kern w:val="0"/>
                <w:sz w:val="21"/>
                <w:szCs w:val="21"/>
              </w:rPr>
            </w:pPr>
            <w:r>
              <w:rPr>
                <w:rFonts w:hint="eastAsia"/>
                <w:b/>
                <w:snapToGrid w:val="0"/>
                <w:kern w:val="0"/>
                <w:sz w:val="21"/>
                <w:szCs w:val="21"/>
              </w:rPr>
              <w:t>图2-</w:t>
            </w:r>
            <w:r>
              <w:rPr>
                <w:b/>
                <w:snapToGrid w:val="0"/>
                <w:kern w:val="0"/>
                <w:sz w:val="21"/>
                <w:szCs w:val="21"/>
              </w:rPr>
              <w:t xml:space="preserve">3  </w:t>
            </w:r>
            <w:r>
              <w:rPr>
                <w:rFonts w:hint="eastAsia"/>
                <w:b/>
                <w:snapToGrid w:val="0"/>
                <w:kern w:val="0"/>
                <w:sz w:val="21"/>
                <w:szCs w:val="21"/>
              </w:rPr>
              <w:t>平安</w:t>
            </w:r>
            <w:r>
              <w:rPr>
                <w:b/>
                <w:snapToGrid w:val="0"/>
                <w:kern w:val="0"/>
                <w:sz w:val="21"/>
                <w:szCs w:val="21"/>
              </w:rPr>
              <w:t>7</w:t>
            </w:r>
            <w:r>
              <w:rPr>
                <w:rFonts w:hint="eastAsia"/>
                <w:b/>
                <w:snapToGrid w:val="0"/>
                <w:kern w:val="0"/>
                <w:sz w:val="21"/>
                <w:szCs w:val="21"/>
              </w:rPr>
              <w:t>井井身结构示意图</w:t>
            </w:r>
          </w:p>
          <w:p>
            <w:pPr>
              <w:adjustRightInd w:val="0"/>
              <w:snapToGrid w:val="0"/>
              <w:ind w:firstLine="420"/>
              <w:rPr>
                <w:snapToGrid w:val="0"/>
                <w:kern w:val="0"/>
                <w:sz w:val="21"/>
                <w:szCs w:val="21"/>
              </w:rPr>
            </w:pPr>
            <w:r>
              <w:rPr>
                <w:rFonts w:hint="eastAsia"/>
                <w:snapToGrid w:val="0"/>
                <w:kern w:val="0"/>
                <w:sz w:val="21"/>
                <w:szCs w:val="21"/>
              </w:rPr>
              <w:t>（1）清水钻进阶段</w:t>
            </w:r>
          </w:p>
          <w:p>
            <w:pPr>
              <w:autoSpaceDE w:val="0"/>
              <w:autoSpaceDN w:val="0"/>
              <w:adjustRightInd w:val="0"/>
              <w:ind w:firstLine="420"/>
              <w:rPr>
                <w:bCs/>
                <w:snapToGrid w:val="0"/>
                <w:kern w:val="0"/>
                <w:sz w:val="21"/>
                <w:szCs w:val="21"/>
              </w:rPr>
            </w:pPr>
            <w:r>
              <w:rPr>
                <w:rFonts w:hint="eastAsia" w:hAnsi="宋体"/>
                <w:bCs/>
                <w:snapToGrid w:val="0"/>
                <w:kern w:val="0"/>
                <w:sz w:val="21"/>
                <w:szCs w:val="21"/>
              </w:rPr>
              <w:t>项目导管段利用清水钻井液迅速钻进，保护浅层地下水。在表层钻进阶段，为了保护地表含水层，避免水基泥浆等钻井液对地下水环境造成不利影响，建设方拟采用清水钻工艺进行导管钻井作业。清水钻进所使用的钻井泥浆为</w:t>
            </w:r>
            <w:r>
              <w:rPr>
                <w:rFonts w:hint="eastAsia"/>
                <w:bCs/>
                <w:snapToGrid w:val="0"/>
                <w:kern w:val="0"/>
                <w:sz w:val="21"/>
                <w:szCs w:val="21"/>
              </w:rPr>
              <w:t>1.05～1.10</w:t>
            </w:r>
            <w:r>
              <w:rPr>
                <w:bCs/>
                <w:snapToGrid w:val="0"/>
                <w:kern w:val="0"/>
                <w:sz w:val="21"/>
                <w:szCs w:val="21"/>
              </w:rPr>
              <w:t>g/cm</w:t>
            </w:r>
            <w:r>
              <w:rPr>
                <w:bCs/>
                <w:snapToGrid w:val="0"/>
                <w:kern w:val="0"/>
                <w:sz w:val="21"/>
                <w:szCs w:val="21"/>
                <w:vertAlign w:val="superscript"/>
              </w:rPr>
              <w:t>3</w:t>
            </w:r>
            <w:r>
              <w:rPr>
                <w:rFonts w:hint="eastAsia" w:hAnsi="宋体"/>
                <w:bCs/>
                <w:snapToGrid w:val="0"/>
                <w:kern w:val="0"/>
                <w:sz w:val="21"/>
                <w:szCs w:val="21"/>
              </w:rPr>
              <w:t>的预水化膨润土浆</w:t>
            </w:r>
            <w:r>
              <w:rPr>
                <w:bCs/>
                <w:snapToGrid w:val="0"/>
                <w:kern w:val="0"/>
                <w:sz w:val="21"/>
                <w:szCs w:val="21"/>
              </w:rPr>
              <w:t>+</w:t>
            </w:r>
            <w:r>
              <w:rPr>
                <w:rFonts w:hint="eastAsia" w:hAnsi="宋体"/>
                <w:bCs/>
                <w:snapToGrid w:val="0"/>
                <w:kern w:val="0"/>
                <w:sz w:val="21"/>
                <w:szCs w:val="21"/>
              </w:rPr>
              <w:t>水，相比其他泥浆，可大幅降低钻井液对表层地下水的影响，该阶段动力来源于井场内设的柴油发电机组，导管设计使用</w:t>
            </w:r>
            <w:r>
              <w:rPr>
                <w:rFonts w:cs="Arial"/>
                <w:bCs/>
                <w:snapToGrid w:val="0"/>
                <w:kern w:val="0"/>
                <w:sz w:val="21"/>
                <w:szCs w:val="21"/>
              </w:rPr>
              <w:t>660.4</w:t>
            </w:r>
            <w:r>
              <w:rPr>
                <w:bCs/>
                <w:snapToGrid w:val="0"/>
                <w:kern w:val="0"/>
                <w:sz w:val="21"/>
                <w:szCs w:val="21"/>
              </w:rPr>
              <w:t>mm</w:t>
            </w:r>
            <w:r>
              <w:rPr>
                <w:rFonts w:hint="eastAsia" w:hAnsi="宋体"/>
                <w:bCs/>
                <w:snapToGrid w:val="0"/>
                <w:kern w:val="0"/>
                <w:sz w:val="21"/>
                <w:szCs w:val="21"/>
              </w:rPr>
              <w:t>钻头，深度为</w:t>
            </w:r>
            <w:r>
              <w:rPr>
                <w:bCs/>
                <w:snapToGrid w:val="0"/>
                <w:kern w:val="0"/>
                <w:sz w:val="21"/>
                <w:szCs w:val="21"/>
              </w:rPr>
              <w:t>0~30m</w:t>
            </w:r>
            <w:r>
              <w:rPr>
                <w:rFonts w:hint="eastAsia" w:hAnsi="宋体"/>
                <w:bCs/>
                <w:snapToGrid w:val="0"/>
                <w:kern w:val="0"/>
                <w:sz w:val="21"/>
                <w:szCs w:val="21"/>
              </w:rPr>
              <w:t>。</w:t>
            </w:r>
          </w:p>
          <w:p>
            <w:pPr>
              <w:adjustRightInd w:val="0"/>
              <w:snapToGrid w:val="0"/>
              <w:ind w:firstLine="420"/>
              <w:rPr>
                <w:snapToGrid w:val="0"/>
                <w:kern w:val="0"/>
                <w:sz w:val="21"/>
                <w:szCs w:val="21"/>
              </w:rPr>
            </w:pPr>
            <w:r>
              <w:rPr>
                <w:rFonts w:hint="eastAsia"/>
                <w:snapToGrid w:val="0"/>
                <w:kern w:val="0"/>
                <w:sz w:val="21"/>
                <w:szCs w:val="21"/>
              </w:rPr>
              <w:t>清水钻阶段中，返回地表的含屑钻井液通过泥浆管输入180目（筛孔直径约0.1mm）的振动筛进行固液分离，将钻井液中粒径大于0.1mm的钻屑留于筛上，振动筛筛下的泥浆直接进入泥浆循环罐暂存，使用时先通过除砂器将粒径大于0.07mm的钻屑进行分离，再循环用于本阶段的钻井作业和后续水基泥浆钻阶段的配浆作业；振动筛的筛上物质则通过螺旋传输器进入清洁化生产区中的岩屑收集罐进行自然沉淀，沉淀后上层清液用于钻井作业和后续钻井的配浆作业，下层固相物质进入搅拌罐，通过减量装置（压滤机等）处理，液相回用于配置泥浆；固相存放于</w:t>
            </w:r>
            <w:r>
              <w:rPr>
                <w:rFonts w:hint="eastAsia" w:hAnsi="宋体"/>
                <w:snapToGrid w:val="0"/>
                <w:kern w:val="0"/>
                <w:sz w:val="21"/>
                <w:szCs w:val="21"/>
              </w:rPr>
              <w:t>岩屑堆放场</w:t>
            </w:r>
            <w:r>
              <w:rPr>
                <w:rFonts w:hint="eastAsia"/>
                <w:snapToGrid w:val="0"/>
                <w:kern w:val="0"/>
                <w:sz w:val="21"/>
                <w:szCs w:val="21"/>
              </w:rPr>
              <w:t>，定期外运制烧结砖。</w:t>
            </w:r>
          </w:p>
          <w:p>
            <w:pPr>
              <w:adjustRightInd w:val="0"/>
              <w:snapToGrid w:val="0"/>
              <w:ind w:firstLine="420"/>
              <w:rPr>
                <w:snapToGrid w:val="0"/>
                <w:kern w:val="0"/>
                <w:sz w:val="21"/>
                <w:szCs w:val="21"/>
              </w:rPr>
            </w:pPr>
            <w:r>
              <w:rPr>
                <w:rFonts w:hint="eastAsia"/>
                <w:snapToGrid w:val="0"/>
                <w:kern w:val="0"/>
                <w:sz w:val="21"/>
                <w:szCs w:val="21"/>
              </w:rPr>
              <w:t>（2）水基泥浆钻进阶段</w:t>
            </w:r>
          </w:p>
          <w:p>
            <w:pPr>
              <w:adjustRightInd w:val="0"/>
              <w:snapToGrid w:val="0"/>
              <w:ind w:firstLine="420"/>
              <w:rPr>
                <w:snapToGrid w:val="0"/>
                <w:kern w:val="0"/>
                <w:sz w:val="21"/>
                <w:szCs w:val="21"/>
              </w:rPr>
            </w:pPr>
            <w:r>
              <w:rPr>
                <w:rFonts w:hint="eastAsia"/>
                <w:snapToGrid w:val="0"/>
                <w:kern w:val="0"/>
                <w:sz w:val="21"/>
                <w:szCs w:val="21"/>
              </w:rPr>
              <w:t>清水钻阶段完成后，拟建工程将进入水基泥浆钻阶段，一开（30~502m）、二开（</w:t>
            </w:r>
            <w:r>
              <w:rPr>
                <w:snapToGrid w:val="0"/>
                <w:kern w:val="0"/>
                <w:sz w:val="21"/>
                <w:szCs w:val="21"/>
              </w:rPr>
              <w:t>502</w:t>
            </w:r>
            <w:r>
              <w:rPr>
                <w:rFonts w:hint="eastAsia"/>
                <w:snapToGrid w:val="0"/>
                <w:kern w:val="0"/>
                <w:sz w:val="21"/>
                <w:szCs w:val="21"/>
              </w:rPr>
              <w:t>m~</w:t>
            </w:r>
            <w:r>
              <w:rPr>
                <w:snapToGrid w:val="0"/>
                <w:kern w:val="0"/>
                <w:sz w:val="21"/>
                <w:szCs w:val="21"/>
              </w:rPr>
              <w:t>2965</w:t>
            </w:r>
            <w:r>
              <w:rPr>
                <w:rFonts w:hint="eastAsia"/>
                <w:snapToGrid w:val="0"/>
                <w:kern w:val="0"/>
                <w:sz w:val="21"/>
                <w:szCs w:val="21"/>
              </w:rPr>
              <w:t>m）使用水基泥浆钻进。水基泥浆阶段，相对清水钻阶段仅使用的钻井液不一样，其余工艺均与清水钻一样。水基泥浆阶段需将钻井液由清水更换为水基钻井液，钻进过程中根据工程需要进行起下钻、更换钻具结构和换钻头。水基泥浆钻井阶段采用钻井现场清洁化生产方案，对钻井过程中产生的污染物实行随钻处理，以达到“废弃物不落地”的目的。清洁化操作平台水基泥浆处理流程见图2-</w:t>
            </w:r>
            <w:r>
              <w:rPr>
                <w:snapToGrid w:val="0"/>
                <w:kern w:val="0"/>
                <w:sz w:val="21"/>
                <w:szCs w:val="21"/>
              </w:rPr>
              <w:t>4</w:t>
            </w:r>
            <w:r>
              <w:rPr>
                <w:rFonts w:hint="eastAsia"/>
                <w:snapToGrid w:val="0"/>
                <w:kern w:val="0"/>
                <w:sz w:val="21"/>
                <w:szCs w:val="21"/>
              </w:rPr>
              <w:t>。</w:t>
            </w:r>
          </w:p>
          <w:p>
            <w:pPr>
              <w:adjustRightInd w:val="0"/>
              <w:snapToGrid w:val="0"/>
              <w:ind w:left="-18" w:leftChars="-60" w:hanging="126" w:hangingChars="60"/>
              <w:jc w:val="center"/>
              <w:rPr>
                <w:snapToGrid w:val="0"/>
                <w:kern w:val="0"/>
                <w:sz w:val="21"/>
                <w:szCs w:val="21"/>
              </w:rPr>
            </w:pPr>
            <w:r>
              <w:rPr>
                <w:snapToGrid w:val="0"/>
                <w:kern w:val="0"/>
                <w:sz w:val="21"/>
                <w:szCs w:val="21"/>
              </w:rPr>
              <w:object>
                <v:shape id="_x0000_i1026" o:spt="75" type="#_x0000_t75" style="height:136.7pt;width:396.5pt;" o:ole="t" filled="f" o:preferrelative="t" stroked="f" coordsize="21600,21600">
                  <v:path/>
                  <v:fill on="f" focussize="0,0"/>
                  <v:stroke on="f" joinstyle="miter"/>
                  <v:imagedata r:id="rId19" o:title=""/>
                  <o:lock v:ext="edit" aspectratio="t"/>
                  <w10:wrap type="none"/>
                  <w10:anchorlock/>
                </v:shape>
                <o:OLEObject Type="Embed" ProgID="Visio.Drawing.11" ShapeID="_x0000_i1026" DrawAspect="Content" ObjectID="_1468075726" r:id="rId18">
                  <o:LockedField>false</o:LockedField>
                </o:OLEObject>
              </w:object>
            </w:r>
          </w:p>
          <w:p>
            <w:pPr>
              <w:adjustRightInd w:val="0"/>
              <w:snapToGrid w:val="0"/>
              <w:ind w:left="-18" w:leftChars="-60" w:hanging="126" w:hangingChars="60"/>
              <w:jc w:val="center"/>
              <w:rPr>
                <w:b/>
                <w:snapToGrid w:val="0"/>
                <w:kern w:val="0"/>
                <w:sz w:val="21"/>
                <w:szCs w:val="21"/>
              </w:rPr>
            </w:pPr>
            <w:r>
              <w:rPr>
                <w:rFonts w:hint="eastAsia"/>
                <w:b/>
                <w:snapToGrid w:val="0"/>
                <w:kern w:val="0"/>
                <w:sz w:val="21"/>
                <w:szCs w:val="21"/>
              </w:rPr>
              <w:t>图2-</w:t>
            </w:r>
            <w:r>
              <w:rPr>
                <w:b/>
                <w:snapToGrid w:val="0"/>
                <w:kern w:val="0"/>
                <w:sz w:val="21"/>
                <w:szCs w:val="21"/>
              </w:rPr>
              <w:t xml:space="preserve">4  </w:t>
            </w:r>
            <w:r>
              <w:rPr>
                <w:rFonts w:hint="eastAsia"/>
                <w:b/>
                <w:snapToGrid w:val="0"/>
                <w:kern w:val="0"/>
                <w:sz w:val="21"/>
                <w:szCs w:val="21"/>
              </w:rPr>
              <w:t>清洁化操作平台水基泥浆处理流程示意图</w:t>
            </w:r>
          </w:p>
          <w:p>
            <w:pPr>
              <w:adjustRightInd w:val="0"/>
              <w:snapToGrid w:val="0"/>
              <w:ind w:firstLine="420"/>
              <w:rPr>
                <w:snapToGrid w:val="0"/>
                <w:kern w:val="0"/>
                <w:sz w:val="21"/>
                <w:szCs w:val="21"/>
              </w:rPr>
            </w:pPr>
            <w:r>
              <w:rPr>
                <w:rFonts w:hint="eastAsia" w:hAnsi="宋体"/>
                <w:snapToGrid w:val="0"/>
                <w:kern w:val="0"/>
                <w:sz w:val="21"/>
                <w:szCs w:val="21"/>
              </w:rPr>
              <w:t>钻井过程中井底排出的岩屑和泥浆混合体经振动筛分离后。大颗粒岩屑进入螺旋传送装置，再进入清洁化操作平台中水基岩屑收集罐自然沉淀，沉淀后上层清液用于钻井作业和后续钻井的配浆作业，下层固相物质进入搅拌罐，通过减量装置（压滤机等）处理，液相进入废水罐暂存后优先用于水基泥浆补水，剩余时外运四川鑫泓废水处理厂处置；固相存放于岩屑堆放场，定期外运制烧结砖；振动筛筛下的泥浆直接进入泥浆循环罐暂存，使用时先通过除砂器、除泥器及离心机将粒径大于</w:t>
            </w:r>
            <w:r>
              <w:rPr>
                <w:snapToGrid w:val="0"/>
                <w:kern w:val="0"/>
                <w:sz w:val="21"/>
                <w:szCs w:val="21"/>
              </w:rPr>
              <w:t>0.07mm</w:t>
            </w:r>
            <w:r>
              <w:rPr>
                <w:rFonts w:hint="eastAsia" w:hAnsi="宋体"/>
                <w:snapToGrid w:val="0"/>
                <w:kern w:val="0"/>
                <w:sz w:val="21"/>
                <w:szCs w:val="21"/>
              </w:rPr>
              <w:t>的钻屑进行分离，再循环用于钻井作业，不能回用的泥浆及完钻后的剩余泥浆通过罐间的废水连通管输至沉淀罐中加絮凝剂进行絮凝沉淀处理，完成絮凝沉淀作业后，上层清液优先回用于钻井过程水基泥浆配置，不能回用的剩余废水由废水罐收集后拉运至</w:t>
            </w:r>
            <w:r>
              <w:rPr>
                <w:rFonts w:hint="eastAsia" w:hAnsi="宋体"/>
                <w:bCs/>
                <w:snapToGrid w:val="0"/>
                <w:kern w:val="0"/>
                <w:sz w:val="21"/>
                <w:szCs w:val="21"/>
              </w:rPr>
              <w:t>四川鑫泓废水处理厂</w:t>
            </w:r>
            <w:r>
              <w:rPr>
                <w:rFonts w:hint="eastAsia" w:hAnsi="宋体"/>
                <w:snapToGrid w:val="0"/>
                <w:kern w:val="0"/>
                <w:sz w:val="21"/>
                <w:szCs w:val="21"/>
              </w:rPr>
              <w:t>进行处理。在运行过程中沉淀罐内的废泥浆与钻井岩屑进入搅拌罐中，通过减量装置处理后暂存于岩屑堆放场，定期外运制烧结砖</w:t>
            </w:r>
            <w:r>
              <w:rPr>
                <w:rFonts w:hint="eastAsia"/>
                <w:snapToGrid w:val="0"/>
                <w:kern w:val="0"/>
                <w:sz w:val="21"/>
                <w:szCs w:val="21"/>
              </w:rPr>
              <w:t>。</w:t>
            </w:r>
          </w:p>
          <w:p>
            <w:pPr>
              <w:adjustRightInd w:val="0"/>
              <w:snapToGrid w:val="0"/>
              <w:ind w:firstLine="420"/>
              <w:rPr>
                <w:kern w:val="0"/>
                <w:sz w:val="21"/>
                <w:szCs w:val="21"/>
              </w:rPr>
            </w:pPr>
            <w:r>
              <w:rPr>
                <w:kern w:val="0"/>
                <w:sz w:val="21"/>
                <w:szCs w:val="21"/>
              </w:rPr>
              <w:t>（3）油基泥浆钻进阶段</w:t>
            </w:r>
          </w:p>
          <w:p>
            <w:pPr>
              <w:adjustRightInd w:val="0"/>
              <w:snapToGrid w:val="0"/>
              <w:ind w:firstLine="420"/>
              <w:rPr>
                <w:kern w:val="0"/>
                <w:sz w:val="21"/>
                <w:szCs w:val="21"/>
              </w:rPr>
            </w:pPr>
            <w:r>
              <w:rPr>
                <w:kern w:val="0"/>
                <w:sz w:val="21"/>
                <w:szCs w:val="21"/>
              </w:rPr>
              <w:t>水基泥浆钻阶段完成后，本工程将进入油基泥浆钻阶段，三开采用油基泥浆钻进工艺。待二开下套管、固井等作业完成并安装三开井口装置后，使用直径为215.9mm的钻头开展三开钻进段钻进作业。因项目水基泥浆和油基泥浆共用一套泥浆循环系统，钻进至二开固井结束后需对泥浆循环系统进行油水转换，打入隔离液再打入油基泥浆将水基泥浆替出由罐车直接转运至其他平台。</w:t>
            </w:r>
          </w:p>
          <w:p>
            <w:pPr>
              <w:adjustRightInd w:val="0"/>
              <w:snapToGrid w:val="0"/>
              <w:ind w:firstLine="420"/>
              <w:rPr>
                <w:kern w:val="0"/>
                <w:sz w:val="21"/>
                <w:szCs w:val="21"/>
              </w:rPr>
            </w:pPr>
            <w:r>
              <w:rPr>
                <w:kern w:val="0"/>
                <w:sz w:val="21"/>
                <w:szCs w:val="21"/>
              </w:rPr>
              <w:t>油基泥浆钻进阶段动力来源于</w:t>
            </w:r>
            <w:r>
              <w:rPr>
                <w:rFonts w:hint="eastAsia"/>
                <w:kern w:val="0"/>
                <w:sz w:val="21"/>
                <w:szCs w:val="21"/>
              </w:rPr>
              <w:t>为</w:t>
            </w:r>
            <w:r>
              <w:rPr>
                <w:kern w:val="0"/>
                <w:sz w:val="21"/>
                <w:szCs w:val="21"/>
              </w:rPr>
              <w:t>柴油发电机，</w:t>
            </w:r>
            <w:r>
              <w:rPr>
                <w:rFonts w:hint="eastAsia"/>
                <w:kern w:val="0"/>
                <w:sz w:val="21"/>
                <w:szCs w:val="21"/>
              </w:rPr>
              <w:t>由</w:t>
            </w:r>
            <w:r>
              <w:rPr>
                <w:kern w:val="0"/>
                <w:sz w:val="21"/>
                <w:szCs w:val="21"/>
              </w:rPr>
              <w:t>顶驱带动转杆转动，由此使井底钻头切削地层，同时将油基钻井液泵入钻杆注入井内高压冲刷井底地层，将钻头切削的岩屑不断地带至地面，利用泥浆循环系统的振动筛和离心机对钻井液进行固液分离，分离出的液相—钻井液进入泥浆循环罐内循环使用，分离出的固相—岩屑，转运至清洁化操作平台进行暂存。钻至设计目的层后停钻，并进行起下钻具、尾管悬挂、固井等作业。</w:t>
            </w:r>
          </w:p>
          <w:p>
            <w:pPr>
              <w:adjustRightInd w:val="0"/>
              <w:snapToGrid w:val="0"/>
              <w:spacing w:line="240" w:lineRule="auto"/>
              <w:ind w:firstLine="0" w:firstLineChars="0"/>
              <w:jc w:val="center"/>
              <w:rPr>
                <w:kern w:val="0"/>
                <w:sz w:val="21"/>
                <w:szCs w:val="21"/>
              </w:rPr>
            </w:pPr>
            <w:r>
              <w:rPr>
                <w:sz w:val="21"/>
                <w:szCs w:val="21"/>
              </w:rPr>
              <w:object>
                <v:shape id="_x0000_i1027" o:spt="75" type="#_x0000_t75" style="height:151.3pt;width:360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pPr>
              <w:adjustRightInd w:val="0"/>
              <w:snapToGrid w:val="0"/>
              <w:ind w:firstLine="0" w:firstLineChars="0"/>
              <w:jc w:val="center"/>
              <w:rPr>
                <w:b/>
                <w:kern w:val="0"/>
                <w:sz w:val="21"/>
                <w:szCs w:val="21"/>
              </w:rPr>
            </w:pPr>
            <w:r>
              <w:rPr>
                <w:b/>
                <w:kern w:val="0"/>
                <w:sz w:val="21"/>
                <w:szCs w:val="21"/>
              </w:rPr>
              <w:t>图2-5  清洁化操作平台油基泥浆处理流程示意图</w:t>
            </w:r>
          </w:p>
          <w:p>
            <w:pPr>
              <w:adjustRightInd w:val="0"/>
              <w:snapToGrid w:val="0"/>
              <w:ind w:firstLine="420"/>
              <w:rPr>
                <w:snapToGrid w:val="0"/>
                <w:kern w:val="0"/>
                <w:sz w:val="21"/>
                <w:szCs w:val="21"/>
              </w:rPr>
            </w:pPr>
            <w:r>
              <w:rPr>
                <w:kern w:val="0"/>
                <w:sz w:val="21"/>
                <w:szCs w:val="21"/>
              </w:rPr>
              <w:t>油基钻阶段中，返回地表的含屑钻井液通过管道排入泥浆循环系统内振动筛（筛孔直径约0.1mm）进行固液分离，将钻井液中粒径大于0.1mm的钻屑留于筛上，振动筛筛下的油基泥浆直接进入循环罐暂存，振动筛的筛上物质和除砂除泥器分离出的细小固相物质则通过螺旋传输器导入离心机脱出其中的油基泥浆，脱出的油基泥浆全部回用于钻井作业，剩余的油基岩屑经油基岩屑收集罐收集后暂存于清洁化操作平台危废暂存间，交由有危废处置资质的单位处置。</w:t>
            </w:r>
          </w:p>
          <w:p>
            <w:pPr>
              <w:adjustRightInd w:val="0"/>
              <w:snapToGrid w:val="0"/>
              <w:ind w:firstLine="420"/>
              <w:rPr>
                <w:snapToGrid w:val="0"/>
                <w:kern w:val="0"/>
                <w:sz w:val="21"/>
                <w:szCs w:val="21"/>
              </w:rPr>
            </w:pPr>
            <w:r>
              <w:rPr>
                <w:rFonts w:hint="eastAsia"/>
                <w:snapToGrid w:val="0"/>
                <w:kern w:val="0"/>
                <w:sz w:val="21"/>
                <w:szCs w:val="21"/>
              </w:rPr>
              <w:t>1.</w:t>
            </w:r>
            <w:r>
              <w:rPr>
                <w:snapToGrid w:val="0"/>
                <w:kern w:val="0"/>
                <w:sz w:val="21"/>
                <w:szCs w:val="21"/>
              </w:rPr>
              <w:t>2</w:t>
            </w:r>
            <w:r>
              <w:rPr>
                <w:rFonts w:hint="eastAsia"/>
                <w:snapToGrid w:val="0"/>
                <w:kern w:val="0"/>
                <w:sz w:val="21"/>
                <w:szCs w:val="21"/>
              </w:rPr>
              <w:t>.</w:t>
            </w:r>
            <w:r>
              <w:rPr>
                <w:snapToGrid w:val="0"/>
                <w:kern w:val="0"/>
                <w:sz w:val="21"/>
                <w:szCs w:val="21"/>
              </w:rPr>
              <w:t>2</w:t>
            </w:r>
            <w:r>
              <w:rPr>
                <w:rFonts w:hint="eastAsia"/>
                <w:snapToGrid w:val="0"/>
                <w:kern w:val="0"/>
                <w:sz w:val="21"/>
                <w:szCs w:val="21"/>
              </w:rPr>
              <w:t>固井</w:t>
            </w:r>
          </w:p>
          <w:p>
            <w:pPr>
              <w:adjustRightInd w:val="0"/>
              <w:snapToGrid w:val="0"/>
              <w:ind w:firstLine="420"/>
              <w:rPr>
                <w:snapToGrid w:val="0"/>
                <w:kern w:val="0"/>
                <w:sz w:val="21"/>
                <w:szCs w:val="21"/>
              </w:rPr>
            </w:pPr>
            <w:r>
              <w:rPr>
                <w:rFonts w:hint="eastAsia"/>
                <w:snapToGrid w:val="0"/>
                <w:kern w:val="0"/>
                <w:sz w:val="21"/>
                <w:szCs w:val="21"/>
              </w:rPr>
              <w:t>固井是在已钻成的井眼内下入套管，然后在套管与井壁之间环空内注入水泥浆将套管和地层固结在一起的工艺过程，可防止复杂情况以保证安全继续钻进下一段井眼或保证顺利开采生产层中的油气资源。</w:t>
            </w:r>
          </w:p>
          <w:p>
            <w:pPr>
              <w:adjustRightInd w:val="0"/>
              <w:snapToGrid w:val="0"/>
              <w:ind w:firstLine="420"/>
              <w:rPr>
                <w:snapToGrid w:val="0"/>
                <w:kern w:val="0"/>
                <w:sz w:val="21"/>
                <w:szCs w:val="21"/>
              </w:rPr>
            </w:pPr>
            <w:r>
              <w:rPr>
                <w:rFonts w:hint="eastAsia"/>
                <w:snapToGrid w:val="0"/>
                <w:kern w:val="0"/>
                <w:sz w:val="21"/>
                <w:szCs w:val="21"/>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adjustRightInd w:val="0"/>
              <w:snapToGrid w:val="0"/>
              <w:ind w:firstLine="420"/>
              <w:rPr>
                <w:snapToGrid w:val="0"/>
                <w:kern w:val="0"/>
                <w:sz w:val="21"/>
                <w:szCs w:val="21"/>
              </w:rPr>
            </w:pPr>
            <w:r>
              <w:rPr>
                <w:rFonts w:hint="eastAsia"/>
                <w:snapToGrid w:val="0"/>
                <w:kern w:val="0"/>
                <w:sz w:val="21"/>
                <w:szCs w:val="21"/>
              </w:rPr>
              <w:t>固井过程采用特种水泥由供应厂家按作业要求配制完成，然后由灰罐车直接密闭运至作业场地，灰罐车内设搅拌设备，现场按配比由泵吸入液相配制液后，通过密闭搅拌，制成所需特种水泥，进行固井作业。此过程中在密闭罐内进行，无粉尘产生，仅搅拌过程产生设备噪声，配置过程中应加强管理，防治粉尘产生。</w:t>
            </w:r>
          </w:p>
          <w:p>
            <w:pPr>
              <w:adjustRightInd w:val="0"/>
              <w:snapToGrid w:val="0"/>
              <w:ind w:firstLine="420"/>
              <w:rPr>
                <w:snapToGrid w:val="0"/>
                <w:kern w:val="0"/>
                <w:sz w:val="21"/>
                <w:szCs w:val="21"/>
              </w:rPr>
            </w:pPr>
            <w:r>
              <w:rPr>
                <w:snapToGrid w:val="0"/>
                <w:kern w:val="0"/>
                <w:sz w:val="21"/>
                <w:szCs w:val="21"/>
              </w:rPr>
              <w:t>在项目可能发生井漏井段，应</w:t>
            </w:r>
            <w:r>
              <w:rPr>
                <w:rFonts w:hint="eastAsia"/>
                <w:snapToGrid w:val="0"/>
                <w:kern w:val="0"/>
                <w:sz w:val="21"/>
                <w:szCs w:val="21"/>
              </w:rPr>
              <w:t>考虑采用双凝水泥浆体系固井，提高固井质量，防止因为井漏事故造成地下水环境污染。</w:t>
            </w:r>
          </w:p>
          <w:p>
            <w:pPr>
              <w:adjustRightInd w:val="0"/>
              <w:snapToGrid w:val="0"/>
              <w:ind w:firstLine="420"/>
              <w:rPr>
                <w:snapToGrid w:val="0"/>
                <w:kern w:val="0"/>
                <w:sz w:val="21"/>
                <w:szCs w:val="21"/>
              </w:rPr>
            </w:pPr>
            <w:r>
              <w:rPr>
                <w:rFonts w:hint="eastAsia"/>
                <w:snapToGrid w:val="0"/>
                <w:kern w:val="0"/>
                <w:sz w:val="21"/>
                <w:szCs w:val="21"/>
              </w:rPr>
              <w:t>当钻井钻至目的层并完成下套管、固井后，有专业试油队伍对项目进行试油作业，以取得该井施工段流体性质、测试产能、地层压力等详细工程资料。</w:t>
            </w:r>
          </w:p>
          <w:p>
            <w:pPr>
              <w:keepNext/>
              <w:tabs>
                <w:tab w:val="left" w:pos="377"/>
              </w:tabs>
              <w:ind w:firstLine="420"/>
              <w:rPr>
                <w:bCs/>
                <w:snapToGrid w:val="0"/>
                <w:kern w:val="0"/>
                <w:sz w:val="21"/>
                <w:szCs w:val="21"/>
              </w:rPr>
            </w:pPr>
            <w:r>
              <w:rPr>
                <w:rFonts w:hint="eastAsia"/>
                <w:bCs/>
                <w:snapToGrid w:val="0"/>
                <w:kern w:val="0"/>
                <w:sz w:val="21"/>
                <w:szCs w:val="21"/>
              </w:rPr>
              <w:t>1</w:t>
            </w:r>
            <w:r>
              <w:rPr>
                <w:bCs/>
                <w:snapToGrid w:val="0"/>
                <w:kern w:val="0"/>
                <w:sz w:val="21"/>
                <w:szCs w:val="21"/>
              </w:rPr>
              <w:t>.2.3 钻进辅助作业</w:t>
            </w:r>
          </w:p>
          <w:p>
            <w:pPr>
              <w:keepNext/>
              <w:tabs>
                <w:tab w:val="left" w:pos="377"/>
              </w:tabs>
              <w:ind w:firstLine="420"/>
              <w:rPr>
                <w:snapToGrid w:val="0"/>
                <w:kern w:val="0"/>
                <w:sz w:val="21"/>
                <w:szCs w:val="21"/>
              </w:rPr>
            </w:pPr>
            <w:r>
              <w:rPr>
                <w:snapToGrid w:val="0"/>
                <w:kern w:val="0"/>
                <w:sz w:val="21"/>
                <w:szCs w:val="21"/>
              </w:rPr>
              <w:t>钻进辅助作业由电测井、取心钻进、综合录井等作业组成。</w:t>
            </w:r>
          </w:p>
          <w:p>
            <w:pPr>
              <w:keepNext/>
              <w:tabs>
                <w:tab w:val="left" w:pos="377"/>
              </w:tabs>
              <w:ind w:firstLine="420"/>
              <w:rPr>
                <w:snapToGrid w:val="0"/>
                <w:kern w:val="0"/>
                <w:sz w:val="21"/>
                <w:szCs w:val="21"/>
              </w:rPr>
            </w:pPr>
            <w:r>
              <w:rPr>
                <w:snapToGrid w:val="0"/>
                <w:kern w:val="0"/>
                <w:sz w:val="21"/>
                <w:szCs w:val="21"/>
              </w:rPr>
              <w:t>测井方法有电、声、放射性三种基本方法。</w:t>
            </w:r>
            <w:bookmarkStart w:id="6" w:name="测井方法_地球物理测井"/>
            <w:bookmarkEnd w:id="6"/>
            <w:bookmarkStart w:id="7" w:name="sub1231512_1_1"/>
            <w:bookmarkEnd w:id="7"/>
            <w:bookmarkStart w:id="8" w:name="1_1"/>
            <w:bookmarkEnd w:id="8"/>
            <w:r>
              <w:rPr>
                <w:snapToGrid w:val="0"/>
                <w:kern w:val="0"/>
                <w:sz w:val="21"/>
                <w:szCs w:val="21"/>
              </w:rPr>
              <w:t>目前测井通常指地球物理测井，指把利用电、磁、声、热等物理原理制造的各种测井仪器，由测井电缆下入井内，使地面电测仪可沿着井筒连续记录随深度变化的各种参数。通过表示这类参数的</w:t>
            </w:r>
            <w:r>
              <w:fldChar w:fldCharType="begin"/>
            </w:r>
            <w:r>
              <w:instrText xml:space="preserve"> HYPERLINK "http://baike.baidu.com/view/400.htm" \t "_blank" </w:instrText>
            </w:r>
            <w:r>
              <w:fldChar w:fldCharType="separate"/>
            </w:r>
            <w:r>
              <w:rPr>
                <w:snapToGrid w:val="0"/>
                <w:kern w:val="0"/>
                <w:sz w:val="21"/>
                <w:szCs w:val="21"/>
              </w:rPr>
              <w:t>曲线</w:t>
            </w:r>
            <w:r>
              <w:rPr>
                <w:snapToGrid w:val="0"/>
                <w:kern w:val="0"/>
                <w:sz w:val="21"/>
                <w:szCs w:val="21"/>
              </w:rPr>
              <w:fldChar w:fldCharType="end"/>
            </w:r>
            <w:r>
              <w:rPr>
                <w:snapToGrid w:val="0"/>
                <w:kern w:val="0"/>
                <w:sz w:val="21"/>
                <w:szCs w:val="21"/>
              </w:rPr>
              <w:t>，来识别地下的岩层，如油、气、水层、</w:t>
            </w:r>
            <w:r>
              <w:fldChar w:fldCharType="begin"/>
            </w:r>
            <w:r>
              <w:instrText xml:space="preserve"> HYPERLINK "http://baike.baidu.com/view/176510.htm" \t "_blank" </w:instrText>
            </w:r>
            <w:r>
              <w:fldChar w:fldCharType="separate"/>
            </w:r>
            <w:r>
              <w:rPr>
                <w:snapToGrid w:val="0"/>
                <w:kern w:val="0"/>
                <w:sz w:val="21"/>
                <w:szCs w:val="21"/>
              </w:rPr>
              <w:t>煤层</w:t>
            </w:r>
            <w:r>
              <w:rPr>
                <w:snapToGrid w:val="0"/>
                <w:kern w:val="0"/>
                <w:sz w:val="21"/>
                <w:szCs w:val="21"/>
              </w:rPr>
              <w:fldChar w:fldCharType="end"/>
            </w:r>
            <w:r>
              <w:rPr>
                <w:snapToGrid w:val="0"/>
                <w:kern w:val="0"/>
                <w:sz w:val="21"/>
                <w:szCs w:val="21"/>
              </w:rPr>
              <w:t>、金属矿床等。</w:t>
            </w:r>
          </w:p>
          <w:p>
            <w:pPr>
              <w:keepNext/>
              <w:tabs>
                <w:tab w:val="left" w:pos="377"/>
              </w:tabs>
              <w:ind w:firstLine="420"/>
              <w:rPr>
                <w:snapToGrid w:val="0"/>
                <w:kern w:val="0"/>
                <w:sz w:val="21"/>
                <w:szCs w:val="21"/>
              </w:rPr>
            </w:pPr>
            <w:r>
              <w:rPr>
                <w:snapToGrid w:val="0"/>
                <w:kern w:val="0"/>
                <w:sz w:val="21"/>
                <w:szCs w:val="21"/>
              </w:rPr>
              <w:t>录井是根据</w:t>
            </w:r>
            <w:r>
              <w:fldChar w:fldCharType="begin"/>
            </w:r>
            <w:r>
              <w:instrText xml:space="preserve"> HYPERLINK "http://baike.baidu.com/view/1231512.htm" \t "_blank" </w:instrText>
            </w:r>
            <w:r>
              <w:fldChar w:fldCharType="separate"/>
            </w:r>
            <w:r>
              <w:rPr>
                <w:snapToGrid w:val="0"/>
                <w:kern w:val="0"/>
                <w:sz w:val="21"/>
                <w:szCs w:val="21"/>
              </w:rPr>
              <w:t>测井</w:t>
            </w:r>
            <w:r>
              <w:rPr>
                <w:snapToGrid w:val="0"/>
                <w:kern w:val="0"/>
                <w:sz w:val="21"/>
                <w:szCs w:val="21"/>
              </w:rPr>
              <w:fldChar w:fldCharType="end"/>
            </w:r>
            <w:r>
              <w:rPr>
                <w:snapToGrid w:val="0"/>
                <w:kern w:val="0"/>
                <w:sz w:val="21"/>
                <w:szCs w:val="21"/>
              </w:rPr>
              <w:t>数据、现场录井数据及综合分析化验数据进行岩性解释、归位，确定含油、气、水产状。</w:t>
            </w:r>
          </w:p>
          <w:p>
            <w:pPr>
              <w:adjustRightInd w:val="0"/>
              <w:snapToGrid w:val="0"/>
              <w:ind w:firstLine="420"/>
              <w:rPr>
                <w:snapToGrid w:val="0"/>
                <w:kern w:val="0"/>
                <w:sz w:val="21"/>
                <w:szCs w:val="21"/>
              </w:rPr>
            </w:pPr>
            <w:r>
              <w:rPr>
                <w:snapToGrid w:val="0"/>
                <w:kern w:val="0"/>
                <w:sz w:val="21"/>
                <w:szCs w:val="21"/>
              </w:rPr>
              <w:t>本项目钻至</w:t>
            </w:r>
            <w:r>
              <w:rPr>
                <w:rFonts w:hint="eastAsia"/>
                <w:snapToGrid w:val="0"/>
                <w:kern w:val="0"/>
                <w:sz w:val="21"/>
                <w:szCs w:val="21"/>
              </w:rPr>
              <w:t>凉高山组后计划进行取心作业</w:t>
            </w:r>
            <w:r>
              <w:rPr>
                <w:snapToGrid w:val="0"/>
                <w:kern w:val="0"/>
                <w:sz w:val="21"/>
                <w:szCs w:val="21"/>
              </w:rPr>
              <w:t>，根据目的层</w:t>
            </w:r>
            <w:r>
              <w:rPr>
                <w:rFonts w:hint="eastAsia"/>
                <w:snapToGrid w:val="0"/>
                <w:kern w:val="0"/>
                <w:sz w:val="21"/>
                <w:szCs w:val="21"/>
              </w:rPr>
              <w:t>岩心</w:t>
            </w:r>
            <w:r>
              <w:rPr>
                <w:snapToGrid w:val="0"/>
                <w:kern w:val="0"/>
                <w:sz w:val="21"/>
                <w:szCs w:val="21"/>
              </w:rPr>
              <w:t>的岩性、物性、电性、矿物成分及化石等资料对地层进行对比分析，根据分析结果可以判断</w:t>
            </w:r>
            <w:r>
              <w:rPr>
                <w:rFonts w:hint="eastAsia"/>
                <w:snapToGrid w:val="0"/>
                <w:kern w:val="0"/>
                <w:sz w:val="21"/>
                <w:szCs w:val="21"/>
              </w:rPr>
              <w:t>致密气</w:t>
            </w:r>
            <w:r>
              <w:rPr>
                <w:snapToGrid w:val="0"/>
                <w:kern w:val="0"/>
                <w:sz w:val="21"/>
                <w:szCs w:val="21"/>
              </w:rPr>
              <w:t>目的层和有利地区，进一步了解目的层中油、气、水的分布情况。取心钻进作业相比常规钻进作业而言，主要区别在于钻进过程使用专用取心钻头，其余泥浆循环及钻屑处置等过程与常规钻进作业一致。</w:t>
            </w:r>
          </w:p>
          <w:p>
            <w:pPr>
              <w:adjustRightInd w:val="0"/>
              <w:snapToGrid w:val="0"/>
              <w:ind w:firstLine="422"/>
              <w:rPr>
                <w:b/>
                <w:kern w:val="0"/>
                <w:sz w:val="21"/>
                <w:szCs w:val="21"/>
              </w:rPr>
            </w:pPr>
            <w:r>
              <w:rPr>
                <w:b/>
                <w:kern w:val="0"/>
                <w:sz w:val="21"/>
                <w:szCs w:val="21"/>
              </w:rPr>
              <w:t>1.3</w:t>
            </w:r>
            <w:r>
              <w:rPr>
                <w:rFonts w:hint="eastAsia"/>
                <w:b/>
                <w:kern w:val="0"/>
                <w:sz w:val="21"/>
                <w:szCs w:val="21"/>
              </w:rPr>
              <w:t>试油</w:t>
            </w:r>
            <w:r>
              <w:rPr>
                <w:b/>
                <w:kern w:val="0"/>
                <w:sz w:val="21"/>
                <w:szCs w:val="21"/>
              </w:rPr>
              <w:t>作业</w:t>
            </w:r>
          </w:p>
          <w:p>
            <w:pPr>
              <w:adjustRightInd w:val="0"/>
              <w:snapToGrid w:val="0"/>
              <w:ind w:firstLine="420"/>
              <w:rPr>
                <w:snapToGrid w:val="0"/>
                <w:kern w:val="0"/>
                <w:sz w:val="21"/>
                <w:szCs w:val="21"/>
              </w:rPr>
            </w:pPr>
            <w:r>
              <w:rPr>
                <w:rFonts w:hint="eastAsia"/>
                <w:snapToGrid w:val="0"/>
                <w:kern w:val="0"/>
                <w:sz w:val="21"/>
                <w:szCs w:val="21"/>
              </w:rPr>
              <w:t>洗井：项目完钻后首先要进行洗井作业，采用清水对套管进行清洗；根据类比调查，单口井洗井废水返排量约为用水量的9</w:t>
            </w:r>
            <w:r>
              <w:rPr>
                <w:snapToGrid w:val="0"/>
                <w:kern w:val="0"/>
                <w:sz w:val="21"/>
                <w:szCs w:val="21"/>
              </w:rPr>
              <w:t>0</w:t>
            </w:r>
            <w:r>
              <w:rPr>
                <w:rFonts w:hint="eastAsia"/>
                <w:snapToGrid w:val="0"/>
                <w:kern w:val="0"/>
                <w:sz w:val="21"/>
                <w:szCs w:val="21"/>
              </w:rPr>
              <w:t>%，</w:t>
            </w:r>
            <w:r>
              <w:rPr>
                <w:rFonts w:hint="eastAsia"/>
                <w:bCs/>
                <w:snapToGrid w:val="0"/>
                <w:kern w:val="0"/>
                <w:sz w:val="21"/>
                <w:szCs w:val="21"/>
              </w:rPr>
              <w:t>根据建设单位在川渝地区其他同类钻井运行经验，洗井所需清水量约为</w:t>
            </w:r>
            <w:r>
              <w:rPr>
                <w:bCs/>
                <w:snapToGrid w:val="0"/>
                <w:kern w:val="0"/>
                <w:sz w:val="21"/>
                <w:szCs w:val="21"/>
              </w:rPr>
              <w:t>200</w:t>
            </w:r>
            <w:r>
              <w:rPr>
                <w:rFonts w:hint="eastAsia"/>
                <w:bCs/>
                <w:snapToGrid w:val="0"/>
                <w:kern w:val="0"/>
                <w:sz w:val="21"/>
                <w:szCs w:val="21"/>
              </w:rPr>
              <w:t>m</w:t>
            </w:r>
            <w:r>
              <w:rPr>
                <w:rFonts w:hint="eastAsia"/>
                <w:bCs/>
                <w:snapToGrid w:val="0"/>
                <w:kern w:val="0"/>
                <w:sz w:val="21"/>
                <w:szCs w:val="21"/>
                <w:vertAlign w:val="superscript"/>
              </w:rPr>
              <w:t>3</w:t>
            </w:r>
            <w:r>
              <w:rPr>
                <w:rFonts w:hint="eastAsia"/>
                <w:snapToGrid w:val="0"/>
                <w:kern w:val="0"/>
                <w:sz w:val="21"/>
                <w:szCs w:val="21"/>
              </w:rPr>
              <w:t>。洗井废水从井口返排进入重叠罐暂存，洗井结束后用于配置压裂液。</w:t>
            </w:r>
          </w:p>
          <w:p>
            <w:pPr>
              <w:adjustRightInd w:val="0"/>
              <w:snapToGrid w:val="0"/>
              <w:ind w:firstLine="420"/>
              <w:rPr>
                <w:snapToGrid w:val="0"/>
                <w:kern w:val="0"/>
                <w:sz w:val="21"/>
                <w:szCs w:val="21"/>
              </w:rPr>
            </w:pPr>
            <w:r>
              <w:rPr>
                <w:rFonts w:hint="eastAsia"/>
                <w:snapToGrid w:val="0"/>
                <w:kern w:val="0"/>
                <w:sz w:val="21"/>
                <w:szCs w:val="21"/>
              </w:rPr>
              <w:t>射孔：拟建工程采用射孔完井方式。射孔完井是指下入油层套管封固产层后再用射孔弹将套管、水泥环、部分产层射穿，形成油气流通通道。射穿产层后油气井的生产能力受产层压力、产层性质、射孔参数及质量影响。射孔噪声一般产生在地表以下上千米的产层，不会对地表的声环境造成影响。</w:t>
            </w:r>
          </w:p>
          <w:p>
            <w:pPr>
              <w:adjustRightInd w:val="0"/>
              <w:snapToGrid w:val="0"/>
              <w:ind w:firstLine="420"/>
              <w:rPr>
                <w:kern w:val="0"/>
                <w:sz w:val="21"/>
                <w:szCs w:val="21"/>
              </w:rPr>
            </w:pPr>
            <w:r>
              <w:rPr>
                <w:kern w:val="0"/>
                <w:sz w:val="21"/>
                <w:szCs w:val="21"/>
              </w:rPr>
              <w:t>压裂作业：射孔后，为提高产层的渗透能力，实施压裂作业。本工程采用水力压裂，利用地面压裂车组将一定粘度的液体以足够高的压力和足够大的排量沿井筒注入井中。由于注入速度远远大于油气层的吸收速度，所以多余的液体在井底引起高压，当压力超过岩石抗张强度后，油气层就会开始破裂形成裂缝。当裂缝延伸一段时间后，继续注入携带有支撑剂的混砂液扩展延伸裂缝，并使之充填支撑剂。施工完成后，由于支撑剂的支撑作用，裂缝不致闭合或至少不完全闭合，因此即可在油气层中形成一条具有足够长度、宽度和高度的填砂裂缝。此裂缝具有很高的渗滤能力，并且扩大了油气水的渗滤面积，故油气可畅流入井，注入水可沿裂缝顺利进入地层，从而达到增产增注的目的。</w:t>
            </w:r>
          </w:p>
          <w:p>
            <w:pPr>
              <w:adjustRightInd w:val="0"/>
              <w:snapToGrid w:val="0"/>
              <w:ind w:firstLine="420"/>
              <w:rPr>
                <w:snapToGrid w:val="0"/>
                <w:kern w:val="0"/>
                <w:sz w:val="21"/>
                <w:szCs w:val="21"/>
              </w:rPr>
            </w:pPr>
            <w:r>
              <w:rPr>
                <w:kern w:val="0"/>
                <w:sz w:val="21"/>
                <w:szCs w:val="21"/>
              </w:rPr>
              <w:t>根据拟建项目实际情况、钻井设计资料，</w:t>
            </w:r>
            <w:r>
              <w:rPr>
                <w:rFonts w:hint="eastAsia"/>
                <w:kern w:val="0"/>
                <w:sz w:val="21"/>
                <w:szCs w:val="21"/>
              </w:rPr>
              <w:t>平安7井</w:t>
            </w:r>
            <w:r>
              <w:rPr>
                <w:kern w:val="0"/>
                <w:sz w:val="21"/>
                <w:szCs w:val="21"/>
              </w:rPr>
              <w:t>水平段采取分段压裂，项目压裂液使用情况</w:t>
            </w:r>
            <w:r>
              <w:rPr>
                <w:rFonts w:hint="eastAsia"/>
                <w:kern w:val="0"/>
                <w:sz w:val="21"/>
                <w:szCs w:val="21"/>
              </w:rPr>
              <w:t>建设</w:t>
            </w:r>
            <w:r>
              <w:rPr>
                <w:kern w:val="0"/>
                <w:sz w:val="21"/>
                <w:szCs w:val="21"/>
              </w:rPr>
              <w:t>单位已实施的其他同类水平井钻井工程，</w:t>
            </w:r>
            <w:r>
              <w:rPr>
                <w:rFonts w:hint="eastAsia"/>
                <w:kern w:val="0"/>
                <w:sz w:val="21"/>
                <w:szCs w:val="21"/>
              </w:rPr>
              <w:t>单</w:t>
            </w:r>
            <w:r>
              <w:rPr>
                <w:kern w:val="0"/>
                <w:sz w:val="21"/>
                <w:szCs w:val="21"/>
              </w:rPr>
              <w:t>段压裂液使用量约1200m</w:t>
            </w:r>
            <w:r>
              <w:rPr>
                <w:kern w:val="0"/>
                <w:sz w:val="21"/>
                <w:szCs w:val="21"/>
                <w:vertAlign w:val="superscript"/>
              </w:rPr>
              <w:t>3</w:t>
            </w:r>
            <w:r>
              <w:rPr>
                <w:kern w:val="0"/>
                <w:sz w:val="21"/>
                <w:szCs w:val="21"/>
              </w:rPr>
              <w:t>~1400m</w:t>
            </w:r>
            <w:r>
              <w:rPr>
                <w:kern w:val="0"/>
                <w:sz w:val="21"/>
                <w:szCs w:val="21"/>
                <w:vertAlign w:val="superscript"/>
              </w:rPr>
              <w:t>3</w:t>
            </w:r>
            <w:r>
              <w:rPr>
                <w:kern w:val="0"/>
                <w:sz w:val="21"/>
                <w:szCs w:val="21"/>
              </w:rPr>
              <w:t>。拟建项目压裂阶段每次压裂液注入量约为1351.8t（其中水1200t、支撑剂150t、化学试剂1.8t），单井压裂情况见下表。</w:t>
            </w:r>
          </w:p>
          <w:p>
            <w:pPr>
              <w:adjustRightInd w:val="0"/>
              <w:snapToGrid w:val="0"/>
              <w:ind w:firstLine="0" w:firstLineChars="0"/>
              <w:jc w:val="center"/>
              <w:rPr>
                <w:b/>
                <w:kern w:val="0"/>
                <w:sz w:val="21"/>
                <w:szCs w:val="21"/>
              </w:rPr>
            </w:pPr>
            <w:r>
              <w:rPr>
                <w:b/>
                <w:kern w:val="0"/>
                <w:sz w:val="21"/>
                <w:szCs w:val="21"/>
              </w:rPr>
              <w:t xml:space="preserve">表2-12  </w:t>
            </w:r>
            <w:r>
              <w:rPr>
                <w:rFonts w:hint="eastAsia"/>
                <w:b/>
                <w:kern w:val="0"/>
                <w:sz w:val="21"/>
                <w:szCs w:val="21"/>
              </w:rPr>
              <w:t>平安7井</w:t>
            </w:r>
            <w:r>
              <w:rPr>
                <w:b/>
                <w:kern w:val="0"/>
                <w:sz w:val="21"/>
                <w:szCs w:val="21"/>
              </w:rPr>
              <w:t>水平段压裂情况表</w:t>
            </w:r>
          </w:p>
          <w:tbl>
            <w:tblPr>
              <w:tblStyle w:val="22"/>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06"/>
              <w:gridCol w:w="59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489" w:type="pct"/>
                  <w:shd w:val="clear" w:color="auto" w:fill="auto"/>
                  <w:vAlign w:val="center"/>
                </w:tcPr>
                <w:p>
                  <w:pPr>
                    <w:pStyle w:val="57"/>
                    <w:ind w:firstLine="361"/>
                    <w:rPr>
                      <w:b/>
                    </w:rPr>
                  </w:pPr>
                  <w:r>
                    <w:rPr>
                      <w:b/>
                    </w:rPr>
                    <w:t>项目</w:t>
                  </w:r>
                </w:p>
              </w:tc>
              <w:tc>
                <w:tcPr>
                  <w:tcW w:w="3511" w:type="pct"/>
                  <w:shd w:val="clear" w:color="auto" w:fill="auto"/>
                  <w:vAlign w:val="center"/>
                </w:tcPr>
                <w:p>
                  <w:pPr>
                    <w:pStyle w:val="57"/>
                    <w:ind w:firstLine="361"/>
                    <w:rPr>
                      <w:b/>
                    </w:rPr>
                  </w:pPr>
                  <w:r>
                    <w:rPr>
                      <w:b/>
                    </w:rPr>
                    <w:t>平安</w:t>
                  </w:r>
                  <w:r>
                    <w:rPr>
                      <w:rFonts w:hint="eastAsia"/>
                      <w:b/>
                    </w:rPr>
                    <w:t>7井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489" w:type="pct"/>
                  <w:shd w:val="clear" w:color="auto" w:fill="auto"/>
                  <w:vAlign w:val="center"/>
                </w:tcPr>
                <w:p>
                  <w:pPr>
                    <w:pStyle w:val="57"/>
                    <w:ind w:firstLine="360"/>
                  </w:pPr>
                  <w:r>
                    <w:t>压裂距离/m</w:t>
                  </w:r>
                </w:p>
              </w:tc>
              <w:tc>
                <w:tcPr>
                  <w:tcW w:w="3511" w:type="pct"/>
                  <w:shd w:val="clear" w:color="auto" w:fill="auto"/>
                  <w:vAlign w:val="center"/>
                </w:tcPr>
                <w:p>
                  <w:pPr>
                    <w:pStyle w:val="57"/>
                    <w:ind w:firstLine="360"/>
                  </w:pPr>
                  <w:r>
                    <w:rPr>
                      <w:rFonts w:hint="eastAsia"/>
                    </w:rPr>
                    <w:t>1</w:t>
                  </w:r>
                  <w:r>
                    <w:t>417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489" w:type="pct"/>
                  <w:shd w:val="clear" w:color="auto" w:fill="auto"/>
                  <w:vAlign w:val="center"/>
                </w:tcPr>
                <w:p>
                  <w:pPr>
                    <w:pStyle w:val="57"/>
                    <w:ind w:firstLine="360"/>
                  </w:pPr>
                  <w:r>
                    <w:t>压裂次数</w:t>
                  </w:r>
                </w:p>
              </w:tc>
              <w:tc>
                <w:tcPr>
                  <w:tcW w:w="3511" w:type="pct"/>
                  <w:shd w:val="clear" w:color="auto" w:fill="auto"/>
                  <w:vAlign w:val="center"/>
                </w:tcPr>
                <w:p>
                  <w:pPr>
                    <w:pStyle w:val="57"/>
                    <w:ind w:firstLine="360"/>
                  </w:pPr>
                  <w:r>
                    <w:rPr>
                      <w:rFonts w:hint="eastAsia"/>
                    </w:rPr>
                    <w:t>1</w:t>
                  </w:r>
                  <w: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489" w:type="pct"/>
                  <w:shd w:val="clear" w:color="auto" w:fill="auto"/>
                  <w:vAlign w:val="center"/>
                </w:tcPr>
                <w:p>
                  <w:pPr>
                    <w:pStyle w:val="57"/>
                    <w:ind w:firstLine="360"/>
                  </w:pPr>
                  <w:r>
                    <w:t>压裂液用量/t</w:t>
                  </w:r>
                </w:p>
              </w:tc>
              <w:tc>
                <w:tcPr>
                  <w:tcW w:w="3511" w:type="pct"/>
                  <w:shd w:val="clear" w:color="auto" w:fill="auto"/>
                  <w:vAlign w:val="center"/>
                </w:tcPr>
                <w:p>
                  <w:pPr>
                    <w:pStyle w:val="57"/>
                    <w:ind w:firstLine="360"/>
                  </w:pPr>
                  <w:r>
                    <w:t>18925.2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489" w:type="pct"/>
                  <w:shd w:val="clear" w:color="auto" w:fill="auto"/>
                  <w:vAlign w:val="center"/>
                </w:tcPr>
                <w:p>
                  <w:pPr>
                    <w:pStyle w:val="57"/>
                    <w:ind w:firstLine="360"/>
                  </w:pPr>
                  <w:r>
                    <w:t>返排量30%/t</w:t>
                  </w:r>
                </w:p>
              </w:tc>
              <w:tc>
                <w:tcPr>
                  <w:tcW w:w="3511" w:type="pct"/>
                  <w:shd w:val="clear" w:color="auto" w:fill="auto"/>
                  <w:vAlign w:val="center"/>
                </w:tcPr>
                <w:p>
                  <w:pPr>
                    <w:pStyle w:val="57"/>
                    <w:ind w:firstLine="360"/>
                  </w:pPr>
                  <w:r>
                    <w:t>5677.6</w:t>
                  </w:r>
                </w:p>
              </w:tc>
            </w:tr>
          </w:tbl>
          <w:p>
            <w:pPr>
              <w:adjustRightInd w:val="0"/>
              <w:snapToGrid w:val="0"/>
              <w:ind w:firstLine="420"/>
              <w:rPr>
                <w:snapToGrid w:val="0"/>
                <w:kern w:val="0"/>
                <w:sz w:val="21"/>
                <w:szCs w:val="21"/>
              </w:rPr>
            </w:pPr>
            <w:r>
              <w:rPr>
                <w:rFonts w:hint="eastAsia"/>
                <w:snapToGrid w:val="0"/>
                <w:kern w:val="0"/>
                <w:sz w:val="21"/>
                <w:szCs w:val="21"/>
              </w:rPr>
              <w:t>（4）测试放喷</w:t>
            </w:r>
          </w:p>
          <w:p>
            <w:pPr>
              <w:adjustRightInd w:val="0"/>
              <w:snapToGrid w:val="0"/>
              <w:ind w:firstLine="420"/>
              <w:rPr>
                <w:snapToGrid w:val="0"/>
                <w:kern w:val="0"/>
                <w:sz w:val="21"/>
                <w:szCs w:val="21"/>
              </w:rPr>
            </w:pPr>
            <w:r>
              <w:rPr>
                <w:rFonts w:hint="eastAsia"/>
                <w:snapToGrid w:val="0"/>
                <w:kern w:val="0"/>
                <w:sz w:val="21"/>
                <w:szCs w:val="21"/>
              </w:rPr>
              <w:t>为了解探井的油气产量及资源潜力，在压裂结束后，需进行测试。测试放喷是在压裂施工结束后，利用测试放喷专用管线将井内油气引至燃烧池点火燃烧对探井进行产量测试的过程。项目目的层测试放喷时间均为1~2天，依据测试情况，间歇性放喷，每次持续放喷时间约10h。</w:t>
            </w:r>
          </w:p>
          <w:p>
            <w:pPr>
              <w:adjustRightInd w:val="0"/>
              <w:snapToGrid w:val="0"/>
              <w:ind w:firstLine="422"/>
              <w:rPr>
                <w:b/>
                <w:snapToGrid w:val="0"/>
                <w:kern w:val="0"/>
                <w:sz w:val="21"/>
                <w:szCs w:val="21"/>
              </w:rPr>
            </w:pPr>
            <w:r>
              <w:rPr>
                <w:rFonts w:hint="eastAsia"/>
                <w:b/>
                <w:snapToGrid w:val="0"/>
                <w:kern w:val="0"/>
                <w:sz w:val="21"/>
                <w:szCs w:val="21"/>
              </w:rPr>
              <w:t>1.</w:t>
            </w:r>
            <w:r>
              <w:rPr>
                <w:b/>
                <w:snapToGrid w:val="0"/>
                <w:kern w:val="0"/>
                <w:sz w:val="21"/>
                <w:szCs w:val="21"/>
              </w:rPr>
              <w:t>3</w:t>
            </w:r>
            <w:r>
              <w:rPr>
                <w:rFonts w:hint="eastAsia"/>
                <w:b/>
                <w:snapToGrid w:val="0"/>
                <w:kern w:val="0"/>
                <w:sz w:val="21"/>
                <w:szCs w:val="21"/>
              </w:rPr>
              <w:t>完井搬迁</w:t>
            </w:r>
          </w:p>
          <w:p>
            <w:pPr>
              <w:adjustRightInd w:val="0"/>
              <w:snapToGrid w:val="0"/>
              <w:ind w:firstLine="420"/>
              <w:rPr>
                <w:snapToGrid w:val="0"/>
                <w:kern w:val="0"/>
                <w:sz w:val="21"/>
                <w:szCs w:val="21"/>
              </w:rPr>
            </w:pPr>
            <w:r>
              <w:rPr>
                <w:rFonts w:hint="eastAsia"/>
                <w:bCs/>
                <w:snapToGrid w:val="0"/>
                <w:kern w:val="0"/>
                <w:sz w:val="21"/>
                <w:szCs w:val="21"/>
              </w:rPr>
              <w:t>拟建项目为页岩油兼顾致密气勘探项目，勘探结束后井口采用封井器封井，施工结束，进行完井搬迁工作</w:t>
            </w:r>
            <w:r>
              <w:rPr>
                <w:rFonts w:hint="eastAsia"/>
                <w:snapToGrid w:val="0"/>
                <w:kern w:val="0"/>
                <w:sz w:val="21"/>
                <w:szCs w:val="21"/>
              </w:rPr>
              <w:t>。搬迁前钻井污染物应得到妥善处理，做到工完、料净、场地清洁。若测试后具备开采价值，建设单位实施“探转采”工程，需另行办理土地征用手续及相应环评手续；若测试后不具备开采价值，建设单位应及时对工程临时占地恢复其原来的土地利用性质。</w:t>
            </w:r>
          </w:p>
          <w:p>
            <w:pPr>
              <w:adjustRightInd w:val="0"/>
              <w:snapToGrid w:val="0"/>
              <w:ind w:firstLine="0" w:firstLineChars="0"/>
              <w:rPr>
                <w:b/>
                <w:snapToGrid w:val="0"/>
                <w:kern w:val="0"/>
                <w:sz w:val="21"/>
                <w:szCs w:val="21"/>
              </w:rPr>
            </w:pPr>
            <w:r>
              <w:rPr>
                <w:rFonts w:hint="eastAsia"/>
                <w:b/>
                <w:snapToGrid w:val="0"/>
                <w:kern w:val="0"/>
                <w:sz w:val="21"/>
                <w:szCs w:val="21"/>
              </w:rPr>
              <w:t>2、施工时序：</w:t>
            </w:r>
          </w:p>
          <w:p>
            <w:pPr>
              <w:adjustRightInd w:val="0"/>
              <w:snapToGrid w:val="0"/>
              <w:ind w:firstLine="420"/>
              <w:rPr>
                <w:snapToGrid w:val="0"/>
                <w:kern w:val="0"/>
                <w:sz w:val="21"/>
                <w:szCs w:val="21"/>
              </w:rPr>
            </w:pPr>
            <w:r>
              <w:rPr>
                <w:rFonts w:hint="eastAsia"/>
                <w:snapToGrid w:val="0"/>
                <w:kern w:val="0"/>
                <w:sz w:val="21"/>
                <w:szCs w:val="21"/>
              </w:rPr>
              <w:t>本工程钻井采用清水+水基钻井液进行钻进。其中导管（0</w:t>
            </w:r>
            <w:r>
              <w:rPr>
                <w:snapToGrid w:val="0"/>
                <w:kern w:val="0"/>
                <w:sz w:val="21"/>
                <w:szCs w:val="21"/>
              </w:rPr>
              <w:t>~30</w:t>
            </w:r>
            <w:r>
              <w:rPr>
                <w:rFonts w:hint="eastAsia"/>
                <w:snapToGrid w:val="0"/>
                <w:kern w:val="0"/>
                <w:sz w:val="21"/>
                <w:szCs w:val="21"/>
              </w:rPr>
              <w:t>m）使用清水钻井液钻进；一开（</w:t>
            </w:r>
            <w:r>
              <w:rPr>
                <w:snapToGrid w:val="0"/>
                <w:kern w:val="0"/>
                <w:sz w:val="21"/>
                <w:szCs w:val="21"/>
              </w:rPr>
              <w:t>30</w:t>
            </w:r>
            <w:r>
              <w:rPr>
                <w:rFonts w:hint="eastAsia"/>
                <w:snapToGrid w:val="0"/>
                <w:kern w:val="0"/>
                <w:sz w:val="21"/>
                <w:szCs w:val="21"/>
              </w:rPr>
              <w:t>~</w:t>
            </w:r>
            <w:r>
              <w:rPr>
                <w:snapToGrid w:val="0"/>
                <w:kern w:val="0"/>
                <w:sz w:val="21"/>
                <w:szCs w:val="21"/>
              </w:rPr>
              <w:t>502</w:t>
            </w:r>
            <w:r>
              <w:rPr>
                <w:rFonts w:hint="eastAsia"/>
                <w:snapToGrid w:val="0"/>
                <w:kern w:val="0"/>
                <w:sz w:val="21"/>
                <w:szCs w:val="21"/>
              </w:rPr>
              <w:t>m）、二开（</w:t>
            </w:r>
            <w:r>
              <w:rPr>
                <w:snapToGrid w:val="0"/>
                <w:kern w:val="0"/>
                <w:sz w:val="21"/>
                <w:szCs w:val="21"/>
              </w:rPr>
              <w:t>502</w:t>
            </w:r>
            <w:r>
              <w:rPr>
                <w:rFonts w:hint="eastAsia"/>
                <w:snapToGrid w:val="0"/>
                <w:kern w:val="0"/>
                <w:sz w:val="21"/>
                <w:szCs w:val="21"/>
              </w:rPr>
              <w:t>m~</w:t>
            </w:r>
            <w:r>
              <w:rPr>
                <w:snapToGrid w:val="0"/>
                <w:kern w:val="0"/>
                <w:sz w:val="21"/>
                <w:szCs w:val="21"/>
              </w:rPr>
              <w:t>2965</w:t>
            </w:r>
            <w:r>
              <w:rPr>
                <w:rFonts w:hint="eastAsia"/>
                <w:snapToGrid w:val="0"/>
                <w:kern w:val="0"/>
                <w:sz w:val="21"/>
                <w:szCs w:val="21"/>
              </w:rPr>
              <w:t>m）使用水基泥浆钻进，有利于降低作业成本，对地层污染较小。三开（</w:t>
            </w:r>
            <w:r>
              <w:rPr>
                <w:snapToGrid w:val="0"/>
                <w:kern w:val="0"/>
                <w:sz w:val="21"/>
                <w:szCs w:val="21"/>
              </w:rPr>
              <w:t>2965</w:t>
            </w:r>
            <w:r>
              <w:rPr>
                <w:rFonts w:hint="eastAsia"/>
                <w:snapToGrid w:val="0"/>
                <w:kern w:val="0"/>
                <w:sz w:val="21"/>
                <w:szCs w:val="21"/>
              </w:rPr>
              <w:t>m~</w:t>
            </w:r>
            <w:r>
              <w:rPr>
                <w:snapToGrid w:val="0"/>
                <w:kern w:val="0"/>
                <w:sz w:val="21"/>
                <w:szCs w:val="21"/>
              </w:rPr>
              <w:t>5072</w:t>
            </w:r>
            <w:r>
              <w:rPr>
                <w:rFonts w:hint="eastAsia"/>
                <w:snapToGrid w:val="0"/>
                <w:kern w:val="0"/>
                <w:sz w:val="21"/>
                <w:szCs w:val="21"/>
              </w:rPr>
              <w:t>m）采用油基泥浆钻进，可有效降低井下摩阻，避免井下复杂。钻井过程中包括有下套管和水泥固井等作业，当钻至完钻井深后完钻。</w:t>
            </w:r>
          </w:p>
          <w:p>
            <w:pPr>
              <w:adjustRightInd w:val="0"/>
              <w:snapToGrid w:val="0"/>
              <w:ind w:firstLine="0" w:firstLineChars="0"/>
              <w:rPr>
                <w:b/>
                <w:snapToGrid w:val="0"/>
                <w:kern w:val="0"/>
                <w:sz w:val="21"/>
                <w:szCs w:val="21"/>
              </w:rPr>
            </w:pPr>
            <w:r>
              <w:rPr>
                <w:rFonts w:hint="eastAsia"/>
                <w:b/>
                <w:snapToGrid w:val="0"/>
                <w:kern w:val="0"/>
                <w:sz w:val="21"/>
                <w:szCs w:val="21"/>
              </w:rPr>
              <w:t>3、建设周期：</w:t>
            </w:r>
          </w:p>
          <w:p>
            <w:pPr>
              <w:adjustRightInd w:val="0"/>
              <w:snapToGrid w:val="0"/>
              <w:ind w:firstLine="420"/>
              <w:rPr>
                <w:snapToGrid w:val="0"/>
                <w:kern w:val="0"/>
                <w:sz w:val="21"/>
                <w:szCs w:val="21"/>
              </w:rPr>
            </w:pPr>
            <w:r>
              <w:rPr>
                <w:snapToGrid w:val="0"/>
                <w:kern w:val="0"/>
                <w:sz w:val="21"/>
                <w:szCs w:val="21"/>
              </w:rPr>
              <w:t>钻前</w:t>
            </w:r>
            <w:r>
              <w:rPr>
                <w:rFonts w:hint="eastAsia"/>
                <w:snapToGrid w:val="0"/>
                <w:kern w:val="0"/>
                <w:sz w:val="21"/>
                <w:szCs w:val="21"/>
              </w:rPr>
              <w:t>1个月，钻井及测试放喷</w:t>
            </w:r>
            <w:r>
              <w:rPr>
                <w:snapToGrid w:val="0"/>
                <w:kern w:val="0"/>
                <w:sz w:val="21"/>
                <w:szCs w:val="21"/>
              </w:rPr>
              <w:t>5</w:t>
            </w:r>
            <w:r>
              <w:rPr>
                <w:rFonts w:hint="eastAsia"/>
                <w:snapToGrid w:val="0"/>
                <w:kern w:val="0"/>
                <w:sz w:val="21"/>
                <w:szCs w:val="21"/>
              </w:rPr>
              <w:t>个月，完井搬迁1个月，共计</w:t>
            </w:r>
            <w:r>
              <w:rPr>
                <w:snapToGrid w:val="0"/>
                <w:kern w:val="0"/>
                <w:sz w:val="21"/>
                <w:szCs w:val="21"/>
              </w:rPr>
              <w:t>7</w:t>
            </w:r>
            <w:r>
              <w:rPr>
                <w:rFonts w:hint="eastAsia"/>
                <w:snapToGrid w:val="0"/>
                <w:kern w:val="0"/>
                <w:sz w:val="21"/>
                <w:szCs w:val="21"/>
              </w:rPr>
              <w:t>个月。</w:t>
            </w:r>
          </w:p>
          <w:p>
            <w:pPr>
              <w:adjustRightInd w:val="0"/>
              <w:snapToGrid w:val="0"/>
              <w:ind w:firstLine="0" w:firstLineChars="0"/>
              <w:rPr>
                <w:b/>
                <w:snapToGrid w:val="0"/>
                <w:kern w:val="0"/>
                <w:sz w:val="21"/>
                <w:szCs w:val="21"/>
              </w:rPr>
            </w:pPr>
            <w:r>
              <w:rPr>
                <w:rFonts w:hint="eastAsia"/>
                <w:b/>
                <w:snapToGrid w:val="0"/>
                <w:kern w:val="0"/>
                <w:sz w:val="21"/>
                <w:szCs w:val="21"/>
              </w:rPr>
              <w:t>4、劳动定员与工作制度</w:t>
            </w:r>
          </w:p>
          <w:p>
            <w:pPr>
              <w:adjustRightInd w:val="0"/>
              <w:snapToGrid w:val="0"/>
              <w:ind w:firstLine="420"/>
              <w:rPr>
                <w:b/>
                <w:kern w:val="0"/>
                <w:sz w:val="21"/>
                <w:szCs w:val="21"/>
              </w:rPr>
            </w:pPr>
            <w:r>
              <w:rPr>
                <w:rFonts w:hint="eastAsia"/>
                <w:snapToGrid w:val="0"/>
                <w:kern w:val="0"/>
                <w:sz w:val="21"/>
                <w:szCs w:val="21"/>
              </w:rPr>
              <w:t>钻井队编制为</w:t>
            </w:r>
            <w:r>
              <w:rPr>
                <w:snapToGrid w:val="0"/>
                <w:kern w:val="0"/>
                <w:sz w:val="21"/>
                <w:szCs w:val="21"/>
              </w:rPr>
              <w:t>40</w:t>
            </w:r>
            <w:r>
              <w:rPr>
                <w:rFonts w:hint="eastAsia"/>
                <w:snapToGrid w:val="0"/>
                <w:kern w:val="0"/>
                <w:sz w:val="21"/>
                <w:szCs w:val="21"/>
              </w:rPr>
              <w:t>人，其中甲方管理人员有工程监督，地质监督等，分两队倒班。乙方员工包括平台经理，机械大班、电气大班、机房大班，以上岗位为24h驻井，分两队倒班；还包括带班队长、副队长、定向工程师、随钻测量工程师、录井工程师、地质师、控压钻井工程师、钻井工程师、泥浆工程师、HSE管理员、司钻、副司钻等，以上岗位分白班夜班，每班12h驻井，共有四个班队；外加炊事人员、勤杂人员等。钻井井队为24h连续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8" w:hRule="atLeast"/>
          <w:jc w:val="center"/>
        </w:trPr>
        <w:tc>
          <w:tcPr>
            <w:tcW w:w="5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kern w:val="0"/>
                <w:sz w:val="21"/>
                <w:szCs w:val="21"/>
              </w:rPr>
            </w:pPr>
            <w:r>
              <w:rPr>
                <w:kern w:val="0"/>
                <w:sz w:val="21"/>
                <w:szCs w:val="21"/>
              </w:rPr>
              <w:t>其</w:t>
            </w:r>
          </w:p>
          <w:p>
            <w:pPr>
              <w:adjustRightInd w:val="0"/>
              <w:snapToGrid w:val="0"/>
              <w:ind w:firstLine="0" w:firstLineChars="0"/>
              <w:jc w:val="center"/>
              <w:rPr>
                <w:kern w:val="0"/>
                <w:sz w:val="21"/>
                <w:szCs w:val="21"/>
              </w:rPr>
            </w:pPr>
            <w:r>
              <w:rPr>
                <w:kern w:val="0"/>
                <w:sz w:val="21"/>
                <w:szCs w:val="21"/>
              </w:rPr>
              <w:t>他</w:t>
            </w:r>
          </w:p>
        </w:tc>
        <w:tc>
          <w:tcPr>
            <w:tcW w:w="8427" w:type="dxa"/>
            <w:tcBorders>
              <w:top w:val="single" w:color="auto" w:sz="4" w:space="0"/>
              <w:left w:val="single" w:color="auto" w:sz="4" w:space="0"/>
              <w:bottom w:val="single" w:color="auto" w:sz="4" w:space="0"/>
              <w:right w:val="single" w:color="auto" w:sz="4" w:space="0"/>
            </w:tcBorders>
          </w:tcPr>
          <w:p>
            <w:pPr>
              <w:adjustRightInd w:val="0"/>
              <w:snapToGrid w:val="0"/>
              <w:ind w:firstLine="422"/>
              <w:rPr>
                <w:b/>
                <w:snapToGrid w:val="0"/>
                <w:kern w:val="0"/>
                <w:sz w:val="21"/>
                <w:szCs w:val="21"/>
              </w:rPr>
            </w:pPr>
            <w:r>
              <w:rPr>
                <w:b/>
                <w:snapToGrid w:val="0"/>
                <w:kern w:val="0"/>
                <w:sz w:val="21"/>
                <w:szCs w:val="21"/>
              </w:rPr>
              <w:t>1</w:t>
            </w:r>
            <w:r>
              <w:rPr>
                <w:rFonts w:hint="eastAsia"/>
                <w:b/>
                <w:snapToGrid w:val="0"/>
                <w:kern w:val="0"/>
                <w:sz w:val="21"/>
                <w:szCs w:val="21"/>
              </w:rPr>
              <w:t>、气质组成</w:t>
            </w:r>
          </w:p>
          <w:p>
            <w:pPr>
              <w:adjustRightInd w:val="0"/>
              <w:snapToGrid w:val="0"/>
              <w:ind w:firstLine="420"/>
            </w:pPr>
            <w:r>
              <w:rPr>
                <w:rFonts w:hint="eastAsia"/>
                <w:snapToGrid w:val="0"/>
                <w:kern w:val="0"/>
                <w:sz w:val="21"/>
                <w:szCs w:val="21"/>
              </w:rPr>
              <w:t>本工程钻井为勘探井，属页岩油勘探工程，目的层油气组成和测试流量均属不确定因素，根据《平安7井钻井地质设计》，平安7井所在区域凉高山组钻探成果为平安1井、界牌1井、营浅1井、营浅2井、龙岗13井、龙岗42井、税1井、税2井、税4井、税5井、川66井，凉高山组以上地层均不含硫化氢，根据邻井测试放喷产量，本项目目的层油气性质类比平安1井凉高山组油气组分报告，具体如下：</w:t>
            </w:r>
          </w:p>
          <w:p>
            <w:pPr>
              <w:tabs>
                <w:tab w:val="center" w:pos="4844"/>
              </w:tabs>
              <w:ind w:firstLine="373" w:firstLineChars="177"/>
              <w:jc w:val="center"/>
              <w:rPr>
                <w:b/>
                <w:sz w:val="21"/>
                <w:szCs w:val="21"/>
              </w:rPr>
            </w:pPr>
            <w:r>
              <w:rPr>
                <w:b/>
                <w:sz w:val="21"/>
                <w:szCs w:val="21"/>
              </w:rPr>
              <w:t>表2-13  平安1井油分析化验结果</w:t>
            </w:r>
          </w:p>
          <w:tbl>
            <w:tblPr>
              <w:tblStyle w:val="22"/>
              <w:tblW w:w="5000" w:type="pct"/>
              <w:jc w:val="center"/>
              <w:tblLayout w:type="fixed"/>
              <w:tblCellMar>
                <w:top w:w="0" w:type="dxa"/>
                <w:left w:w="0" w:type="dxa"/>
                <w:bottom w:w="0" w:type="dxa"/>
                <w:right w:w="0" w:type="dxa"/>
              </w:tblCellMar>
            </w:tblPr>
            <w:tblGrid>
              <w:gridCol w:w="1043"/>
              <w:gridCol w:w="1045"/>
              <w:gridCol w:w="1067"/>
              <w:gridCol w:w="1046"/>
              <w:gridCol w:w="1065"/>
              <w:gridCol w:w="1046"/>
              <w:gridCol w:w="1046"/>
              <w:gridCol w:w="1063"/>
            </w:tblGrid>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分析项目</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分析结果</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试验方法</w:t>
                  </w:r>
                </w:p>
              </w:tc>
            </w:tr>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水分，%</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0.7</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GB/T260</w:t>
                  </w:r>
                </w:p>
              </w:tc>
            </w:tr>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密度ρ油，kg/m</w:t>
                  </w:r>
                  <w:r>
                    <w:rPr>
                      <w:sz w:val="21"/>
                      <w:szCs w:val="21"/>
                      <w:vertAlign w:val="superscript"/>
                    </w:rPr>
                    <w:t>3</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786.2</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GB/T1884</w:t>
                  </w:r>
                </w:p>
              </w:tc>
            </w:tr>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凝点，℃</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15</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GB/T510</w:t>
                  </w:r>
                </w:p>
              </w:tc>
            </w:tr>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硫含量，%</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0.04</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GB/T214</w:t>
                  </w:r>
                </w:p>
              </w:tc>
            </w:tr>
            <w:tr>
              <w:tblPrEx>
                <w:tblCellMar>
                  <w:top w:w="0" w:type="dxa"/>
                  <w:left w:w="0" w:type="dxa"/>
                  <w:bottom w:w="0" w:type="dxa"/>
                  <w:right w:w="0" w:type="dxa"/>
                </w:tblCellMar>
              </w:tblPrEx>
              <w:trPr>
                <w:trHeight w:val="340" w:hRule="atLeast"/>
                <w:jc w:val="center"/>
              </w:trPr>
              <w:tc>
                <w:tcPr>
                  <w:tcW w:w="1874"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馏程：初馏点</w:t>
                  </w:r>
                </w:p>
              </w:tc>
              <w:tc>
                <w:tcPr>
                  <w:tcW w:w="1253" w:type="pct"/>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58.0</w:t>
                  </w:r>
                </w:p>
              </w:tc>
              <w:tc>
                <w:tcPr>
                  <w:tcW w:w="1873" w:type="pct"/>
                  <w:gridSpan w:val="3"/>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SH/T0165</w:t>
                  </w: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温度℃</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馏量mL</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温度℃</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馏量mL</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温度℃</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馏量mL</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温度℃</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馏量mL</w:t>
                  </w: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100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5.0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180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25.0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260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45.0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340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70.0</w:t>
                  </w: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110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7.0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190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27.0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270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49.0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350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72.5</w:t>
                  </w: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120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8.0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200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29.0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280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52.0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360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75.5</w:t>
                  </w: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130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11.0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210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31.5</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290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55.0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400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140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13.5</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220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34.0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300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58.0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420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150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17.0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230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37.0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310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62.0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440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160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20.0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240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40.0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320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64.0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460</w:t>
                  </w: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r>
            <w:tr>
              <w:tblPrEx>
                <w:tblCellMar>
                  <w:top w:w="0" w:type="dxa"/>
                  <w:left w:w="0" w:type="dxa"/>
                  <w:bottom w:w="0" w:type="dxa"/>
                  <w:right w:w="0" w:type="dxa"/>
                </w:tblCellMar>
              </w:tblPrEx>
              <w:trPr>
                <w:trHeight w:val="340" w:hRule="atLeast"/>
                <w:jc w:val="center"/>
              </w:trPr>
              <w:tc>
                <w:tcPr>
                  <w:tcW w:w="620"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170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22.5</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250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42.0</w:t>
                  </w:r>
                </w:p>
              </w:tc>
              <w:tc>
                <w:tcPr>
                  <w:tcW w:w="632"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330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r>
                    <w:rPr>
                      <w:sz w:val="21"/>
                      <w:szCs w:val="21"/>
                    </w:rPr>
                    <w:t>67.0</w:t>
                  </w:r>
                </w:p>
              </w:tc>
              <w:tc>
                <w:tcPr>
                  <w:tcW w:w="62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c>
                <w:tcPr>
                  <w:tcW w:w="631" w:type="pct"/>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pacing w:line="240" w:lineRule="auto"/>
                    <w:ind w:firstLine="0" w:firstLineChars="0"/>
                    <w:jc w:val="center"/>
                    <w:rPr>
                      <w:sz w:val="21"/>
                      <w:szCs w:val="21"/>
                    </w:rPr>
                  </w:pPr>
                </w:p>
              </w:tc>
            </w:tr>
          </w:tbl>
          <w:p>
            <w:pPr>
              <w:adjustRightInd w:val="0"/>
              <w:snapToGrid w:val="0"/>
              <w:ind w:firstLine="422"/>
              <w:jc w:val="center"/>
              <w:rPr>
                <w:b/>
                <w:snapToGrid w:val="0"/>
                <w:kern w:val="0"/>
                <w:sz w:val="21"/>
                <w:szCs w:val="21"/>
              </w:rPr>
            </w:pPr>
            <w:r>
              <w:rPr>
                <w:b/>
                <w:snapToGrid w:val="0"/>
                <w:kern w:val="0"/>
                <w:sz w:val="21"/>
                <w:szCs w:val="21"/>
              </w:rPr>
              <w:t>表</w:t>
            </w:r>
            <w:r>
              <w:rPr>
                <w:rFonts w:hint="eastAsia"/>
                <w:b/>
                <w:snapToGrid w:val="0"/>
                <w:kern w:val="0"/>
                <w:sz w:val="21"/>
                <w:szCs w:val="21"/>
              </w:rPr>
              <w:t>2</w:t>
            </w:r>
            <w:r>
              <w:rPr>
                <w:b/>
                <w:snapToGrid w:val="0"/>
                <w:kern w:val="0"/>
                <w:sz w:val="21"/>
                <w:szCs w:val="21"/>
              </w:rPr>
              <w:t>-14  平安</w:t>
            </w:r>
            <w:r>
              <w:rPr>
                <w:rFonts w:hint="eastAsia"/>
                <w:b/>
                <w:snapToGrid w:val="0"/>
                <w:kern w:val="0"/>
                <w:sz w:val="21"/>
                <w:szCs w:val="21"/>
              </w:rPr>
              <w:t>1井天然气分析化验结果</w:t>
            </w:r>
          </w:p>
          <w:tbl>
            <w:tblPr>
              <w:tblStyle w:val="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46"/>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pStyle w:val="80"/>
                    <w:autoSpaceDE w:val="0"/>
                    <w:autoSpaceDN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层位</w:t>
                  </w:r>
                </w:p>
              </w:tc>
              <w:tc>
                <w:tcPr>
                  <w:tcW w:w="3878" w:type="dxa"/>
                  <w:vAlign w:val="center"/>
                </w:tcPr>
                <w:p>
                  <w:pPr>
                    <w:pStyle w:val="80"/>
                    <w:autoSpaceDE w:val="0"/>
                    <w:autoSpaceDN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凉高山组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5022" w:type="dxa"/>
                  <w:vAlign w:val="center"/>
                </w:tcPr>
                <w:p>
                  <w:pPr>
                    <w:widowControl/>
                    <w:autoSpaceDE w:val="0"/>
                    <w:autoSpaceDN w:val="0"/>
                    <w:spacing w:line="240" w:lineRule="auto"/>
                    <w:ind w:firstLine="420"/>
                    <w:jc w:val="center"/>
                    <w:rPr>
                      <w:kern w:val="0"/>
                      <w:sz w:val="21"/>
                      <w:szCs w:val="21"/>
                      <w:lang w:eastAsia="en-US"/>
                    </w:rPr>
                  </w:pPr>
                  <w:r>
                    <w:rPr>
                      <w:sz w:val="21"/>
                      <w:szCs w:val="21"/>
                      <w:lang w:eastAsia="en-US"/>
                    </w:rPr>
                    <w:t>甲烷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乙烷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11.59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丙烷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异丁烷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正丁烷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异戊烷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正戊烷</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碳六</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氮</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autoSpaceDE w:val="0"/>
                    <w:autoSpaceDN w:val="0"/>
                    <w:spacing w:line="240" w:lineRule="auto"/>
                    <w:ind w:firstLine="420"/>
                    <w:jc w:val="center"/>
                    <w:rPr>
                      <w:sz w:val="21"/>
                      <w:szCs w:val="21"/>
                      <w:lang w:eastAsia="en-US"/>
                    </w:rPr>
                  </w:pPr>
                  <w:r>
                    <w:rPr>
                      <w:sz w:val="21"/>
                      <w:szCs w:val="21"/>
                      <w:lang w:eastAsia="en-US"/>
                    </w:rPr>
                    <w:t>二氧化碳</w:t>
                  </w:r>
                </w:p>
              </w:tc>
              <w:tc>
                <w:tcPr>
                  <w:tcW w:w="3878" w:type="dxa"/>
                  <w:vAlign w:val="center"/>
                </w:tcPr>
                <w:p>
                  <w:pPr>
                    <w:autoSpaceDE w:val="0"/>
                    <w:autoSpaceDN w:val="0"/>
                    <w:spacing w:line="240" w:lineRule="auto"/>
                    <w:ind w:firstLine="420"/>
                    <w:jc w:val="center"/>
                    <w:rPr>
                      <w:sz w:val="21"/>
                      <w:szCs w:val="21"/>
                      <w:lang w:eastAsia="en-US"/>
                    </w:rPr>
                  </w:pPr>
                  <w:r>
                    <w:rPr>
                      <w:sz w:val="21"/>
                      <w:szCs w:val="21"/>
                      <w:lang w:eastAsia="en-US"/>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22" w:type="dxa"/>
                  <w:vAlign w:val="center"/>
                </w:tcPr>
                <w:p>
                  <w:pPr>
                    <w:pStyle w:val="80"/>
                    <w:autoSpaceDE w:val="0"/>
                    <w:autoSpaceDN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硫化氢H</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S（g/m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w:t>
                  </w:r>
                </w:p>
              </w:tc>
              <w:tc>
                <w:tcPr>
                  <w:tcW w:w="3878" w:type="dxa"/>
                  <w:vAlign w:val="center"/>
                </w:tcPr>
                <w:p>
                  <w:pPr>
                    <w:autoSpaceDE w:val="0"/>
                    <w:autoSpaceDN w:val="0"/>
                    <w:spacing w:line="240" w:lineRule="auto"/>
                    <w:ind w:firstLine="420"/>
                    <w:jc w:val="center"/>
                    <w:rPr>
                      <w:sz w:val="21"/>
                      <w:szCs w:val="21"/>
                      <w:lang w:eastAsia="zh-CN"/>
                    </w:rPr>
                  </w:pPr>
                  <w:r>
                    <w:rPr>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5022" w:type="dxa"/>
                  <w:vAlign w:val="center"/>
                </w:tcPr>
                <w:p>
                  <w:pPr>
                    <w:pStyle w:val="80"/>
                    <w:autoSpaceDE w:val="0"/>
                    <w:autoSpaceDN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相对密度</w:t>
                  </w:r>
                </w:p>
              </w:tc>
              <w:tc>
                <w:tcPr>
                  <w:tcW w:w="3878" w:type="dxa"/>
                  <w:vAlign w:val="center"/>
                </w:tcPr>
                <w:p>
                  <w:pPr>
                    <w:autoSpaceDE w:val="0"/>
                    <w:autoSpaceDN w:val="0"/>
                    <w:spacing w:line="240" w:lineRule="auto"/>
                    <w:ind w:firstLine="420"/>
                    <w:jc w:val="center"/>
                    <w:rPr>
                      <w:sz w:val="21"/>
                      <w:szCs w:val="21"/>
                      <w:lang w:eastAsia="zh-CN"/>
                    </w:rPr>
                  </w:pPr>
                  <w:r>
                    <w:rPr>
                      <w:sz w:val="21"/>
                      <w:szCs w:val="21"/>
                      <w:lang w:eastAsia="zh-CN"/>
                    </w:rPr>
                    <w:t>0.7224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5022" w:type="dxa"/>
                  <w:vAlign w:val="center"/>
                </w:tcPr>
                <w:p>
                  <w:pPr>
                    <w:pStyle w:val="80"/>
                    <w:autoSpaceDE w:val="0"/>
                    <w:autoSpaceDN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测试流量（m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/d）</w:t>
                  </w:r>
                </w:p>
              </w:tc>
              <w:tc>
                <w:tcPr>
                  <w:tcW w:w="3878" w:type="dxa"/>
                  <w:vAlign w:val="center"/>
                </w:tcPr>
                <w:p>
                  <w:pPr>
                    <w:autoSpaceDE w:val="0"/>
                    <w:autoSpaceDN w:val="0"/>
                    <w:spacing w:line="240" w:lineRule="auto"/>
                    <w:ind w:firstLine="420"/>
                    <w:jc w:val="center"/>
                    <w:rPr>
                      <w:sz w:val="21"/>
                      <w:szCs w:val="21"/>
                      <w:lang w:eastAsia="zh-CN"/>
                    </w:rPr>
                  </w:pPr>
                  <w:r>
                    <w:rPr>
                      <w:sz w:val="21"/>
                      <w:szCs w:val="21"/>
                      <w:lang w:eastAsia="zh-CN"/>
                    </w:rPr>
                    <w:t>11.45×10</w:t>
                  </w:r>
                  <w:r>
                    <w:rPr>
                      <w:sz w:val="21"/>
                      <w:szCs w:val="21"/>
                      <w:vertAlign w:val="superscript"/>
                      <w:lang w:eastAsia="zh-CN"/>
                    </w:rPr>
                    <w:t>4</w:t>
                  </w:r>
                </w:p>
              </w:tc>
            </w:tr>
          </w:tbl>
          <w:p>
            <w:pPr>
              <w:adjustRightInd w:val="0"/>
              <w:snapToGrid w:val="0"/>
              <w:ind w:firstLine="422"/>
              <w:jc w:val="center"/>
              <w:rPr>
                <w:b/>
                <w:snapToGrid w:val="0"/>
                <w:kern w:val="0"/>
                <w:sz w:val="21"/>
                <w:szCs w:val="21"/>
              </w:rPr>
            </w:pPr>
          </w:p>
          <w:p>
            <w:pPr>
              <w:adjustRightInd w:val="0"/>
              <w:snapToGrid w:val="0"/>
              <w:ind w:firstLine="422"/>
              <w:jc w:val="center"/>
              <w:rPr>
                <w:b/>
                <w:snapToGrid w:val="0"/>
                <w:kern w:val="0"/>
                <w:sz w:val="21"/>
                <w:szCs w:val="21"/>
              </w:rPr>
            </w:pPr>
          </w:p>
          <w:p>
            <w:pPr>
              <w:adjustRightInd w:val="0"/>
              <w:snapToGrid w:val="0"/>
              <w:ind w:firstLine="422"/>
              <w:jc w:val="center"/>
              <w:rPr>
                <w:b/>
                <w:snapToGrid w:val="0"/>
                <w:kern w:val="0"/>
                <w:sz w:val="21"/>
                <w:szCs w:val="21"/>
              </w:rPr>
            </w:pPr>
          </w:p>
          <w:p>
            <w:pPr>
              <w:adjustRightInd w:val="0"/>
              <w:snapToGrid w:val="0"/>
              <w:ind w:firstLine="422"/>
              <w:jc w:val="center"/>
              <w:rPr>
                <w:b/>
                <w:snapToGrid w:val="0"/>
                <w:kern w:val="0"/>
                <w:sz w:val="21"/>
                <w:szCs w:val="21"/>
              </w:rPr>
            </w:pPr>
          </w:p>
          <w:p>
            <w:pPr>
              <w:adjustRightInd w:val="0"/>
              <w:snapToGrid w:val="0"/>
              <w:ind w:firstLine="422"/>
              <w:jc w:val="center"/>
              <w:rPr>
                <w:b/>
                <w:snapToGrid w:val="0"/>
                <w:kern w:val="0"/>
                <w:sz w:val="21"/>
                <w:szCs w:val="21"/>
                <w:highlight w:val="yellow"/>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p>
            <w:pPr>
              <w:adjustRightInd w:val="0"/>
              <w:snapToGrid w:val="0"/>
              <w:spacing w:line="240" w:lineRule="auto"/>
              <w:ind w:firstLine="420"/>
              <w:rPr>
                <w:kern w:val="0"/>
                <w:sz w:val="21"/>
                <w:szCs w:val="21"/>
              </w:rPr>
            </w:pPr>
          </w:p>
        </w:tc>
      </w:tr>
    </w:tbl>
    <w:p>
      <w:pPr>
        <w:pStyle w:val="2"/>
        <w:rPr>
          <w:rFonts w:eastAsia="宋体"/>
          <w:snapToGrid w:val="0"/>
          <w:color w:val="auto"/>
          <w:sz w:val="24"/>
          <w:szCs w:val="21"/>
        </w:rPr>
      </w:pPr>
      <w:r>
        <w:rPr>
          <w:rFonts w:eastAsia="宋体"/>
          <w:color w:val="auto"/>
          <w:sz w:val="21"/>
          <w:szCs w:val="21"/>
        </w:rPr>
        <w:br w:type="page"/>
      </w:r>
      <w:r>
        <w:rPr>
          <w:rFonts w:eastAsia="宋体"/>
          <w:snapToGrid w:val="0"/>
          <w:color w:val="auto"/>
          <w:sz w:val="24"/>
          <w:szCs w:val="21"/>
        </w:rPr>
        <w:t>三、生态环境现状、保护目标及评价标准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8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adjustRightInd w:val="0"/>
              <w:snapToGrid w:val="0"/>
              <w:ind w:firstLine="0" w:firstLineChars="0"/>
              <w:rPr>
                <w:rFonts w:ascii="宋体" w:hAnsi="宋体" w:cs="宋体"/>
                <w:snapToGrid w:val="0"/>
                <w:kern w:val="0"/>
                <w:sz w:val="21"/>
                <w:szCs w:val="21"/>
              </w:rPr>
            </w:pPr>
            <w:r>
              <w:rPr>
                <w:rFonts w:hint="eastAsia" w:ascii="宋体" w:hAnsi="宋体" w:cs="宋体"/>
                <w:snapToGrid w:val="0"/>
                <w:kern w:val="0"/>
                <w:sz w:val="21"/>
                <w:szCs w:val="21"/>
              </w:rPr>
              <w:t>生态环境现状</w:t>
            </w:r>
          </w:p>
        </w:tc>
        <w:tc>
          <w:tcPr>
            <w:tcW w:w="0" w:type="auto"/>
            <w:vAlign w:val="center"/>
          </w:tcPr>
          <w:p>
            <w:pPr>
              <w:adjustRightInd w:val="0"/>
              <w:snapToGrid w:val="0"/>
              <w:ind w:firstLine="0" w:firstLineChars="0"/>
              <w:rPr>
                <w:b/>
                <w:snapToGrid w:val="0"/>
                <w:kern w:val="0"/>
                <w:sz w:val="21"/>
                <w:szCs w:val="21"/>
              </w:rPr>
            </w:pPr>
            <w:r>
              <w:rPr>
                <w:rFonts w:hint="eastAsia" w:hAnsi="宋体"/>
                <w:b/>
                <w:snapToGrid w:val="0"/>
                <w:kern w:val="0"/>
                <w:sz w:val="21"/>
                <w:szCs w:val="21"/>
              </w:rPr>
              <w:t>1</w:t>
            </w:r>
            <w:r>
              <w:rPr>
                <w:rFonts w:hAnsi="宋体"/>
                <w:b/>
                <w:snapToGrid w:val="0"/>
                <w:kern w:val="0"/>
                <w:sz w:val="21"/>
                <w:szCs w:val="21"/>
              </w:rPr>
              <w:t>、</w:t>
            </w:r>
            <w:r>
              <w:rPr>
                <w:rFonts w:hint="eastAsia" w:hAnsi="宋体"/>
                <w:b/>
                <w:snapToGrid w:val="0"/>
                <w:kern w:val="0"/>
                <w:sz w:val="21"/>
                <w:szCs w:val="21"/>
              </w:rPr>
              <w:t>主体</w:t>
            </w:r>
            <w:r>
              <w:rPr>
                <w:rFonts w:hAnsi="宋体"/>
                <w:b/>
                <w:snapToGrid w:val="0"/>
                <w:kern w:val="0"/>
                <w:sz w:val="21"/>
                <w:szCs w:val="21"/>
              </w:rPr>
              <w:t>功能区</w:t>
            </w:r>
            <w:r>
              <w:rPr>
                <w:rFonts w:hint="eastAsia" w:hAnsi="宋体"/>
                <w:b/>
                <w:snapToGrid w:val="0"/>
                <w:kern w:val="0"/>
                <w:sz w:val="21"/>
                <w:szCs w:val="21"/>
              </w:rPr>
              <w:t>规划及</w:t>
            </w:r>
            <w:r>
              <w:rPr>
                <w:rFonts w:hint="eastAsia"/>
                <w:b/>
                <w:snapToGrid w:val="0"/>
                <w:kern w:val="0"/>
                <w:sz w:val="21"/>
                <w:szCs w:val="21"/>
              </w:rPr>
              <w:t>生态功能区划情况</w:t>
            </w:r>
          </w:p>
          <w:p>
            <w:pPr>
              <w:adjustRightInd w:val="0"/>
              <w:snapToGrid w:val="0"/>
              <w:ind w:firstLine="420"/>
              <w:rPr>
                <w:rFonts w:hAnsi="宋体"/>
                <w:snapToGrid w:val="0"/>
                <w:kern w:val="0"/>
                <w:sz w:val="21"/>
                <w:szCs w:val="21"/>
              </w:rPr>
            </w:pPr>
            <w:r>
              <w:rPr>
                <w:rFonts w:hint="eastAsia"/>
                <w:snapToGrid w:val="0"/>
                <w:kern w:val="0"/>
                <w:sz w:val="21"/>
                <w:szCs w:val="21"/>
              </w:rPr>
              <w:t>根据《四川省主体功能区划》（川府发[2013]16号），项目所在地位于“重点开发区”，区域主要功能为：我国西部重要的能源化工基地，农产品深加工基地，红色旅游基地，川渝陕结合部的区域经济中心和交通物流中心，构建连接我国西北、西南地区的新兴经济带。形成以南充、达州、遂宁、广安、广元、巴中等中心城市为依托的城镇群空间开发格局。加快推进区域性中心城市发展，优化城市空间布局，拓展城市发展空间，增强城市综合服务功能，提高人口集聚能力，强化辐射和带动作用。加快嘉陵江产业带和渠江产业带发展。利用嘉陵江流域和渠江流域丰富的自然资源，加快川东北地区特色优势资源深度开发和加工转化，积极承接产业转移，重点发展清洁能源和石油、天然气化工、农产品加工业，大力发展特色农业和红色旅游。加强区域合作，大力发展配套产业。加强广安、达州与重庆的协作，建设川渝合作示范区，主动承接重庆的产业转移，加快发展汽车和摩托车配套零部件、轻纺等工业。加强南充、遂宁与成都的产业化协作，承接成都平原地区的产业转移，形成机械加工、轻纺等优势产业。坚持兴利除害结合，全力推进渠江、嘉陵江流域防洪控制性工程和供水保障工程建设，增强对江河洪水的调控能力，提高防</w:t>
            </w:r>
            <w:r>
              <w:rPr>
                <w:rFonts w:hint="eastAsia"/>
                <w:snapToGrid w:val="0"/>
                <w:kern w:val="0"/>
                <w:sz w:val="21"/>
                <w:szCs w:val="21"/>
                <w:lang w:val="en-US" w:eastAsia="zh-CN"/>
              </w:rPr>
              <w:t>汛</w:t>
            </w:r>
            <w:r>
              <w:rPr>
                <w:rFonts w:hint="eastAsia"/>
                <w:snapToGrid w:val="0"/>
                <w:kern w:val="0"/>
                <w:sz w:val="21"/>
                <w:szCs w:val="21"/>
              </w:rPr>
              <w:t>抗旱能力。大力加强生态环境保护和流域综合整治，构建以嘉陵江、渠江为主体，森林、丘陵、水面、湿地相连，带状环绕、块状相间的流域生态屏障。</w:t>
            </w:r>
          </w:p>
          <w:p>
            <w:pPr>
              <w:adjustRightInd w:val="0"/>
              <w:snapToGrid w:val="0"/>
              <w:ind w:firstLine="420"/>
              <w:rPr>
                <w:snapToGrid w:val="0"/>
                <w:kern w:val="0"/>
                <w:sz w:val="21"/>
                <w:szCs w:val="21"/>
              </w:rPr>
            </w:pPr>
            <w:r>
              <w:rPr>
                <w:rFonts w:hint="eastAsia"/>
                <w:snapToGrid w:val="0"/>
                <w:kern w:val="0"/>
                <w:sz w:val="21"/>
                <w:szCs w:val="21"/>
              </w:rPr>
              <w:t>根据《四川省生态功能区划》，项目所在地属于达州市通川区，属“I-2 盆中丘陵农林复合生态亚区”中的“I-2-2渠江农业生态功能区”，主要生态环境问题包括：土地垦殖过度，农村面源污染及城镇污染呈上升趋势，森林覆盖率较低，水土流失面广，河流支流污染较严重，早灾和洪涝灾害频繁发生。生态保护与发展方向为：发挥区域中心城市辐射作用，优化人居环境。巩固长江上游防护林成果。完善水利和水保设施，保护耕地。发展生态农业、节水型农业。建设以农产品为主要原料的轻工业基地和以天然气为主的基础原料生产基地。大力发展旅游业。大力发展沼气等新型生物质能。禁止建设污染转移型项目，防止产业开发对生态环境的破坏或不利影响，防治水环境污染，保障饮用水安全。</w:t>
            </w:r>
          </w:p>
          <w:p>
            <w:pPr>
              <w:adjustRightInd w:val="0"/>
              <w:snapToGrid w:val="0"/>
              <w:ind w:firstLine="420"/>
              <w:rPr>
                <w:snapToGrid w:val="0"/>
                <w:kern w:val="0"/>
                <w:sz w:val="21"/>
                <w:szCs w:val="21"/>
              </w:rPr>
            </w:pPr>
            <w:r>
              <w:rPr>
                <w:rFonts w:hint="eastAsia"/>
                <w:snapToGrid w:val="0"/>
                <w:kern w:val="0"/>
                <w:sz w:val="21"/>
                <w:szCs w:val="21"/>
              </w:rPr>
              <w:t>根据调查踏勘，工程所在地属于农村生态环境，周边主要为耕地及少量林地。生态系统较稳定，承受干扰的能力较强，目前受人类活动影响明显，生态系统单一，结构简单，环境异质性差。区域内以人工生境为主，易于恢复。项目不在自然保护区、风景名胜区等环境敏感区域范围内。项目所在地野生动物分布较少，主要为野生鼠类、蛇、两栖类及鸟类动物，主要以人工饲养动物为主，包括猪、牛、兔、鸡、鹅等家畜，评价区内未见大型野生哺乳动物，未见珍稀濒危保护野生动物分布。区域内未见天然珍稀野生动、植物分布，该区域缺少生物物种的种群源，自然组分的调控能力弱</w:t>
            </w:r>
            <w:r>
              <w:rPr>
                <w:snapToGrid w:val="0"/>
                <w:kern w:val="0"/>
                <w:sz w:val="21"/>
                <w:szCs w:val="21"/>
              </w:rPr>
              <w:t>。</w:t>
            </w:r>
          </w:p>
          <w:p>
            <w:pPr>
              <w:adjustRightInd w:val="0"/>
              <w:snapToGrid w:val="0"/>
              <w:ind w:firstLine="0" w:firstLineChars="0"/>
              <w:rPr>
                <w:b/>
                <w:snapToGrid w:val="0"/>
                <w:kern w:val="0"/>
                <w:sz w:val="21"/>
                <w:szCs w:val="21"/>
              </w:rPr>
            </w:pPr>
            <w:r>
              <w:rPr>
                <w:rFonts w:hint="eastAsia"/>
                <w:b/>
                <w:snapToGrid w:val="0"/>
                <w:kern w:val="0"/>
                <w:sz w:val="21"/>
                <w:szCs w:val="21"/>
              </w:rPr>
              <w:t>2、生态环境现状</w:t>
            </w:r>
          </w:p>
          <w:p>
            <w:pPr>
              <w:adjustRightInd w:val="0"/>
              <w:snapToGrid w:val="0"/>
              <w:ind w:firstLine="422"/>
              <w:rPr>
                <w:b/>
                <w:snapToGrid w:val="0"/>
                <w:kern w:val="0"/>
                <w:sz w:val="21"/>
                <w:szCs w:val="21"/>
              </w:rPr>
            </w:pPr>
            <w:r>
              <w:rPr>
                <w:rFonts w:hint="eastAsia"/>
                <w:b/>
                <w:snapToGrid w:val="0"/>
                <w:kern w:val="0"/>
                <w:sz w:val="21"/>
                <w:szCs w:val="21"/>
              </w:rPr>
              <w:t>2.1陆生生态现状</w:t>
            </w:r>
          </w:p>
          <w:p>
            <w:pPr>
              <w:adjustRightInd w:val="0"/>
              <w:snapToGrid w:val="0"/>
              <w:ind w:firstLine="422"/>
              <w:rPr>
                <w:b/>
                <w:snapToGrid w:val="0"/>
                <w:kern w:val="0"/>
                <w:sz w:val="21"/>
                <w:szCs w:val="21"/>
              </w:rPr>
            </w:pPr>
            <w:r>
              <w:rPr>
                <w:rFonts w:hint="eastAsia"/>
                <w:b/>
                <w:snapToGrid w:val="0"/>
                <w:kern w:val="0"/>
                <w:sz w:val="21"/>
                <w:szCs w:val="21"/>
              </w:rPr>
              <w:t>2.1.1动植物资源及生物多样性</w:t>
            </w:r>
          </w:p>
          <w:p>
            <w:pPr>
              <w:snapToGrid w:val="0"/>
              <w:ind w:firstLine="420"/>
              <w:rPr>
                <w:snapToGrid w:val="0"/>
                <w:kern w:val="0"/>
                <w:sz w:val="21"/>
                <w:szCs w:val="21"/>
              </w:rPr>
            </w:pPr>
            <w:r>
              <w:rPr>
                <w:rFonts w:hint="eastAsia"/>
                <w:snapToGrid w:val="0"/>
                <w:kern w:val="0"/>
                <w:sz w:val="21"/>
                <w:szCs w:val="21"/>
              </w:rPr>
              <w:t>根据四川植被划分，本项目评价区植被隶属于川东盆地及西南山地常绿阔叶林带——川东盆地偏湿性常绿阔叶林亚带——盆地南部中山植被区。项目所在区域植被次生性明显，人类开发利用频繁，地带性常绿阔叶林破坏严重，以次生林为主，针叶林间或分布。项目范围内无珍稀植被分布。评价范围植被类型以针阔混交林、低山灌草和栽培植被为主。项目所在地自然植被组合单纯，主要是针阔混交林、次生灌丛和亚热带低山禾草草丛。由于位于丘陵地区，海拔相对高差较小，植被水平和垂直分布规律不明显。柏木、马尾松、栓皮栎、麻栎等疏林在土层较厚的丘陵地区，呈稀疏斑块镶嵌分布；次生灌丛分布于向阳山坡，栽培植被主要是龙眼、荔枝、核桃、甜橙、柚子等经果林木，以及水稻、玉米、番薯、花生、甘蔗等农作物。</w:t>
            </w:r>
          </w:p>
          <w:p>
            <w:pPr>
              <w:snapToGrid w:val="0"/>
              <w:ind w:firstLine="420"/>
              <w:rPr>
                <w:snapToGrid w:val="0"/>
                <w:kern w:val="0"/>
                <w:sz w:val="21"/>
                <w:szCs w:val="21"/>
              </w:rPr>
            </w:pPr>
            <w:r>
              <w:rPr>
                <w:snapToGrid w:val="0"/>
                <w:kern w:val="0"/>
                <w:sz w:val="21"/>
                <w:szCs w:val="21"/>
              </w:rPr>
              <w:t>项目所在地</w:t>
            </w:r>
            <w:r>
              <w:rPr>
                <w:rFonts w:hint="eastAsia"/>
                <w:snapToGrid w:val="0"/>
                <w:kern w:val="0"/>
                <w:sz w:val="21"/>
                <w:szCs w:val="21"/>
              </w:rPr>
              <w:t>人类活动较频繁，区域对土地资源的利用已达到很高的程度，大型野生动物已经绝迹。受到人类长期活动的地方，野生动物的生存环境基本上已经遭到破坏。野生动物多为适应耕地和居民点的种类，林栖鸟类较少见，而以盗食谷物的鼠类和鸟类居多，生活于耕地区捕食昆虫、鼠类的两栖类、爬行类动物较多，主要野生动物有蛙、野兔、田鼠、蝙蝠、蛇、野鸡等。</w:t>
            </w:r>
          </w:p>
          <w:p>
            <w:pPr>
              <w:adjustRightInd w:val="0"/>
              <w:snapToGrid w:val="0"/>
              <w:ind w:firstLine="422"/>
              <w:rPr>
                <w:b/>
                <w:snapToGrid w:val="0"/>
                <w:kern w:val="0"/>
                <w:sz w:val="21"/>
                <w:szCs w:val="21"/>
              </w:rPr>
            </w:pPr>
            <w:r>
              <w:rPr>
                <w:rFonts w:hint="eastAsia"/>
                <w:b/>
                <w:snapToGrid w:val="0"/>
                <w:kern w:val="0"/>
                <w:sz w:val="21"/>
                <w:szCs w:val="21"/>
              </w:rPr>
              <w:t>项目占地范围内未发现珍稀濒危及国家重点保护的野生植物，未发现珍稀濒危及国家和四川省重点保护的野生动物，也未发现珍惜濒危及重点保护野生动物栖息地。本工程占地范围内无野生保护动物栖息地、繁殖地、觅食地，也未发现国家野生保护动物分布；无古大、珍稀树木分布。</w:t>
            </w:r>
          </w:p>
          <w:p>
            <w:pPr>
              <w:adjustRightInd w:val="0"/>
              <w:snapToGrid w:val="0"/>
              <w:ind w:firstLine="422"/>
              <w:rPr>
                <w:b/>
                <w:snapToGrid w:val="0"/>
                <w:kern w:val="0"/>
                <w:sz w:val="21"/>
                <w:szCs w:val="21"/>
              </w:rPr>
            </w:pPr>
            <w:r>
              <w:rPr>
                <w:rFonts w:hint="eastAsia"/>
                <w:b/>
                <w:snapToGrid w:val="0"/>
                <w:kern w:val="0"/>
                <w:sz w:val="21"/>
                <w:szCs w:val="21"/>
              </w:rPr>
              <w:t>2.1.2土壤资源</w:t>
            </w:r>
          </w:p>
          <w:p>
            <w:pPr>
              <w:adjustRightInd w:val="0"/>
              <w:snapToGrid w:val="0"/>
              <w:ind w:firstLine="420"/>
              <w:rPr>
                <w:snapToGrid w:val="0"/>
                <w:kern w:val="0"/>
                <w:sz w:val="21"/>
                <w:szCs w:val="21"/>
              </w:rPr>
            </w:pPr>
            <w:r>
              <w:rPr>
                <w:rFonts w:hint="eastAsia"/>
                <w:snapToGrid w:val="0"/>
                <w:kern w:val="0"/>
                <w:sz w:val="21"/>
                <w:szCs w:val="21"/>
              </w:rPr>
              <w:t>全区土壤类型有水稻土、冲积土、紫色土、黄泥土等四大土类，6个亚类，12个土属，63个土种，99个变种。主要土类为水稻土和紫色土。水稻土由水耕而成，分布较为广泛，从山上到山下，从冲沟到平坝均有分布，但土种各异；冲积土系河流冲积而成，分布于溪河两岸；紫色土由紫色母岩风化而成，肥力较高，主要分布于两槽海拔300-500m高程的大片丘陵地区；黄泥土由砂岩和灰岩风化剥蚀而成，分布于500-600m高程砂岩地区的称冷砂黄泥土，分布于600m高程以上石灰岩地区的称矿子黄泥土。</w:t>
            </w:r>
          </w:p>
          <w:p>
            <w:pPr>
              <w:adjustRightInd w:val="0"/>
              <w:snapToGrid w:val="0"/>
              <w:ind w:firstLine="422"/>
              <w:rPr>
                <w:b/>
                <w:snapToGrid w:val="0"/>
                <w:kern w:val="0"/>
                <w:sz w:val="21"/>
                <w:szCs w:val="21"/>
              </w:rPr>
            </w:pPr>
            <w:r>
              <w:rPr>
                <w:rFonts w:hint="eastAsia"/>
                <w:b/>
                <w:snapToGrid w:val="0"/>
                <w:kern w:val="0"/>
                <w:sz w:val="21"/>
                <w:szCs w:val="21"/>
              </w:rPr>
              <w:t>拟建项目所在区域土地利用类型主要为水田、旱地，项目评价区范围内土地利用类型主要包括旱地、水田、林地、道路及农村宅基地。</w:t>
            </w:r>
          </w:p>
          <w:p>
            <w:pPr>
              <w:adjustRightInd w:val="0"/>
              <w:snapToGrid w:val="0"/>
              <w:ind w:firstLine="422"/>
              <w:rPr>
                <w:b/>
                <w:snapToGrid w:val="0"/>
                <w:kern w:val="0"/>
                <w:sz w:val="21"/>
                <w:szCs w:val="21"/>
              </w:rPr>
            </w:pPr>
            <w:r>
              <w:rPr>
                <w:rFonts w:hint="eastAsia"/>
                <w:b/>
                <w:snapToGrid w:val="0"/>
                <w:kern w:val="0"/>
                <w:sz w:val="21"/>
                <w:szCs w:val="21"/>
              </w:rPr>
              <w:t>2.2水生生态现状</w:t>
            </w:r>
          </w:p>
          <w:p>
            <w:pPr>
              <w:adjustRightInd w:val="0"/>
              <w:snapToGrid w:val="0"/>
              <w:ind w:firstLine="420"/>
              <w:rPr>
                <w:rFonts w:hAnsi="宋体"/>
                <w:snapToGrid w:val="0"/>
                <w:kern w:val="0"/>
                <w:sz w:val="21"/>
                <w:szCs w:val="21"/>
              </w:rPr>
            </w:pPr>
            <w:r>
              <w:rPr>
                <w:rFonts w:hint="eastAsia" w:hAnsi="宋体"/>
                <w:snapToGrid w:val="0"/>
                <w:kern w:val="0"/>
                <w:sz w:val="21"/>
                <w:szCs w:val="21"/>
              </w:rPr>
              <w:t>通川区境内河流属长江流域。最大河流为州河，由东北向西南流经罗江镇、北外镇、东城、西城、朝阳街道办事处，至西外镇龙家庙村出镜。通川区境内长34千米，流域面积388.2平方千米，年均流量192.7立方米/秒，天然落差16米，河滩21处。主要支流有明月江、双龙河，另有38条溪流分布于沿河流域。有中型水库莲花湖水库，有效库容675万立方米，有效灌溉面积2.2万亩。</w:t>
            </w:r>
          </w:p>
          <w:p>
            <w:pPr>
              <w:adjustRightInd w:val="0"/>
              <w:snapToGrid w:val="0"/>
              <w:ind w:firstLine="420"/>
              <w:rPr>
                <w:snapToGrid w:val="0"/>
                <w:kern w:val="0"/>
                <w:sz w:val="21"/>
                <w:szCs w:val="21"/>
              </w:rPr>
            </w:pPr>
            <w:r>
              <w:rPr>
                <w:rFonts w:hAnsi="宋体"/>
                <w:snapToGrid w:val="0"/>
                <w:kern w:val="0"/>
                <w:sz w:val="21"/>
                <w:szCs w:val="21"/>
              </w:rPr>
              <w:t>项目周边</w:t>
            </w:r>
            <w:r>
              <w:rPr>
                <w:rFonts w:hint="eastAsia" w:hAnsi="宋体"/>
                <w:snapToGrid w:val="0"/>
                <w:kern w:val="0"/>
                <w:sz w:val="21"/>
                <w:szCs w:val="21"/>
              </w:rPr>
              <w:t>5</w:t>
            </w:r>
            <w:r>
              <w:rPr>
                <w:rFonts w:hAnsi="宋体"/>
                <w:snapToGrid w:val="0"/>
                <w:kern w:val="0"/>
                <w:sz w:val="21"/>
                <w:szCs w:val="21"/>
              </w:rPr>
              <w:t>00m范围内物大型水体分布，项目周边主要地表水为西南侧约</w:t>
            </w:r>
            <w:r>
              <w:rPr>
                <w:rFonts w:hint="eastAsia"/>
                <w:snapToGrid w:val="0"/>
                <w:kern w:val="0"/>
                <w:sz w:val="21"/>
                <w:szCs w:val="21"/>
              </w:rPr>
              <w:t>井口西南侧1</w:t>
            </w:r>
            <w:r>
              <w:rPr>
                <w:snapToGrid w:val="0"/>
                <w:kern w:val="0"/>
                <w:sz w:val="21"/>
                <w:szCs w:val="21"/>
              </w:rPr>
              <w:t>.42km处</w:t>
            </w:r>
            <w:r>
              <w:rPr>
                <w:rFonts w:hint="eastAsia"/>
                <w:snapToGrid w:val="0"/>
                <w:kern w:val="0"/>
                <w:sz w:val="21"/>
                <w:szCs w:val="21"/>
              </w:rPr>
              <w:t>大滩沟水库及东北侧2</w:t>
            </w:r>
            <w:r>
              <w:rPr>
                <w:snapToGrid w:val="0"/>
                <w:kern w:val="0"/>
                <w:sz w:val="21"/>
                <w:szCs w:val="21"/>
              </w:rPr>
              <w:t>.58km处</w:t>
            </w:r>
            <w:r>
              <w:rPr>
                <w:rFonts w:hint="eastAsia"/>
                <w:snapToGrid w:val="0"/>
                <w:kern w:val="0"/>
                <w:sz w:val="21"/>
                <w:szCs w:val="21"/>
              </w:rPr>
              <w:t>高墩子河，高墩子河主要功能为行洪、灌溉，无饮用水水源功能。大滩沟水库为北山镇饮用水水源地，根据与主管部门核实成果及现场踏勘成果，平安7井距大滩沟水库饮用水水源保护区最近距离约1</w:t>
            </w:r>
            <w:r>
              <w:rPr>
                <w:snapToGrid w:val="0"/>
                <w:kern w:val="0"/>
                <w:sz w:val="21"/>
                <w:szCs w:val="21"/>
              </w:rPr>
              <w:t>.0km，项目不在大滩沟水库饮用水水源保护区范围内，且</w:t>
            </w:r>
            <w:r>
              <w:rPr>
                <w:rFonts w:hint="eastAsia"/>
                <w:snapToGrid w:val="0"/>
                <w:kern w:val="0"/>
                <w:sz w:val="21"/>
                <w:szCs w:val="21"/>
              </w:rPr>
              <w:t>与大滩沟水库之间存在自然分水岭，项目不在其集雨范围内，项目建设对大滩沟饮用水水源基本无影响。</w:t>
            </w:r>
          </w:p>
          <w:p>
            <w:pPr>
              <w:adjustRightInd w:val="0"/>
              <w:snapToGrid w:val="0"/>
              <w:ind w:firstLine="420"/>
              <w:rPr>
                <w:rFonts w:hAnsi="宋体"/>
                <w:snapToGrid w:val="0"/>
                <w:kern w:val="0"/>
                <w:sz w:val="21"/>
                <w:szCs w:val="21"/>
              </w:rPr>
            </w:pPr>
            <w:r>
              <w:rPr>
                <w:rFonts w:hint="eastAsia" w:hAnsi="宋体"/>
                <w:snapToGrid w:val="0"/>
                <w:kern w:val="0"/>
                <w:sz w:val="21"/>
                <w:szCs w:val="21"/>
              </w:rPr>
              <w:t>经现场调查并结合相关的资料，项目所在位置无珍惜保护水生生物，不属于重要水生生物的自然产卵场、索饵场、越冬场和游通道。周边鱼塘与养殖鱼类为主，主要包括有鲤鱼、草鱼、鲫鱼等小型鱼类等常见鱼类。</w:t>
            </w:r>
          </w:p>
          <w:p>
            <w:pPr>
              <w:adjustRightInd w:val="0"/>
              <w:snapToGrid w:val="0"/>
              <w:ind w:firstLine="0" w:firstLineChars="0"/>
              <w:rPr>
                <w:b/>
                <w:snapToGrid w:val="0"/>
                <w:kern w:val="0"/>
                <w:sz w:val="21"/>
                <w:szCs w:val="21"/>
              </w:rPr>
            </w:pPr>
            <w:r>
              <w:rPr>
                <w:rFonts w:hint="eastAsia"/>
                <w:b/>
                <w:snapToGrid w:val="0"/>
                <w:kern w:val="0"/>
                <w:sz w:val="21"/>
                <w:szCs w:val="21"/>
              </w:rPr>
              <w:t>3、环境质量现状</w:t>
            </w:r>
          </w:p>
          <w:p>
            <w:pPr>
              <w:adjustRightInd w:val="0"/>
              <w:snapToGrid w:val="0"/>
              <w:ind w:firstLine="422"/>
              <w:rPr>
                <w:b/>
                <w:snapToGrid w:val="0"/>
                <w:kern w:val="0"/>
                <w:sz w:val="21"/>
                <w:szCs w:val="21"/>
              </w:rPr>
            </w:pPr>
            <w:r>
              <w:rPr>
                <w:rFonts w:hint="eastAsia"/>
                <w:b/>
                <w:snapToGrid w:val="0"/>
                <w:kern w:val="0"/>
                <w:sz w:val="21"/>
                <w:szCs w:val="21"/>
              </w:rPr>
              <w:t>3.1工程区域质量现状</w:t>
            </w:r>
          </w:p>
          <w:p>
            <w:pPr>
              <w:adjustRightInd w:val="0"/>
              <w:snapToGrid w:val="0"/>
              <w:ind w:firstLine="422"/>
              <w:rPr>
                <w:b/>
                <w:snapToGrid w:val="0"/>
                <w:kern w:val="0"/>
                <w:sz w:val="21"/>
                <w:szCs w:val="21"/>
              </w:rPr>
            </w:pPr>
            <w:r>
              <w:rPr>
                <w:rFonts w:hint="eastAsia"/>
                <w:b/>
                <w:snapToGrid w:val="0"/>
                <w:kern w:val="0"/>
                <w:sz w:val="21"/>
                <w:szCs w:val="21"/>
              </w:rPr>
              <w:t>3.1.1环境空气质量现状</w:t>
            </w:r>
          </w:p>
          <w:p>
            <w:pPr>
              <w:adjustRightInd w:val="0"/>
              <w:snapToGrid w:val="0"/>
              <w:ind w:firstLine="422"/>
              <w:rPr>
                <w:b/>
                <w:snapToGrid w:val="0"/>
                <w:kern w:val="0"/>
                <w:sz w:val="21"/>
                <w:szCs w:val="21"/>
              </w:rPr>
            </w:pPr>
            <w:r>
              <w:rPr>
                <w:rFonts w:hint="eastAsia"/>
                <w:b/>
                <w:snapToGrid w:val="0"/>
                <w:kern w:val="0"/>
                <w:sz w:val="21"/>
                <w:szCs w:val="21"/>
              </w:rPr>
              <w:t>（</w:t>
            </w:r>
            <w:r>
              <w:rPr>
                <w:b/>
                <w:snapToGrid w:val="0"/>
                <w:kern w:val="0"/>
                <w:sz w:val="21"/>
                <w:szCs w:val="21"/>
              </w:rPr>
              <w:t>1</w:t>
            </w:r>
            <w:r>
              <w:rPr>
                <w:rFonts w:hint="eastAsia"/>
                <w:b/>
                <w:snapToGrid w:val="0"/>
                <w:kern w:val="0"/>
                <w:sz w:val="21"/>
                <w:szCs w:val="21"/>
              </w:rPr>
              <w:t>）区域环境质量达标情况</w:t>
            </w:r>
          </w:p>
          <w:p>
            <w:pPr>
              <w:pStyle w:val="87"/>
              <w:snapToGrid w:val="0"/>
              <w:ind w:firstLine="420"/>
              <w:rPr>
                <w:snapToGrid w:val="0"/>
                <w:kern w:val="0"/>
                <w:szCs w:val="21"/>
              </w:rPr>
            </w:pPr>
            <w:r>
              <w:rPr>
                <w:rFonts w:hint="eastAsia"/>
                <w:snapToGrid w:val="0"/>
                <w:kern w:val="0"/>
                <w:szCs w:val="21"/>
              </w:rPr>
              <w:t>本项目位于达州市通川区，根据《环境影响评价导则大气环境》（HJ2.2-2018）要求，本次环境空气质量引用达州市生态环境局公布的《达州市2023年环境空气质量状况》中通川区环境空气质量数据对对区域环境空气质量达标评价，202</w:t>
            </w:r>
            <w:r>
              <w:rPr>
                <w:snapToGrid w:val="0"/>
                <w:kern w:val="0"/>
                <w:szCs w:val="21"/>
              </w:rPr>
              <w:t>3</w:t>
            </w:r>
            <w:r>
              <w:rPr>
                <w:rFonts w:hint="eastAsia"/>
                <w:snapToGrid w:val="0"/>
                <w:kern w:val="0"/>
                <w:szCs w:val="21"/>
              </w:rPr>
              <w:t>年通川区环境空气质量统计资料如下表。</w:t>
            </w:r>
          </w:p>
          <w:p>
            <w:pPr>
              <w:adjustRightInd w:val="0"/>
              <w:snapToGrid w:val="0"/>
              <w:ind w:firstLine="0" w:firstLineChars="0"/>
              <w:jc w:val="center"/>
              <w:rPr>
                <w:b/>
                <w:bCs/>
                <w:snapToGrid w:val="0"/>
                <w:kern w:val="0"/>
                <w:sz w:val="21"/>
                <w:szCs w:val="21"/>
                <w:vertAlign w:val="superscript"/>
              </w:rPr>
            </w:pPr>
            <w:r>
              <w:rPr>
                <w:rFonts w:hint="eastAsia"/>
                <w:b/>
                <w:bCs/>
                <w:snapToGrid w:val="0"/>
                <w:kern w:val="0"/>
                <w:sz w:val="21"/>
                <w:szCs w:val="21"/>
              </w:rPr>
              <w:t>表3</w:t>
            </w:r>
            <w:r>
              <w:rPr>
                <w:b/>
                <w:bCs/>
                <w:snapToGrid w:val="0"/>
                <w:kern w:val="0"/>
                <w:sz w:val="21"/>
                <w:szCs w:val="21"/>
              </w:rPr>
              <w:t xml:space="preserve">-1 </w:t>
            </w:r>
            <w:r>
              <w:rPr>
                <w:rFonts w:hint="eastAsia"/>
                <w:b/>
                <w:bCs/>
                <w:snapToGrid w:val="0"/>
                <w:kern w:val="0"/>
                <w:sz w:val="21"/>
                <w:szCs w:val="21"/>
              </w:rPr>
              <w:t>空气质量现状评价表单位：</w:t>
            </w:r>
            <w:r>
              <w:rPr>
                <w:b/>
                <w:bCs/>
                <w:snapToGrid w:val="0"/>
                <w:kern w:val="0"/>
                <w:sz w:val="21"/>
                <w:szCs w:val="21"/>
              </w:rPr>
              <w:t>μg/m</w:t>
            </w:r>
            <w:r>
              <w:rPr>
                <w:rFonts w:hint="eastAsia"/>
                <w:b/>
                <w:bCs/>
                <w:snapToGrid w:val="0"/>
                <w:kern w:val="0"/>
                <w:sz w:val="21"/>
                <w:szCs w:val="21"/>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435"/>
              <w:gridCol w:w="1494"/>
              <w:gridCol w:w="1193"/>
              <w:gridCol w:w="961"/>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b/>
                      <w:snapToGrid w:val="0"/>
                      <w:szCs w:val="21"/>
                    </w:rPr>
                  </w:pPr>
                  <w:r>
                    <w:rPr>
                      <w:b/>
                      <w:snapToGrid w:val="0"/>
                      <w:szCs w:val="21"/>
                    </w:rPr>
                    <w:t>污染物</w:t>
                  </w:r>
                </w:p>
              </w:tc>
              <w:tc>
                <w:tcPr>
                  <w:tcW w:w="2456" w:type="dxa"/>
                  <w:vAlign w:val="center"/>
                </w:tcPr>
                <w:p>
                  <w:pPr>
                    <w:pStyle w:val="88"/>
                    <w:snapToGrid w:val="0"/>
                    <w:rPr>
                      <w:b/>
                      <w:snapToGrid w:val="0"/>
                      <w:szCs w:val="21"/>
                    </w:rPr>
                  </w:pPr>
                  <w:r>
                    <w:rPr>
                      <w:b/>
                      <w:snapToGrid w:val="0"/>
                      <w:szCs w:val="21"/>
                    </w:rPr>
                    <w:t>年评价指标</w:t>
                  </w:r>
                </w:p>
              </w:tc>
              <w:tc>
                <w:tcPr>
                  <w:tcW w:w="1500" w:type="dxa"/>
                  <w:vAlign w:val="center"/>
                </w:tcPr>
                <w:p>
                  <w:pPr>
                    <w:pStyle w:val="88"/>
                    <w:snapToGrid w:val="0"/>
                    <w:rPr>
                      <w:b/>
                      <w:snapToGrid w:val="0"/>
                      <w:szCs w:val="21"/>
                    </w:rPr>
                  </w:pPr>
                  <w:r>
                    <w:rPr>
                      <w:b/>
                      <w:snapToGrid w:val="0"/>
                      <w:szCs w:val="21"/>
                    </w:rPr>
                    <w:t>现状浓度/(μg/m</w:t>
                  </w:r>
                  <w:r>
                    <w:rPr>
                      <w:b/>
                      <w:snapToGrid w:val="0"/>
                      <w:szCs w:val="21"/>
                      <w:vertAlign w:val="superscript"/>
                    </w:rPr>
                    <w:t>3</w:t>
                  </w:r>
                  <w:r>
                    <w:rPr>
                      <w:b/>
                      <w:snapToGrid w:val="0"/>
                      <w:szCs w:val="21"/>
                    </w:rPr>
                    <w:t>)</w:t>
                  </w:r>
                </w:p>
              </w:tc>
              <w:tc>
                <w:tcPr>
                  <w:tcW w:w="1196" w:type="dxa"/>
                  <w:vAlign w:val="center"/>
                </w:tcPr>
                <w:p>
                  <w:pPr>
                    <w:pStyle w:val="88"/>
                    <w:snapToGrid w:val="0"/>
                    <w:rPr>
                      <w:b/>
                      <w:snapToGrid w:val="0"/>
                      <w:szCs w:val="21"/>
                    </w:rPr>
                  </w:pPr>
                  <w:r>
                    <w:rPr>
                      <w:b/>
                      <w:snapToGrid w:val="0"/>
                      <w:szCs w:val="21"/>
                    </w:rPr>
                    <w:t>标准值/(μg/m</w:t>
                  </w:r>
                  <w:r>
                    <w:rPr>
                      <w:b/>
                      <w:snapToGrid w:val="0"/>
                      <w:szCs w:val="21"/>
                      <w:vertAlign w:val="superscript"/>
                    </w:rPr>
                    <w:t>3</w:t>
                  </w:r>
                  <w:r>
                    <w:rPr>
                      <w:b/>
                      <w:snapToGrid w:val="0"/>
                      <w:szCs w:val="21"/>
                    </w:rPr>
                    <w:t>)</w:t>
                  </w:r>
                </w:p>
              </w:tc>
              <w:tc>
                <w:tcPr>
                  <w:tcW w:w="963" w:type="dxa"/>
                  <w:vAlign w:val="center"/>
                </w:tcPr>
                <w:p>
                  <w:pPr>
                    <w:pStyle w:val="88"/>
                    <w:snapToGrid w:val="0"/>
                    <w:rPr>
                      <w:b/>
                      <w:snapToGrid w:val="0"/>
                      <w:szCs w:val="21"/>
                    </w:rPr>
                  </w:pPr>
                  <w:r>
                    <w:rPr>
                      <w:b/>
                      <w:snapToGrid w:val="0"/>
                      <w:szCs w:val="21"/>
                    </w:rPr>
                    <w:t>占标率/%</w:t>
                  </w:r>
                </w:p>
              </w:tc>
              <w:tc>
                <w:tcPr>
                  <w:tcW w:w="1055" w:type="dxa"/>
                  <w:vAlign w:val="center"/>
                </w:tcPr>
                <w:p>
                  <w:pPr>
                    <w:pStyle w:val="88"/>
                    <w:snapToGrid w:val="0"/>
                    <w:rPr>
                      <w:b/>
                      <w:snapToGrid w:val="0"/>
                      <w:szCs w:val="21"/>
                    </w:rPr>
                  </w:pPr>
                  <w:r>
                    <w:rPr>
                      <w:b/>
                      <w:snapToGrid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PM</w:t>
                  </w:r>
                  <w:r>
                    <w:rPr>
                      <w:snapToGrid w:val="0"/>
                      <w:szCs w:val="21"/>
                      <w:vertAlign w:val="subscript"/>
                    </w:rPr>
                    <w:t>10</w:t>
                  </w:r>
                </w:p>
              </w:tc>
              <w:tc>
                <w:tcPr>
                  <w:tcW w:w="2456" w:type="dxa"/>
                  <w:vAlign w:val="center"/>
                </w:tcPr>
                <w:p>
                  <w:pPr>
                    <w:pStyle w:val="88"/>
                    <w:snapToGrid w:val="0"/>
                    <w:rPr>
                      <w:snapToGrid w:val="0"/>
                      <w:szCs w:val="21"/>
                    </w:rPr>
                  </w:pPr>
                  <w:r>
                    <w:rPr>
                      <w:snapToGrid w:val="0"/>
                      <w:szCs w:val="21"/>
                    </w:rPr>
                    <w:t>2021年平均质量浓度</w:t>
                  </w:r>
                </w:p>
              </w:tc>
              <w:tc>
                <w:tcPr>
                  <w:tcW w:w="1500" w:type="dxa"/>
                  <w:vAlign w:val="center"/>
                </w:tcPr>
                <w:p>
                  <w:pPr>
                    <w:pStyle w:val="88"/>
                    <w:snapToGrid w:val="0"/>
                    <w:rPr>
                      <w:snapToGrid w:val="0"/>
                      <w:szCs w:val="21"/>
                    </w:rPr>
                  </w:pPr>
                  <w:r>
                    <w:rPr>
                      <w:snapToGrid w:val="0"/>
                      <w:szCs w:val="21"/>
                    </w:rPr>
                    <w:t>56</w:t>
                  </w:r>
                </w:p>
              </w:tc>
              <w:tc>
                <w:tcPr>
                  <w:tcW w:w="1196" w:type="dxa"/>
                  <w:vAlign w:val="center"/>
                </w:tcPr>
                <w:p>
                  <w:pPr>
                    <w:pStyle w:val="88"/>
                    <w:snapToGrid w:val="0"/>
                    <w:rPr>
                      <w:snapToGrid w:val="0"/>
                      <w:szCs w:val="21"/>
                    </w:rPr>
                  </w:pPr>
                  <w:r>
                    <w:rPr>
                      <w:snapToGrid w:val="0"/>
                      <w:szCs w:val="21"/>
                    </w:rPr>
                    <w:t>70</w:t>
                  </w:r>
                </w:p>
              </w:tc>
              <w:tc>
                <w:tcPr>
                  <w:tcW w:w="963" w:type="dxa"/>
                  <w:vAlign w:val="center"/>
                </w:tcPr>
                <w:p>
                  <w:pPr>
                    <w:pStyle w:val="88"/>
                    <w:snapToGrid w:val="0"/>
                    <w:rPr>
                      <w:snapToGrid w:val="0"/>
                      <w:szCs w:val="21"/>
                    </w:rPr>
                  </w:pPr>
                  <w:r>
                    <w:rPr>
                      <w:rFonts w:hint="eastAsia"/>
                      <w:snapToGrid w:val="0"/>
                      <w:szCs w:val="21"/>
                    </w:rPr>
                    <w:t>80.0%</w:t>
                  </w:r>
                </w:p>
              </w:tc>
              <w:tc>
                <w:tcPr>
                  <w:tcW w:w="1055" w:type="dxa"/>
                  <w:vAlign w:val="center"/>
                </w:tcPr>
                <w:p>
                  <w:pPr>
                    <w:pStyle w:val="88"/>
                    <w:snapToGrid w:val="0"/>
                    <w:rPr>
                      <w:snapToGrid w:val="0"/>
                      <w:szCs w:val="21"/>
                    </w:rPr>
                  </w:pPr>
                  <w:r>
                    <w:rPr>
                      <w:snapToGrid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SO</w:t>
                  </w:r>
                  <w:r>
                    <w:rPr>
                      <w:snapToGrid w:val="0"/>
                      <w:szCs w:val="21"/>
                      <w:vertAlign w:val="subscript"/>
                    </w:rPr>
                    <w:t>2</w:t>
                  </w:r>
                </w:p>
              </w:tc>
              <w:tc>
                <w:tcPr>
                  <w:tcW w:w="2456" w:type="dxa"/>
                  <w:vAlign w:val="center"/>
                </w:tcPr>
                <w:p>
                  <w:pPr>
                    <w:pStyle w:val="88"/>
                    <w:snapToGrid w:val="0"/>
                    <w:rPr>
                      <w:snapToGrid w:val="0"/>
                      <w:szCs w:val="21"/>
                    </w:rPr>
                  </w:pPr>
                  <w:r>
                    <w:rPr>
                      <w:snapToGrid w:val="0"/>
                      <w:szCs w:val="21"/>
                    </w:rPr>
                    <w:t>2021年平均质量浓度</w:t>
                  </w:r>
                </w:p>
              </w:tc>
              <w:tc>
                <w:tcPr>
                  <w:tcW w:w="1500" w:type="dxa"/>
                  <w:vAlign w:val="center"/>
                </w:tcPr>
                <w:p>
                  <w:pPr>
                    <w:pStyle w:val="88"/>
                    <w:snapToGrid w:val="0"/>
                    <w:rPr>
                      <w:snapToGrid w:val="0"/>
                      <w:szCs w:val="21"/>
                    </w:rPr>
                  </w:pPr>
                  <w:r>
                    <w:rPr>
                      <w:snapToGrid w:val="0"/>
                      <w:szCs w:val="21"/>
                    </w:rPr>
                    <w:t>9</w:t>
                  </w:r>
                </w:p>
              </w:tc>
              <w:tc>
                <w:tcPr>
                  <w:tcW w:w="1196" w:type="dxa"/>
                  <w:vAlign w:val="center"/>
                </w:tcPr>
                <w:p>
                  <w:pPr>
                    <w:pStyle w:val="88"/>
                    <w:snapToGrid w:val="0"/>
                    <w:rPr>
                      <w:snapToGrid w:val="0"/>
                      <w:szCs w:val="21"/>
                    </w:rPr>
                  </w:pPr>
                  <w:r>
                    <w:rPr>
                      <w:snapToGrid w:val="0"/>
                      <w:szCs w:val="21"/>
                    </w:rPr>
                    <w:t>60</w:t>
                  </w:r>
                </w:p>
              </w:tc>
              <w:tc>
                <w:tcPr>
                  <w:tcW w:w="963" w:type="dxa"/>
                  <w:vAlign w:val="center"/>
                </w:tcPr>
                <w:p>
                  <w:pPr>
                    <w:pStyle w:val="88"/>
                    <w:snapToGrid w:val="0"/>
                    <w:rPr>
                      <w:snapToGrid w:val="0"/>
                      <w:szCs w:val="21"/>
                    </w:rPr>
                  </w:pPr>
                  <w:r>
                    <w:rPr>
                      <w:rFonts w:hint="eastAsia"/>
                      <w:snapToGrid w:val="0"/>
                      <w:szCs w:val="21"/>
                    </w:rPr>
                    <w:t>15.0%</w:t>
                  </w:r>
                </w:p>
              </w:tc>
              <w:tc>
                <w:tcPr>
                  <w:tcW w:w="1055" w:type="dxa"/>
                  <w:vAlign w:val="center"/>
                </w:tcPr>
                <w:p>
                  <w:pPr>
                    <w:pStyle w:val="88"/>
                    <w:snapToGrid w:val="0"/>
                    <w:rPr>
                      <w:snapToGrid w:val="0"/>
                      <w:szCs w:val="21"/>
                    </w:rPr>
                  </w:pPr>
                  <w:r>
                    <w:rPr>
                      <w:snapToGrid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NO</w:t>
                  </w:r>
                  <w:r>
                    <w:rPr>
                      <w:snapToGrid w:val="0"/>
                      <w:szCs w:val="21"/>
                      <w:vertAlign w:val="subscript"/>
                    </w:rPr>
                    <w:t>2</w:t>
                  </w:r>
                </w:p>
              </w:tc>
              <w:tc>
                <w:tcPr>
                  <w:tcW w:w="2456" w:type="dxa"/>
                  <w:vAlign w:val="center"/>
                </w:tcPr>
                <w:p>
                  <w:pPr>
                    <w:pStyle w:val="88"/>
                    <w:snapToGrid w:val="0"/>
                    <w:rPr>
                      <w:snapToGrid w:val="0"/>
                      <w:szCs w:val="21"/>
                    </w:rPr>
                  </w:pPr>
                  <w:r>
                    <w:rPr>
                      <w:snapToGrid w:val="0"/>
                      <w:szCs w:val="21"/>
                    </w:rPr>
                    <w:t>2021年平均质量浓度</w:t>
                  </w:r>
                </w:p>
              </w:tc>
              <w:tc>
                <w:tcPr>
                  <w:tcW w:w="1500" w:type="dxa"/>
                  <w:vAlign w:val="center"/>
                </w:tcPr>
                <w:p>
                  <w:pPr>
                    <w:pStyle w:val="88"/>
                    <w:snapToGrid w:val="0"/>
                    <w:rPr>
                      <w:snapToGrid w:val="0"/>
                      <w:szCs w:val="21"/>
                    </w:rPr>
                  </w:pPr>
                  <w:r>
                    <w:rPr>
                      <w:snapToGrid w:val="0"/>
                      <w:szCs w:val="21"/>
                    </w:rPr>
                    <w:t>33</w:t>
                  </w:r>
                </w:p>
              </w:tc>
              <w:tc>
                <w:tcPr>
                  <w:tcW w:w="1196" w:type="dxa"/>
                  <w:vAlign w:val="center"/>
                </w:tcPr>
                <w:p>
                  <w:pPr>
                    <w:pStyle w:val="88"/>
                    <w:snapToGrid w:val="0"/>
                    <w:rPr>
                      <w:snapToGrid w:val="0"/>
                      <w:szCs w:val="21"/>
                    </w:rPr>
                  </w:pPr>
                  <w:r>
                    <w:rPr>
                      <w:snapToGrid w:val="0"/>
                      <w:szCs w:val="21"/>
                    </w:rPr>
                    <w:t>40</w:t>
                  </w:r>
                </w:p>
              </w:tc>
              <w:tc>
                <w:tcPr>
                  <w:tcW w:w="963" w:type="dxa"/>
                  <w:vAlign w:val="center"/>
                </w:tcPr>
                <w:p>
                  <w:pPr>
                    <w:pStyle w:val="88"/>
                    <w:snapToGrid w:val="0"/>
                    <w:rPr>
                      <w:snapToGrid w:val="0"/>
                      <w:szCs w:val="21"/>
                    </w:rPr>
                  </w:pPr>
                  <w:r>
                    <w:rPr>
                      <w:rFonts w:hint="eastAsia"/>
                      <w:snapToGrid w:val="0"/>
                      <w:szCs w:val="21"/>
                    </w:rPr>
                    <w:t>82.5%</w:t>
                  </w:r>
                </w:p>
              </w:tc>
              <w:tc>
                <w:tcPr>
                  <w:tcW w:w="1055" w:type="dxa"/>
                  <w:vAlign w:val="center"/>
                </w:tcPr>
                <w:p>
                  <w:pPr>
                    <w:pStyle w:val="88"/>
                    <w:snapToGrid w:val="0"/>
                    <w:rPr>
                      <w:snapToGrid w:val="0"/>
                      <w:szCs w:val="21"/>
                    </w:rPr>
                  </w:pPr>
                  <w:r>
                    <w:rPr>
                      <w:snapToGrid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PM</w:t>
                  </w:r>
                  <w:r>
                    <w:rPr>
                      <w:snapToGrid w:val="0"/>
                      <w:szCs w:val="21"/>
                      <w:vertAlign w:val="subscript"/>
                    </w:rPr>
                    <w:t>2.5</w:t>
                  </w:r>
                </w:p>
              </w:tc>
              <w:tc>
                <w:tcPr>
                  <w:tcW w:w="2456" w:type="dxa"/>
                  <w:vAlign w:val="center"/>
                </w:tcPr>
                <w:p>
                  <w:pPr>
                    <w:pStyle w:val="88"/>
                    <w:snapToGrid w:val="0"/>
                    <w:rPr>
                      <w:snapToGrid w:val="0"/>
                      <w:szCs w:val="21"/>
                    </w:rPr>
                  </w:pPr>
                  <w:r>
                    <w:rPr>
                      <w:snapToGrid w:val="0"/>
                      <w:szCs w:val="21"/>
                    </w:rPr>
                    <w:t>2021年平均质量浓度</w:t>
                  </w:r>
                </w:p>
              </w:tc>
              <w:tc>
                <w:tcPr>
                  <w:tcW w:w="1500" w:type="dxa"/>
                  <w:vAlign w:val="center"/>
                </w:tcPr>
                <w:p>
                  <w:pPr>
                    <w:pStyle w:val="88"/>
                    <w:snapToGrid w:val="0"/>
                    <w:rPr>
                      <w:snapToGrid w:val="0"/>
                      <w:szCs w:val="21"/>
                    </w:rPr>
                  </w:pPr>
                  <w:r>
                    <w:rPr>
                      <w:snapToGrid w:val="0"/>
                      <w:szCs w:val="21"/>
                    </w:rPr>
                    <w:t>31</w:t>
                  </w:r>
                </w:p>
              </w:tc>
              <w:tc>
                <w:tcPr>
                  <w:tcW w:w="1196" w:type="dxa"/>
                  <w:vAlign w:val="center"/>
                </w:tcPr>
                <w:p>
                  <w:pPr>
                    <w:pStyle w:val="88"/>
                    <w:snapToGrid w:val="0"/>
                    <w:rPr>
                      <w:snapToGrid w:val="0"/>
                      <w:szCs w:val="21"/>
                    </w:rPr>
                  </w:pPr>
                  <w:r>
                    <w:rPr>
                      <w:snapToGrid w:val="0"/>
                      <w:szCs w:val="21"/>
                    </w:rPr>
                    <w:t>35</w:t>
                  </w:r>
                </w:p>
              </w:tc>
              <w:tc>
                <w:tcPr>
                  <w:tcW w:w="963" w:type="dxa"/>
                  <w:vAlign w:val="center"/>
                </w:tcPr>
                <w:p>
                  <w:pPr>
                    <w:pStyle w:val="88"/>
                    <w:snapToGrid w:val="0"/>
                    <w:rPr>
                      <w:snapToGrid w:val="0"/>
                      <w:szCs w:val="21"/>
                    </w:rPr>
                  </w:pPr>
                  <w:r>
                    <w:rPr>
                      <w:rFonts w:hint="eastAsia"/>
                      <w:snapToGrid w:val="0"/>
                      <w:szCs w:val="21"/>
                    </w:rPr>
                    <w:t>88.6%</w:t>
                  </w:r>
                </w:p>
              </w:tc>
              <w:tc>
                <w:tcPr>
                  <w:tcW w:w="1055" w:type="dxa"/>
                  <w:vAlign w:val="center"/>
                </w:tcPr>
                <w:p>
                  <w:pPr>
                    <w:pStyle w:val="88"/>
                    <w:snapToGrid w:val="0"/>
                    <w:rPr>
                      <w:snapToGrid w:val="0"/>
                      <w:szCs w:val="21"/>
                    </w:rPr>
                  </w:pPr>
                  <w:r>
                    <w:rPr>
                      <w:snapToGrid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O</w:t>
                  </w:r>
                  <w:r>
                    <w:rPr>
                      <w:snapToGrid w:val="0"/>
                      <w:szCs w:val="21"/>
                      <w:vertAlign w:val="subscript"/>
                    </w:rPr>
                    <w:t>3</w:t>
                  </w:r>
                </w:p>
              </w:tc>
              <w:tc>
                <w:tcPr>
                  <w:tcW w:w="2456" w:type="dxa"/>
                  <w:vAlign w:val="center"/>
                </w:tcPr>
                <w:p>
                  <w:pPr>
                    <w:pStyle w:val="88"/>
                    <w:snapToGrid w:val="0"/>
                    <w:rPr>
                      <w:snapToGrid w:val="0"/>
                      <w:szCs w:val="21"/>
                    </w:rPr>
                  </w:pPr>
                  <w:r>
                    <w:rPr>
                      <w:snapToGrid w:val="0"/>
                      <w:szCs w:val="21"/>
                    </w:rPr>
                    <w:t>2021年最大8小时平均浓度的第90百分位数</w:t>
                  </w:r>
                </w:p>
              </w:tc>
              <w:tc>
                <w:tcPr>
                  <w:tcW w:w="1500" w:type="dxa"/>
                  <w:vAlign w:val="center"/>
                </w:tcPr>
                <w:p>
                  <w:pPr>
                    <w:pStyle w:val="88"/>
                    <w:snapToGrid w:val="0"/>
                    <w:rPr>
                      <w:snapToGrid w:val="0"/>
                      <w:szCs w:val="21"/>
                    </w:rPr>
                  </w:pPr>
                  <w:r>
                    <w:rPr>
                      <w:snapToGrid w:val="0"/>
                      <w:szCs w:val="21"/>
                    </w:rPr>
                    <w:t>124</w:t>
                  </w:r>
                </w:p>
              </w:tc>
              <w:tc>
                <w:tcPr>
                  <w:tcW w:w="1196" w:type="dxa"/>
                  <w:vAlign w:val="center"/>
                </w:tcPr>
                <w:p>
                  <w:pPr>
                    <w:pStyle w:val="88"/>
                    <w:snapToGrid w:val="0"/>
                    <w:rPr>
                      <w:snapToGrid w:val="0"/>
                      <w:szCs w:val="21"/>
                    </w:rPr>
                  </w:pPr>
                  <w:r>
                    <w:rPr>
                      <w:snapToGrid w:val="0"/>
                      <w:szCs w:val="21"/>
                    </w:rPr>
                    <w:t>160</w:t>
                  </w:r>
                </w:p>
              </w:tc>
              <w:tc>
                <w:tcPr>
                  <w:tcW w:w="963" w:type="dxa"/>
                  <w:vAlign w:val="center"/>
                </w:tcPr>
                <w:p>
                  <w:pPr>
                    <w:pStyle w:val="88"/>
                    <w:snapToGrid w:val="0"/>
                    <w:rPr>
                      <w:snapToGrid w:val="0"/>
                      <w:szCs w:val="21"/>
                    </w:rPr>
                  </w:pPr>
                  <w:r>
                    <w:rPr>
                      <w:rFonts w:hint="eastAsia"/>
                      <w:snapToGrid w:val="0"/>
                      <w:szCs w:val="21"/>
                    </w:rPr>
                    <w:t>77.5%</w:t>
                  </w:r>
                </w:p>
              </w:tc>
              <w:tc>
                <w:tcPr>
                  <w:tcW w:w="1055" w:type="dxa"/>
                  <w:vAlign w:val="center"/>
                </w:tcPr>
                <w:p>
                  <w:pPr>
                    <w:pStyle w:val="88"/>
                    <w:snapToGrid w:val="0"/>
                    <w:rPr>
                      <w:snapToGrid w:val="0"/>
                      <w:szCs w:val="21"/>
                    </w:rPr>
                  </w:pPr>
                  <w:r>
                    <w:rPr>
                      <w:snapToGrid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vAlign w:val="center"/>
                </w:tcPr>
                <w:p>
                  <w:pPr>
                    <w:pStyle w:val="88"/>
                    <w:snapToGrid w:val="0"/>
                    <w:rPr>
                      <w:snapToGrid w:val="0"/>
                      <w:szCs w:val="21"/>
                    </w:rPr>
                  </w:pPr>
                  <w:r>
                    <w:rPr>
                      <w:snapToGrid w:val="0"/>
                      <w:szCs w:val="21"/>
                    </w:rPr>
                    <w:t>CO</w:t>
                  </w:r>
                  <w:r>
                    <w:rPr>
                      <w:rStyle w:val="63"/>
                      <w:rFonts w:hint="default"/>
                      <w:color w:val="auto"/>
                      <w:sz w:val="21"/>
                      <w:szCs w:val="21"/>
                    </w:rPr>
                    <w:t>（mg/m</w:t>
                  </w:r>
                  <w:r>
                    <w:rPr>
                      <w:rStyle w:val="63"/>
                      <w:rFonts w:hint="default"/>
                      <w:color w:val="auto"/>
                      <w:sz w:val="21"/>
                      <w:szCs w:val="21"/>
                      <w:vertAlign w:val="superscript"/>
                    </w:rPr>
                    <w:t>3</w:t>
                  </w:r>
                  <w:r>
                    <w:rPr>
                      <w:rStyle w:val="63"/>
                      <w:rFonts w:hint="default"/>
                      <w:color w:val="auto"/>
                      <w:sz w:val="21"/>
                      <w:szCs w:val="21"/>
                    </w:rPr>
                    <w:t>）</w:t>
                  </w:r>
                </w:p>
              </w:tc>
              <w:tc>
                <w:tcPr>
                  <w:tcW w:w="2456" w:type="dxa"/>
                  <w:vAlign w:val="center"/>
                </w:tcPr>
                <w:p>
                  <w:pPr>
                    <w:pStyle w:val="88"/>
                    <w:snapToGrid w:val="0"/>
                    <w:rPr>
                      <w:snapToGrid w:val="0"/>
                      <w:szCs w:val="21"/>
                    </w:rPr>
                  </w:pPr>
                  <w:r>
                    <w:rPr>
                      <w:snapToGrid w:val="0"/>
                      <w:szCs w:val="21"/>
                    </w:rPr>
                    <w:t>2021年24小时平均浓度的第95百分位数</w:t>
                  </w:r>
                </w:p>
              </w:tc>
              <w:tc>
                <w:tcPr>
                  <w:tcW w:w="1500" w:type="dxa"/>
                  <w:vAlign w:val="center"/>
                </w:tcPr>
                <w:p>
                  <w:pPr>
                    <w:pStyle w:val="88"/>
                    <w:snapToGrid w:val="0"/>
                    <w:rPr>
                      <w:snapToGrid w:val="0"/>
                      <w:szCs w:val="21"/>
                    </w:rPr>
                  </w:pPr>
                  <w:r>
                    <w:rPr>
                      <w:snapToGrid w:val="0"/>
                      <w:szCs w:val="21"/>
                    </w:rPr>
                    <w:t>1.4</w:t>
                  </w:r>
                </w:p>
              </w:tc>
              <w:tc>
                <w:tcPr>
                  <w:tcW w:w="1196" w:type="dxa"/>
                  <w:vAlign w:val="center"/>
                </w:tcPr>
                <w:p>
                  <w:pPr>
                    <w:pStyle w:val="88"/>
                    <w:snapToGrid w:val="0"/>
                    <w:rPr>
                      <w:snapToGrid w:val="0"/>
                      <w:szCs w:val="21"/>
                    </w:rPr>
                  </w:pPr>
                  <w:r>
                    <w:rPr>
                      <w:snapToGrid w:val="0"/>
                      <w:szCs w:val="21"/>
                    </w:rPr>
                    <w:t>4</w:t>
                  </w:r>
                </w:p>
              </w:tc>
              <w:tc>
                <w:tcPr>
                  <w:tcW w:w="963" w:type="dxa"/>
                  <w:vAlign w:val="center"/>
                </w:tcPr>
                <w:p>
                  <w:pPr>
                    <w:pStyle w:val="88"/>
                    <w:snapToGrid w:val="0"/>
                    <w:rPr>
                      <w:snapToGrid w:val="0"/>
                      <w:szCs w:val="21"/>
                    </w:rPr>
                  </w:pPr>
                  <w:r>
                    <w:rPr>
                      <w:rFonts w:hint="eastAsia"/>
                      <w:snapToGrid w:val="0"/>
                      <w:szCs w:val="21"/>
                    </w:rPr>
                    <w:t>35.0%</w:t>
                  </w:r>
                </w:p>
              </w:tc>
              <w:tc>
                <w:tcPr>
                  <w:tcW w:w="1055" w:type="dxa"/>
                  <w:vAlign w:val="center"/>
                </w:tcPr>
                <w:p>
                  <w:pPr>
                    <w:pStyle w:val="88"/>
                    <w:snapToGrid w:val="0"/>
                    <w:rPr>
                      <w:snapToGrid w:val="0"/>
                      <w:szCs w:val="21"/>
                    </w:rPr>
                  </w:pPr>
                  <w:r>
                    <w:rPr>
                      <w:snapToGrid w:val="0"/>
                      <w:szCs w:val="21"/>
                    </w:rPr>
                    <w:t>达标</w:t>
                  </w:r>
                </w:p>
              </w:tc>
            </w:tr>
          </w:tbl>
          <w:p>
            <w:pPr>
              <w:adjustRightInd w:val="0"/>
              <w:snapToGrid w:val="0"/>
              <w:ind w:firstLine="420"/>
              <w:rPr>
                <w:rFonts w:hAnsi="宋体"/>
                <w:snapToGrid w:val="0"/>
                <w:kern w:val="0"/>
                <w:sz w:val="21"/>
                <w:szCs w:val="21"/>
              </w:rPr>
            </w:pPr>
            <w:r>
              <w:rPr>
                <w:rFonts w:hint="eastAsia"/>
                <w:snapToGrid w:val="0"/>
                <w:kern w:val="0"/>
                <w:sz w:val="21"/>
                <w:szCs w:val="21"/>
              </w:rPr>
              <w:t>根据表3-2可知，区域环境空气质量现状平均值M</w:t>
            </w:r>
            <w:r>
              <w:rPr>
                <w:snapToGrid w:val="0"/>
                <w:kern w:val="0"/>
                <w:sz w:val="21"/>
                <w:szCs w:val="21"/>
                <w:vertAlign w:val="subscript"/>
              </w:rPr>
              <w:t>2.5</w:t>
            </w:r>
            <w:r>
              <w:rPr>
                <w:snapToGrid w:val="0"/>
                <w:kern w:val="0"/>
                <w:sz w:val="21"/>
                <w:szCs w:val="21"/>
              </w:rPr>
              <w:t>、</w:t>
            </w:r>
            <w:r>
              <w:rPr>
                <w:rFonts w:hint="eastAsia"/>
                <w:snapToGrid w:val="0"/>
                <w:kern w:val="0"/>
                <w:sz w:val="21"/>
                <w:szCs w:val="21"/>
              </w:rPr>
              <w:t>PM</w:t>
            </w:r>
            <w:r>
              <w:rPr>
                <w:snapToGrid w:val="0"/>
                <w:kern w:val="0"/>
                <w:sz w:val="21"/>
                <w:szCs w:val="21"/>
                <w:vertAlign w:val="subscript"/>
              </w:rPr>
              <w:t>10</w:t>
            </w:r>
            <w:r>
              <w:rPr>
                <w:rFonts w:hint="eastAsia"/>
                <w:snapToGrid w:val="0"/>
                <w:kern w:val="0"/>
                <w:sz w:val="21"/>
                <w:szCs w:val="21"/>
              </w:rPr>
              <w:t>、SO</w:t>
            </w:r>
            <w:r>
              <w:rPr>
                <w:rFonts w:hint="eastAsia"/>
                <w:snapToGrid w:val="0"/>
                <w:kern w:val="0"/>
                <w:sz w:val="21"/>
                <w:szCs w:val="21"/>
                <w:vertAlign w:val="subscript"/>
              </w:rPr>
              <w:t>2</w:t>
            </w:r>
            <w:r>
              <w:rPr>
                <w:rFonts w:hint="eastAsia"/>
                <w:snapToGrid w:val="0"/>
                <w:kern w:val="0"/>
                <w:sz w:val="21"/>
                <w:szCs w:val="21"/>
              </w:rPr>
              <w:t>、NO</w:t>
            </w:r>
            <w:r>
              <w:rPr>
                <w:snapToGrid w:val="0"/>
                <w:kern w:val="0"/>
                <w:sz w:val="21"/>
                <w:szCs w:val="21"/>
                <w:vertAlign w:val="subscript"/>
              </w:rPr>
              <w:t>2</w:t>
            </w:r>
            <w:r>
              <w:rPr>
                <w:rFonts w:hint="eastAsia"/>
                <w:snapToGrid w:val="0"/>
                <w:kern w:val="0"/>
                <w:sz w:val="21"/>
                <w:szCs w:val="21"/>
              </w:rPr>
              <w:t>年均浓度值、CO日均值、</w:t>
            </w:r>
            <w:r>
              <w:rPr>
                <w:snapToGrid w:val="0"/>
                <w:sz w:val="21"/>
                <w:szCs w:val="21"/>
              </w:rPr>
              <w:t>O</w:t>
            </w:r>
            <w:r>
              <w:rPr>
                <w:snapToGrid w:val="0"/>
                <w:sz w:val="21"/>
                <w:szCs w:val="21"/>
                <w:vertAlign w:val="subscript"/>
              </w:rPr>
              <w:t>3</w:t>
            </w:r>
            <w:r>
              <w:rPr>
                <w:rFonts w:hint="eastAsia"/>
                <w:snapToGrid w:val="0"/>
                <w:kern w:val="0"/>
                <w:sz w:val="21"/>
                <w:szCs w:val="21"/>
              </w:rPr>
              <w:t>日最大8小时浓度值满足《环境空气质量标准》(GB3095-2012)中二级标准限值要求，因此，项目区域环境空气质量为达标区。</w:t>
            </w:r>
          </w:p>
          <w:p>
            <w:pPr>
              <w:adjustRightInd w:val="0"/>
              <w:snapToGrid w:val="0"/>
              <w:ind w:firstLine="422"/>
              <w:rPr>
                <w:rFonts w:hAnsi="宋体"/>
                <w:b/>
                <w:snapToGrid w:val="0"/>
                <w:kern w:val="0"/>
                <w:sz w:val="21"/>
                <w:szCs w:val="21"/>
              </w:rPr>
            </w:pPr>
            <w:r>
              <w:rPr>
                <w:rFonts w:hint="eastAsia" w:hAnsi="宋体"/>
                <w:b/>
                <w:snapToGrid w:val="0"/>
                <w:kern w:val="0"/>
                <w:sz w:val="21"/>
                <w:szCs w:val="21"/>
              </w:rPr>
              <w:t>（</w:t>
            </w:r>
            <w:r>
              <w:rPr>
                <w:rFonts w:hAnsi="宋体"/>
                <w:b/>
                <w:snapToGrid w:val="0"/>
                <w:kern w:val="0"/>
                <w:sz w:val="21"/>
                <w:szCs w:val="21"/>
              </w:rPr>
              <w:t>3</w:t>
            </w:r>
            <w:r>
              <w:rPr>
                <w:rFonts w:hint="eastAsia" w:hAnsi="宋体"/>
                <w:b/>
                <w:snapToGrid w:val="0"/>
                <w:kern w:val="0"/>
                <w:sz w:val="21"/>
                <w:szCs w:val="21"/>
              </w:rPr>
              <w:t>）评价范围内其他污染物环境质量现状</w:t>
            </w:r>
          </w:p>
          <w:p>
            <w:pPr>
              <w:adjustRightInd w:val="0"/>
              <w:snapToGrid w:val="0"/>
              <w:ind w:firstLine="420"/>
              <w:rPr>
                <w:rFonts w:hAnsi="宋体"/>
                <w:snapToGrid w:val="0"/>
                <w:kern w:val="0"/>
                <w:sz w:val="21"/>
                <w:szCs w:val="21"/>
              </w:rPr>
            </w:pPr>
            <w:r>
              <w:rPr>
                <w:rFonts w:hint="eastAsia" w:hAnsi="宋体"/>
                <w:snapToGrid w:val="0"/>
                <w:kern w:val="0"/>
                <w:sz w:val="21"/>
                <w:szCs w:val="21"/>
              </w:rPr>
              <w:t>本次评价委托四川省工业环境监测研究院于2</w:t>
            </w:r>
            <w:r>
              <w:rPr>
                <w:rFonts w:hAnsi="宋体"/>
                <w:snapToGrid w:val="0"/>
                <w:kern w:val="0"/>
                <w:sz w:val="21"/>
                <w:szCs w:val="21"/>
              </w:rPr>
              <w:t>024年2</w:t>
            </w:r>
            <w:r>
              <w:rPr>
                <w:rFonts w:hint="eastAsia" w:hAnsi="宋体"/>
                <w:snapToGrid w:val="0"/>
                <w:kern w:val="0"/>
                <w:sz w:val="21"/>
                <w:szCs w:val="21"/>
              </w:rPr>
              <w:t>月</w:t>
            </w:r>
            <w:r>
              <w:rPr>
                <w:rFonts w:hAnsi="宋体"/>
                <w:snapToGrid w:val="0"/>
                <w:kern w:val="0"/>
                <w:sz w:val="21"/>
                <w:szCs w:val="21"/>
              </w:rPr>
              <w:t>27日</w:t>
            </w:r>
            <w:r>
              <w:rPr>
                <w:rFonts w:hint="eastAsia" w:hAnsi="宋体"/>
                <w:snapToGrid w:val="0"/>
                <w:kern w:val="0"/>
                <w:sz w:val="21"/>
                <w:szCs w:val="21"/>
              </w:rPr>
              <w:t>~</w:t>
            </w:r>
            <w:r>
              <w:rPr>
                <w:rFonts w:hAnsi="宋体"/>
                <w:snapToGrid w:val="0"/>
                <w:kern w:val="0"/>
                <w:sz w:val="21"/>
                <w:szCs w:val="21"/>
              </w:rPr>
              <w:t>3月</w:t>
            </w:r>
            <w:r>
              <w:rPr>
                <w:rFonts w:hint="eastAsia" w:hAnsi="宋体"/>
                <w:snapToGrid w:val="0"/>
                <w:kern w:val="0"/>
                <w:sz w:val="21"/>
                <w:szCs w:val="21"/>
              </w:rPr>
              <w:t>1</w:t>
            </w:r>
            <w:r>
              <w:rPr>
                <w:rFonts w:hAnsi="宋体"/>
                <w:snapToGrid w:val="0"/>
                <w:kern w:val="0"/>
                <w:sz w:val="21"/>
                <w:szCs w:val="21"/>
              </w:rPr>
              <w:t>日对项目所在地</w:t>
            </w:r>
            <w:r>
              <w:rPr>
                <w:rFonts w:hint="eastAsia" w:hAnsi="宋体"/>
                <w:snapToGrid w:val="0"/>
                <w:kern w:val="0"/>
                <w:sz w:val="21"/>
                <w:szCs w:val="21"/>
              </w:rPr>
              <w:t>大气环境质量进行了补充监测。具体监测方案如下。</w:t>
            </w:r>
          </w:p>
          <w:p>
            <w:pPr>
              <w:adjustRightInd w:val="0"/>
              <w:snapToGrid w:val="0"/>
              <w:ind w:firstLine="420"/>
              <w:rPr>
                <w:rFonts w:hAnsi="宋体"/>
                <w:snapToGrid w:val="0"/>
                <w:kern w:val="0"/>
                <w:sz w:val="21"/>
                <w:szCs w:val="21"/>
              </w:rPr>
            </w:pPr>
            <w:r>
              <w:rPr>
                <w:rFonts w:hint="eastAsia" w:hAnsi="宋体"/>
                <w:snapToGrid w:val="0"/>
                <w:kern w:val="0"/>
                <w:sz w:val="21"/>
                <w:szCs w:val="21"/>
              </w:rPr>
              <w:t>①监测方案</w:t>
            </w:r>
          </w:p>
          <w:p>
            <w:pPr>
              <w:adjustRightInd w:val="0"/>
              <w:snapToGrid w:val="0"/>
              <w:ind w:firstLine="420"/>
              <w:rPr>
                <w:rFonts w:hAnsi="宋体"/>
                <w:snapToGrid w:val="0"/>
                <w:kern w:val="0"/>
                <w:sz w:val="21"/>
                <w:szCs w:val="21"/>
              </w:rPr>
            </w:pPr>
            <w:r>
              <w:rPr>
                <w:rFonts w:hint="eastAsia" w:hAnsi="宋体"/>
                <w:snapToGrid w:val="0"/>
                <w:kern w:val="0"/>
                <w:sz w:val="21"/>
                <w:szCs w:val="21"/>
              </w:rPr>
              <w:t>监测布点：项目井口</w:t>
            </w:r>
            <w:r>
              <w:rPr>
                <w:rFonts w:hAnsi="宋体"/>
                <w:snapToGrid w:val="0"/>
                <w:kern w:val="0"/>
                <w:sz w:val="21"/>
                <w:szCs w:val="21"/>
              </w:rPr>
              <w:t>处</w:t>
            </w:r>
            <w:r>
              <w:rPr>
                <w:rFonts w:hint="eastAsia" w:hAnsi="宋体"/>
                <w:snapToGrid w:val="0"/>
                <w:kern w:val="0"/>
                <w:sz w:val="21"/>
                <w:szCs w:val="21"/>
              </w:rPr>
              <w:t>；</w:t>
            </w:r>
          </w:p>
          <w:p>
            <w:pPr>
              <w:adjustRightInd w:val="0"/>
              <w:snapToGrid w:val="0"/>
              <w:ind w:firstLine="420"/>
              <w:rPr>
                <w:rFonts w:hAnsi="宋体"/>
                <w:snapToGrid w:val="0"/>
                <w:kern w:val="0"/>
                <w:sz w:val="21"/>
                <w:szCs w:val="21"/>
              </w:rPr>
            </w:pPr>
            <w:r>
              <w:rPr>
                <w:rFonts w:hint="eastAsia" w:hAnsi="宋体"/>
                <w:snapToGrid w:val="0"/>
                <w:kern w:val="0"/>
                <w:sz w:val="21"/>
                <w:szCs w:val="21"/>
              </w:rPr>
              <w:t>监测因子：H</w:t>
            </w:r>
            <w:r>
              <w:rPr>
                <w:rFonts w:hint="eastAsia" w:hAnsi="宋体"/>
                <w:snapToGrid w:val="0"/>
                <w:kern w:val="0"/>
                <w:sz w:val="21"/>
                <w:szCs w:val="21"/>
                <w:vertAlign w:val="subscript"/>
              </w:rPr>
              <w:t>2</w:t>
            </w:r>
            <w:r>
              <w:rPr>
                <w:rFonts w:hint="eastAsia" w:hAnsi="宋体"/>
                <w:snapToGrid w:val="0"/>
                <w:kern w:val="0"/>
                <w:sz w:val="21"/>
                <w:szCs w:val="21"/>
              </w:rPr>
              <w:t>S、非甲烷总烃、T</w:t>
            </w:r>
            <w:r>
              <w:rPr>
                <w:rFonts w:hAnsi="宋体"/>
                <w:snapToGrid w:val="0"/>
                <w:kern w:val="0"/>
                <w:sz w:val="21"/>
                <w:szCs w:val="21"/>
              </w:rPr>
              <w:t>SP</w:t>
            </w:r>
            <w:r>
              <w:rPr>
                <w:rFonts w:hint="eastAsia" w:hAnsi="宋体"/>
                <w:snapToGrid w:val="0"/>
                <w:kern w:val="0"/>
                <w:sz w:val="21"/>
                <w:szCs w:val="21"/>
              </w:rPr>
              <w:t>；</w:t>
            </w:r>
          </w:p>
          <w:p>
            <w:pPr>
              <w:adjustRightInd w:val="0"/>
              <w:snapToGrid w:val="0"/>
              <w:ind w:firstLine="420"/>
              <w:rPr>
                <w:rFonts w:hAnsi="宋体"/>
                <w:snapToGrid w:val="0"/>
                <w:kern w:val="0"/>
                <w:sz w:val="21"/>
                <w:szCs w:val="21"/>
              </w:rPr>
            </w:pPr>
            <w:r>
              <w:rPr>
                <w:rFonts w:hint="eastAsia" w:hAnsi="宋体"/>
                <w:snapToGrid w:val="0"/>
                <w:kern w:val="0"/>
                <w:sz w:val="21"/>
                <w:szCs w:val="21"/>
              </w:rPr>
              <w:t>监测时间与频率：监测时间为2</w:t>
            </w:r>
            <w:r>
              <w:rPr>
                <w:rFonts w:hAnsi="宋体"/>
                <w:snapToGrid w:val="0"/>
                <w:kern w:val="0"/>
                <w:sz w:val="21"/>
                <w:szCs w:val="21"/>
              </w:rPr>
              <w:t>024年2</w:t>
            </w:r>
            <w:r>
              <w:rPr>
                <w:rFonts w:hint="eastAsia" w:hAnsi="宋体"/>
                <w:snapToGrid w:val="0"/>
                <w:kern w:val="0"/>
                <w:sz w:val="21"/>
                <w:szCs w:val="21"/>
              </w:rPr>
              <w:t>月</w:t>
            </w:r>
            <w:r>
              <w:rPr>
                <w:rFonts w:hAnsi="宋体"/>
                <w:snapToGrid w:val="0"/>
                <w:kern w:val="0"/>
                <w:sz w:val="21"/>
                <w:szCs w:val="21"/>
              </w:rPr>
              <w:t>27日</w:t>
            </w:r>
            <w:r>
              <w:rPr>
                <w:rFonts w:hint="eastAsia" w:hAnsi="宋体"/>
                <w:snapToGrid w:val="0"/>
                <w:kern w:val="0"/>
                <w:sz w:val="21"/>
                <w:szCs w:val="21"/>
              </w:rPr>
              <w:t>~</w:t>
            </w:r>
            <w:r>
              <w:rPr>
                <w:rFonts w:hAnsi="宋体"/>
                <w:snapToGrid w:val="0"/>
                <w:kern w:val="0"/>
                <w:sz w:val="21"/>
                <w:szCs w:val="21"/>
              </w:rPr>
              <w:t>3月</w:t>
            </w:r>
            <w:r>
              <w:rPr>
                <w:rFonts w:hint="eastAsia" w:hAnsi="宋体"/>
                <w:snapToGrid w:val="0"/>
                <w:kern w:val="0"/>
                <w:sz w:val="21"/>
                <w:szCs w:val="21"/>
              </w:rPr>
              <w:t>1</w:t>
            </w:r>
            <w:r>
              <w:rPr>
                <w:rFonts w:hAnsi="宋体"/>
                <w:snapToGrid w:val="0"/>
                <w:kern w:val="0"/>
                <w:sz w:val="21"/>
                <w:szCs w:val="21"/>
              </w:rPr>
              <w:t>日</w:t>
            </w:r>
            <w:r>
              <w:rPr>
                <w:rFonts w:hint="eastAsia" w:hAnsi="宋体"/>
                <w:snapToGrid w:val="0"/>
                <w:kern w:val="0"/>
                <w:sz w:val="21"/>
                <w:szCs w:val="21"/>
              </w:rPr>
              <w:t>，连续监测3天，H</w:t>
            </w:r>
            <w:r>
              <w:rPr>
                <w:rFonts w:hint="eastAsia" w:hAnsi="宋体"/>
                <w:snapToGrid w:val="0"/>
                <w:kern w:val="0"/>
                <w:sz w:val="21"/>
                <w:szCs w:val="21"/>
                <w:vertAlign w:val="subscript"/>
              </w:rPr>
              <w:t>2</w:t>
            </w:r>
            <w:r>
              <w:rPr>
                <w:rFonts w:hint="eastAsia" w:hAnsi="宋体"/>
                <w:snapToGrid w:val="0"/>
                <w:kern w:val="0"/>
                <w:sz w:val="21"/>
                <w:szCs w:val="21"/>
              </w:rPr>
              <w:t>S、非甲烷总烃监测4次小时值，T</w:t>
            </w:r>
            <w:r>
              <w:rPr>
                <w:rFonts w:hAnsi="宋体"/>
                <w:snapToGrid w:val="0"/>
                <w:kern w:val="0"/>
                <w:sz w:val="21"/>
                <w:szCs w:val="21"/>
              </w:rPr>
              <w:t>SP监测日均值</w:t>
            </w:r>
            <w:r>
              <w:rPr>
                <w:rFonts w:hint="eastAsia" w:hAnsi="宋体"/>
                <w:snapToGrid w:val="0"/>
                <w:kern w:val="0"/>
                <w:sz w:val="21"/>
                <w:szCs w:val="21"/>
              </w:rPr>
              <w:t>。</w:t>
            </w:r>
          </w:p>
          <w:p>
            <w:pPr>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表3-2   评价范围内污染物监测点位基本信息</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789"/>
              <w:gridCol w:w="789"/>
              <w:gridCol w:w="1377"/>
              <w:gridCol w:w="2245"/>
              <w:gridCol w:w="92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pct"/>
                  <w:vMerge w:val="restart"/>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监测点名称</w:t>
                  </w:r>
                </w:p>
              </w:tc>
              <w:tc>
                <w:tcPr>
                  <w:tcW w:w="928" w:type="pct"/>
                  <w:gridSpan w:val="2"/>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监测点坐标</w:t>
                  </w:r>
                  <w:r>
                    <w:rPr>
                      <w:b/>
                      <w:bCs/>
                      <w:snapToGrid w:val="0"/>
                      <w:kern w:val="0"/>
                      <w:sz w:val="21"/>
                      <w:szCs w:val="21"/>
                    </w:rPr>
                    <w:t>/m</w:t>
                  </w:r>
                </w:p>
              </w:tc>
              <w:tc>
                <w:tcPr>
                  <w:tcW w:w="810" w:type="pct"/>
                  <w:vMerge w:val="restart"/>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监测因子</w:t>
                  </w:r>
                </w:p>
              </w:tc>
              <w:tc>
                <w:tcPr>
                  <w:tcW w:w="1321" w:type="pct"/>
                  <w:vMerge w:val="restart"/>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监测时段</w:t>
                  </w:r>
                </w:p>
              </w:tc>
              <w:tc>
                <w:tcPr>
                  <w:tcW w:w="544" w:type="pct"/>
                  <w:vMerge w:val="restart"/>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相对厂址方位</w:t>
                  </w:r>
                </w:p>
              </w:tc>
              <w:tc>
                <w:tcPr>
                  <w:tcW w:w="633" w:type="pct"/>
                  <w:vMerge w:val="restart"/>
                  <w:vAlign w:val="center"/>
                </w:tcPr>
                <w:p>
                  <w:pPr>
                    <w:snapToGrid w:val="0"/>
                    <w:spacing w:line="240" w:lineRule="auto"/>
                    <w:ind w:firstLine="0" w:firstLineChars="0"/>
                    <w:jc w:val="center"/>
                    <w:rPr>
                      <w:b/>
                      <w:bCs/>
                      <w:snapToGrid w:val="0"/>
                      <w:kern w:val="0"/>
                      <w:sz w:val="21"/>
                      <w:szCs w:val="21"/>
                    </w:rPr>
                  </w:pPr>
                  <w:r>
                    <w:rPr>
                      <w:rFonts w:hAnsi="宋体"/>
                      <w:b/>
                      <w:bCs/>
                      <w:snapToGrid w:val="0"/>
                      <w:kern w:val="0"/>
                      <w:sz w:val="21"/>
                      <w:szCs w:val="21"/>
                    </w:rPr>
                    <w:t>相对厂界距离</w:t>
                  </w:r>
                  <w:r>
                    <w:rPr>
                      <w:b/>
                      <w:bCs/>
                      <w:snapToGrid w:val="0"/>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pct"/>
                  <w:vMerge w:val="continue"/>
                  <w:vAlign w:val="center"/>
                </w:tcPr>
                <w:p>
                  <w:pPr>
                    <w:widowControl/>
                    <w:snapToGrid w:val="0"/>
                    <w:spacing w:line="240" w:lineRule="auto"/>
                    <w:ind w:firstLine="0" w:firstLineChars="0"/>
                    <w:jc w:val="center"/>
                    <w:rPr>
                      <w:b/>
                      <w:bCs/>
                      <w:snapToGrid w:val="0"/>
                      <w:kern w:val="0"/>
                      <w:sz w:val="21"/>
                      <w:szCs w:val="21"/>
                    </w:rPr>
                  </w:pPr>
                </w:p>
              </w:tc>
              <w:tc>
                <w:tcPr>
                  <w:tcW w:w="464" w:type="pct"/>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X</w:t>
                  </w:r>
                </w:p>
              </w:tc>
              <w:tc>
                <w:tcPr>
                  <w:tcW w:w="464" w:type="pct"/>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Y</w:t>
                  </w:r>
                </w:p>
              </w:tc>
              <w:tc>
                <w:tcPr>
                  <w:tcW w:w="810" w:type="pct"/>
                  <w:vMerge w:val="continue"/>
                  <w:vAlign w:val="center"/>
                </w:tcPr>
                <w:p>
                  <w:pPr>
                    <w:widowControl/>
                    <w:snapToGrid w:val="0"/>
                    <w:spacing w:line="240" w:lineRule="auto"/>
                    <w:ind w:firstLine="0" w:firstLineChars="0"/>
                    <w:jc w:val="center"/>
                    <w:rPr>
                      <w:b/>
                      <w:bCs/>
                      <w:snapToGrid w:val="0"/>
                      <w:kern w:val="0"/>
                      <w:sz w:val="21"/>
                      <w:szCs w:val="21"/>
                    </w:rPr>
                  </w:pPr>
                </w:p>
              </w:tc>
              <w:tc>
                <w:tcPr>
                  <w:tcW w:w="0" w:type="auto"/>
                  <w:vMerge w:val="continue"/>
                  <w:vAlign w:val="center"/>
                </w:tcPr>
                <w:p>
                  <w:pPr>
                    <w:widowControl/>
                    <w:snapToGrid w:val="0"/>
                    <w:spacing w:line="240" w:lineRule="auto"/>
                    <w:ind w:firstLine="0" w:firstLineChars="0"/>
                    <w:jc w:val="center"/>
                    <w:rPr>
                      <w:b/>
                      <w:bCs/>
                      <w:snapToGrid w:val="0"/>
                      <w:kern w:val="0"/>
                      <w:sz w:val="21"/>
                      <w:szCs w:val="21"/>
                    </w:rPr>
                  </w:pPr>
                </w:p>
              </w:tc>
              <w:tc>
                <w:tcPr>
                  <w:tcW w:w="0" w:type="auto"/>
                  <w:vMerge w:val="continue"/>
                  <w:vAlign w:val="center"/>
                </w:tcPr>
                <w:p>
                  <w:pPr>
                    <w:widowControl/>
                    <w:snapToGrid w:val="0"/>
                    <w:spacing w:line="240" w:lineRule="auto"/>
                    <w:ind w:firstLine="0" w:firstLineChars="0"/>
                    <w:jc w:val="center"/>
                    <w:rPr>
                      <w:b/>
                      <w:bCs/>
                      <w:snapToGrid w:val="0"/>
                      <w:kern w:val="0"/>
                      <w:sz w:val="21"/>
                      <w:szCs w:val="21"/>
                    </w:rPr>
                  </w:pPr>
                </w:p>
              </w:tc>
              <w:tc>
                <w:tcPr>
                  <w:tcW w:w="0" w:type="auto"/>
                  <w:vMerge w:val="continue"/>
                  <w:vAlign w:val="center"/>
                </w:tcPr>
                <w:p>
                  <w:pPr>
                    <w:widowControl/>
                    <w:snapToGrid w:val="0"/>
                    <w:spacing w:line="240" w:lineRule="auto"/>
                    <w:ind w:firstLine="0" w:firstLineChars="0"/>
                    <w:jc w:val="center"/>
                    <w:rPr>
                      <w:b/>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pct"/>
                  <w:vMerge w:val="restar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项目井口处</w:t>
                  </w:r>
                </w:p>
              </w:tc>
              <w:tc>
                <w:tcPr>
                  <w:tcW w:w="464" w:type="pct"/>
                  <w:vMerge w:val="restart"/>
                  <w:vAlign w:val="center"/>
                </w:tcPr>
                <w:p>
                  <w:pPr>
                    <w:snapToGrid w:val="0"/>
                    <w:spacing w:line="240" w:lineRule="auto"/>
                    <w:ind w:firstLine="0" w:firstLineChars="0"/>
                    <w:jc w:val="center"/>
                    <w:rPr>
                      <w:snapToGrid w:val="0"/>
                      <w:kern w:val="0"/>
                      <w:sz w:val="21"/>
                      <w:szCs w:val="21"/>
                    </w:rPr>
                  </w:pPr>
                  <w:r>
                    <w:rPr>
                      <w:snapToGrid w:val="0"/>
                      <w:kern w:val="0"/>
                      <w:sz w:val="21"/>
                      <w:szCs w:val="21"/>
                    </w:rPr>
                    <w:t>0</w:t>
                  </w:r>
                </w:p>
              </w:tc>
              <w:tc>
                <w:tcPr>
                  <w:tcW w:w="464" w:type="pct"/>
                  <w:vMerge w:val="restart"/>
                  <w:vAlign w:val="center"/>
                </w:tcPr>
                <w:p>
                  <w:pPr>
                    <w:snapToGrid w:val="0"/>
                    <w:spacing w:line="240" w:lineRule="auto"/>
                    <w:ind w:firstLine="0" w:firstLineChars="0"/>
                    <w:jc w:val="center"/>
                    <w:rPr>
                      <w:snapToGrid w:val="0"/>
                      <w:kern w:val="0"/>
                      <w:sz w:val="21"/>
                      <w:szCs w:val="21"/>
                    </w:rPr>
                  </w:pPr>
                  <w:r>
                    <w:rPr>
                      <w:snapToGrid w:val="0"/>
                      <w:kern w:val="0"/>
                      <w:sz w:val="21"/>
                      <w:szCs w:val="21"/>
                    </w:rPr>
                    <w:t>0</w:t>
                  </w:r>
                </w:p>
              </w:tc>
              <w:tc>
                <w:tcPr>
                  <w:tcW w:w="810" w:type="pct"/>
                  <w:vAlign w:val="center"/>
                </w:tcPr>
                <w:p>
                  <w:pPr>
                    <w:snapToGrid w:val="0"/>
                    <w:spacing w:line="240" w:lineRule="auto"/>
                    <w:ind w:firstLine="0" w:firstLineChars="0"/>
                    <w:jc w:val="center"/>
                    <w:rPr>
                      <w:snapToGrid w:val="0"/>
                      <w:kern w:val="0"/>
                      <w:sz w:val="21"/>
                      <w:szCs w:val="21"/>
                    </w:rPr>
                  </w:pPr>
                  <w:r>
                    <w:rPr>
                      <w:rFonts w:hAnsi="宋体"/>
                      <w:snapToGrid w:val="0"/>
                      <w:kern w:val="0"/>
                      <w:sz w:val="21"/>
                      <w:szCs w:val="21"/>
                    </w:rPr>
                    <w:t>硫化氢</w:t>
                  </w:r>
                </w:p>
              </w:tc>
              <w:tc>
                <w:tcPr>
                  <w:tcW w:w="1321" w:type="pct"/>
                  <w:vMerge w:val="restar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2</w:t>
                  </w:r>
                  <w:r>
                    <w:rPr>
                      <w:rFonts w:hAnsi="宋体"/>
                      <w:snapToGrid w:val="0"/>
                      <w:kern w:val="0"/>
                      <w:sz w:val="21"/>
                      <w:szCs w:val="21"/>
                    </w:rPr>
                    <w:t>024年2</w:t>
                  </w:r>
                  <w:r>
                    <w:rPr>
                      <w:rFonts w:hint="eastAsia" w:hAnsi="宋体"/>
                      <w:snapToGrid w:val="0"/>
                      <w:kern w:val="0"/>
                      <w:sz w:val="21"/>
                      <w:szCs w:val="21"/>
                    </w:rPr>
                    <w:t>月</w:t>
                  </w:r>
                  <w:r>
                    <w:rPr>
                      <w:rFonts w:hAnsi="宋体"/>
                      <w:snapToGrid w:val="0"/>
                      <w:kern w:val="0"/>
                      <w:sz w:val="21"/>
                      <w:szCs w:val="21"/>
                    </w:rPr>
                    <w:t>27日</w:t>
                  </w:r>
                  <w:r>
                    <w:rPr>
                      <w:rFonts w:hint="eastAsia" w:hAnsi="宋体"/>
                      <w:snapToGrid w:val="0"/>
                      <w:kern w:val="0"/>
                      <w:sz w:val="21"/>
                      <w:szCs w:val="21"/>
                    </w:rPr>
                    <w:t>~</w:t>
                  </w:r>
                  <w:r>
                    <w:rPr>
                      <w:rFonts w:hAnsi="宋体"/>
                      <w:snapToGrid w:val="0"/>
                      <w:kern w:val="0"/>
                      <w:sz w:val="21"/>
                      <w:szCs w:val="21"/>
                    </w:rPr>
                    <w:t>3月</w:t>
                  </w:r>
                  <w:r>
                    <w:rPr>
                      <w:rFonts w:hint="eastAsia" w:hAnsi="宋体"/>
                      <w:snapToGrid w:val="0"/>
                      <w:kern w:val="0"/>
                      <w:sz w:val="21"/>
                      <w:szCs w:val="21"/>
                    </w:rPr>
                    <w:t>1</w:t>
                  </w:r>
                  <w:r>
                    <w:rPr>
                      <w:rFonts w:hAnsi="宋体"/>
                      <w:snapToGrid w:val="0"/>
                      <w:kern w:val="0"/>
                      <w:sz w:val="21"/>
                      <w:szCs w:val="21"/>
                    </w:rPr>
                    <w:t>日</w:t>
                  </w:r>
                </w:p>
              </w:tc>
              <w:tc>
                <w:tcPr>
                  <w:tcW w:w="544" w:type="pct"/>
                  <w:vMerge w:val="restar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w:t>
                  </w:r>
                </w:p>
              </w:tc>
              <w:tc>
                <w:tcPr>
                  <w:tcW w:w="633" w:type="pct"/>
                  <w:vMerge w:val="restart"/>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pct"/>
                  <w:vMerge w:val="continue"/>
                  <w:vAlign w:val="center"/>
                </w:tcPr>
                <w:p>
                  <w:pPr>
                    <w:snapToGrid w:val="0"/>
                    <w:spacing w:line="240" w:lineRule="auto"/>
                    <w:ind w:firstLine="0" w:firstLineChars="0"/>
                    <w:jc w:val="center"/>
                    <w:rPr>
                      <w:rFonts w:hAnsi="宋体"/>
                      <w:snapToGrid w:val="0"/>
                      <w:kern w:val="0"/>
                      <w:sz w:val="21"/>
                      <w:szCs w:val="21"/>
                    </w:rPr>
                  </w:pPr>
                </w:p>
              </w:tc>
              <w:tc>
                <w:tcPr>
                  <w:tcW w:w="464" w:type="pct"/>
                  <w:vMerge w:val="continue"/>
                  <w:vAlign w:val="center"/>
                </w:tcPr>
                <w:p>
                  <w:pPr>
                    <w:snapToGrid w:val="0"/>
                    <w:spacing w:line="240" w:lineRule="auto"/>
                    <w:ind w:firstLine="0" w:firstLineChars="0"/>
                    <w:jc w:val="center"/>
                    <w:rPr>
                      <w:snapToGrid w:val="0"/>
                      <w:kern w:val="0"/>
                      <w:sz w:val="21"/>
                      <w:szCs w:val="21"/>
                    </w:rPr>
                  </w:pPr>
                </w:p>
              </w:tc>
              <w:tc>
                <w:tcPr>
                  <w:tcW w:w="464" w:type="pct"/>
                  <w:vMerge w:val="continue"/>
                  <w:vAlign w:val="center"/>
                </w:tcPr>
                <w:p>
                  <w:pPr>
                    <w:snapToGrid w:val="0"/>
                    <w:spacing w:line="240" w:lineRule="auto"/>
                    <w:ind w:firstLine="0" w:firstLineChars="0"/>
                    <w:jc w:val="center"/>
                    <w:rPr>
                      <w:snapToGrid w:val="0"/>
                      <w:kern w:val="0"/>
                      <w:sz w:val="21"/>
                      <w:szCs w:val="21"/>
                    </w:rPr>
                  </w:pPr>
                </w:p>
              </w:tc>
              <w:tc>
                <w:tcPr>
                  <w:tcW w:w="810" w:type="pct"/>
                  <w:vAlign w:val="center"/>
                </w:tcPr>
                <w:p>
                  <w:pPr>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非甲烷总烃</w:t>
                  </w:r>
                </w:p>
              </w:tc>
              <w:tc>
                <w:tcPr>
                  <w:tcW w:w="1321" w:type="pct"/>
                  <w:vMerge w:val="continue"/>
                  <w:vAlign w:val="center"/>
                </w:tcPr>
                <w:p>
                  <w:pPr>
                    <w:snapToGrid w:val="0"/>
                    <w:spacing w:line="240" w:lineRule="auto"/>
                    <w:ind w:firstLine="0" w:firstLineChars="0"/>
                    <w:jc w:val="center"/>
                    <w:rPr>
                      <w:snapToGrid w:val="0"/>
                      <w:kern w:val="0"/>
                      <w:sz w:val="21"/>
                      <w:szCs w:val="21"/>
                    </w:rPr>
                  </w:pPr>
                </w:p>
              </w:tc>
              <w:tc>
                <w:tcPr>
                  <w:tcW w:w="544" w:type="pct"/>
                  <w:vMerge w:val="continue"/>
                  <w:vAlign w:val="center"/>
                </w:tcPr>
                <w:p>
                  <w:pPr>
                    <w:snapToGrid w:val="0"/>
                    <w:spacing w:line="240" w:lineRule="auto"/>
                    <w:ind w:firstLine="0" w:firstLineChars="0"/>
                    <w:jc w:val="center"/>
                    <w:rPr>
                      <w:rFonts w:hAnsi="宋体"/>
                      <w:snapToGrid w:val="0"/>
                      <w:kern w:val="0"/>
                      <w:sz w:val="21"/>
                      <w:szCs w:val="21"/>
                    </w:rPr>
                  </w:pPr>
                </w:p>
              </w:tc>
              <w:tc>
                <w:tcPr>
                  <w:tcW w:w="633" w:type="pct"/>
                  <w:vMerge w:val="continue"/>
                  <w:vAlign w:val="center"/>
                </w:tcPr>
                <w:p>
                  <w:pPr>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pct"/>
                  <w:vMerge w:val="continue"/>
                  <w:vAlign w:val="center"/>
                </w:tcPr>
                <w:p>
                  <w:pPr>
                    <w:snapToGrid w:val="0"/>
                    <w:spacing w:line="240" w:lineRule="auto"/>
                    <w:ind w:firstLine="0" w:firstLineChars="0"/>
                    <w:jc w:val="center"/>
                    <w:rPr>
                      <w:rFonts w:hAnsi="宋体"/>
                      <w:snapToGrid w:val="0"/>
                      <w:kern w:val="0"/>
                      <w:sz w:val="21"/>
                      <w:szCs w:val="21"/>
                    </w:rPr>
                  </w:pPr>
                </w:p>
              </w:tc>
              <w:tc>
                <w:tcPr>
                  <w:tcW w:w="464" w:type="pct"/>
                  <w:vMerge w:val="continue"/>
                  <w:vAlign w:val="center"/>
                </w:tcPr>
                <w:p>
                  <w:pPr>
                    <w:snapToGrid w:val="0"/>
                    <w:spacing w:line="240" w:lineRule="auto"/>
                    <w:ind w:firstLine="0" w:firstLineChars="0"/>
                    <w:jc w:val="center"/>
                    <w:rPr>
                      <w:snapToGrid w:val="0"/>
                      <w:kern w:val="0"/>
                      <w:sz w:val="21"/>
                      <w:szCs w:val="21"/>
                    </w:rPr>
                  </w:pPr>
                </w:p>
              </w:tc>
              <w:tc>
                <w:tcPr>
                  <w:tcW w:w="464" w:type="pct"/>
                  <w:vMerge w:val="continue"/>
                  <w:vAlign w:val="center"/>
                </w:tcPr>
                <w:p>
                  <w:pPr>
                    <w:snapToGrid w:val="0"/>
                    <w:spacing w:line="240" w:lineRule="auto"/>
                    <w:ind w:firstLine="0" w:firstLineChars="0"/>
                    <w:jc w:val="center"/>
                    <w:rPr>
                      <w:snapToGrid w:val="0"/>
                      <w:kern w:val="0"/>
                      <w:sz w:val="21"/>
                      <w:szCs w:val="21"/>
                    </w:rPr>
                  </w:pPr>
                </w:p>
              </w:tc>
              <w:tc>
                <w:tcPr>
                  <w:tcW w:w="810" w:type="pct"/>
                  <w:vAlign w:val="center"/>
                </w:tcPr>
                <w:p>
                  <w:pPr>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T</w:t>
                  </w:r>
                  <w:r>
                    <w:rPr>
                      <w:rFonts w:hAnsi="宋体"/>
                      <w:snapToGrid w:val="0"/>
                      <w:kern w:val="0"/>
                      <w:sz w:val="21"/>
                      <w:szCs w:val="21"/>
                    </w:rPr>
                    <w:t>SP</w:t>
                  </w:r>
                </w:p>
              </w:tc>
              <w:tc>
                <w:tcPr>
                  <w:tcW w:w="1321" w:type="pct"/>
                  <w:vMerge w:val="continue"/>
                  <w:vAlign w:val="center"/>
                </w:tcPr>
                <w:p>
                  <w:pPr>
                    <w:snapToGrid w:val="0"/>
                    <w:spacing w:line="240" w:lineRule="auto"/>
                    <w:ind w:firstLine="0" w:firstLineChars="0"/>
                    <w:jc w:val="center"/>
                    <w:rPr>
                      <w:snapToGrid w:val="0"/>
                      <w:kern w:val="0"/>
                      <w:sz w:val="21"/>
                      <w:szCs w:val="21"/>
                    </w:rPr>
                  </w:pPr>
                </w:p>
              </w:tc>
              <w:tc>
                <w:tcPr>
                  <w:tcW w:w="544" w:type="pct"/>
                  <w:vMerge w:val="continue"/>
                  <w:vAlign w:val="center"/>
                </w:tcPr>
                <w:p>
                  <w:pPr>
                    <w:snapToGrid w:val="0"/>
                    <w:spacing w:line="240" w:lineRule="auto"/>
                    <w:ind w:firstLine="0" w:firstLineChars="0"/>
                    <w:jc w:val="center"/>
                    <w:rPr>
                      <w:rFonts w:hAnsi="宋体"/>
                      <w:snapToGrid w:val="0"/>
                      <w:kern w:val="0"/>
                      <w:sz w:val="21"/>
                      <w:szCs w:val="21"/>
                    </w:rPr>
                  </w:pPr>
                </w:p>
              </w:tc>
              <w:tc>
                <w:tcPr>
                  <w:tcW w:w="633" w:type="pct"/>
                  <w:vMerge w:val="continue"/>
                  <w:vAlign w:val="center"/>
                </w:tcPr>
                <w:p>
                  <w:pPr>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pPr>
                    <w:snapToGrid w:val="0"/>
                    <w:spacing w:line="240" w:lineRule="auto"/>
                    <w:ind w:firstLine="0" w:firstLineChars="0"/>
                    <w:rPr>
                      <w:snapToGrid w:val="0"/>
                      <w:kern w:val="0"/>
                      <w:sz w:val="21"/>
                      <w:szCs w:val="21"/>
                    </w:rPr>
                  </w:pPr>
                  <w:r>
                    <w:rPr>
                      <w:rFonts w:hAnsi="宋体"/>
                      <w:snapToGrid w:val="0"/>
                      <w:kern w:val="0"/>
                      <w:sz w:val="21"/>
                      <w:szCs w:val="21"/>
                    </w:rPr>
                    <w:t>注：以</w:t>
                  </w:r>
                  <w:r>
                    <w:rPr>
                      <w:rFonts w:hint="eastAsia" w:hAnsi="宋体"/>
                      <w:snapToGrid w:val="0"/>
                      <w:kern w:val="0"/>
                      <w:sz w:val="21"/>
                      <w:szCs w:val="21"/>
                    </w:rPr>
                    <w:t>项目</w:t>
                  </w:r>
                  <w:r>
                    <w:rPr>
                      <w:rFonts w:hAnsi="宋体"/>
                      <w:snapToGrid w:val="0"/>
                      <w:kern w:val="0"/>
                      <w:sz w:val="21"/>
                      <w:szCs w:val="21"/>
                    </w:rPr>
                    <w:t>井口为坐标原点</w:t>
                  </w:r>
                </w:p>
              </w:tc>
            </w:tr>
          </w:tbl>
          <w:p>
            <w:pPr>
              <w:adjustRightInd w:val="0"/>
              <w:snapToGrid w:val="0"/>
              <w:ind w:firstLine="420"/>
              <w:rPr>
                <w:rFonts w:hAnsi="宋体"/>
                <w:snapToGrid w:val="0"/>
                <w:kern w:val="0"/>
                <w:sz w:val="21"/>
                <w:szCs w:val="21"/>
              </w:rPr>
            </w:pPr>
            <w:r>
              <w:rPr>
                <w:rFonts w:hint="eastAsia" w:hAnsi="宋体"/>
                <w:snapToGrid w:val="0"/>
                <w:kern w:val="0"/>
                <w:sz w:val="21"/>
                <w:szCs w:val="21"/>
              </w:rPr>
              <w:t>②评价标准与方法</w:t>
            </w:r>
          </w:p>
          <w:p>
            <w:pPr>
              <w:adjustRightInd w:val="0"/>
              <w:snapToGrid w:val="0"/>
              <w:ind w:firstLine="420"/>
              <w:rPr>
                <w:snapToGrid w:val="0"/>
                <w:kern w:val="0"/>
                <w:sz w:val="21"/>
                <w:szCs w:val="21"/>
              </w:rPr>
            </w:pPr>
            <w:r>
              <w:rPr>
                <w:rFonts w:hAnsi="宋体"/>
                <w:snapToGrid w:val="0"/>
                <w:kern w:val="0"/>
                <w:sz w:val="21"/>
                <w:szCs w:val="21"/>
              </w:rPr>
              <w:t>大气特征因子</w:t>
            </w:r>
            <w:r>
              <w:rPr>
                <w:rFonts w:hint="eastAsia" w:hAnsi="宋体"/>
                <w:snapToGrid w:val="0"/>
                <w:kern w:val="0"/>
                <w:sz w:val="21"/>
                <w:szCs w:val="21"/>
              </w:rPr>
              <w:t>非甲烷总烃执行《大气污染物综合排放标准详解》中制定非甲烷总烃排放标准时选用的环境质量标准，T</w:t>
            </w:r>
            <w:r>
              <w:rPr>
                <w:rFonts w:hAnsi="宋体"/>
                <w:snapToGrid w:val="0"/>
                <w:kern w:val="0"/>
                <w:sz w:val="21"/>
                <w:szCs w:val="21"/>
              </w:rPr>
              <w:t>SP</w:t>
            </w:r>
            <w:r>
              <w:rPr>
                <w:snapToGrid w:val="0"/>
                <w:kern w:val="0"/>
                <w:sz w:val="21"/>
                <w:szCs w:val="21"/>
              </w:rPr>
              <w:t>执行《</w:t>
            </w:r>
            <w:r>
              <w:rPr>
                <w:rFonts w:hint="eastAsia"/>
                <w:snapToGrid w:val="0"/>
                <w:kern w:val="0"/>
                <w:sz w:val="21"/>
                <w:szCs w:val="21"/>
              </w:rPr>
              <w:t>环境空气质量标准</w:t>
            </w:r>
            <w:r>
              <w:rPr>
                <w:snapToGrid w:val="0"/>
                <w:kern w:val="0"/>
                <w:sz w:val="21"/>
                <w:szCs w:val="21"/>
              </w:rPr>
              <w:t>》（</w:t>
            </w:r>
            <w:r>
              <w:rPr>
                <w:rFonts w:hint="eastAsia"/>
                <w:snapToGrid w:val="0"/>
                <w:kern w:val="0"/>
                <w:sz w:val="21"/>
                <w:szCs w:val="21"/>
              </w:rPr>
              <w:t>GB 3095-2012</w:t>
            </w:r>
            <w:r>
              <w:rPr>
                <w:snapToGrid w:val="0"/>
                <w:kern w:val="0"/>
                <w:sz w:val="21"/>
                <w:szCs w:val="21"/>
              </w:rPr>
              <w:t>）中标准限值，H</w:t>
            </w:r>
            <w:r>
              <w:rPr>
                <w:snapToGrid w:val="0"/>
                <w:kern w:val="0"/>
                <w:sz w:val="21"/>
                <w:szCs w:val="21"/>
                <w:vertAlign w:val="subscript"/>
              </w:rPr>
              <w:t>2</w:t>
            </w:r>
            <w:r>
              <w:rPr>
                <w:snapToGrid w:val="0"/>
                <w:kern w:val="0"/>
                <w:sz w:val="21"/>
                <w:szCs w:val="21"/>
              </w:rPr>
              <w:t>S</w:t>
            </w:r>
            <w:r>
              <w:rPr>
                <w:rFonts w:hAnsi="宋体"/>
                <w:snapToGrid w:val="0"/>
                <w:kern w:val="0"/>
                <w:sz w:val="21"/>
                <w:szCs w:val="21"/>
              </w:rPr>
              <w:t>执行《环境影响评价技术导则大气环境》（</w:t>
            </w:r>
            <w:r>
              <w:rPr>
                <w:snapToGrid w:val="0"/>
                <w:kern w:val="0"/>
                <w:sz w:val="21"/>
                <w:szCs w:val="21"/>
              </w:rPr>
              <w:t>HJ 2.2-2018</w:t>
            </w:r>
            <w:r>
              <w:rPr>
                <w:rFonts w:hAnsi="宋体"/>
                <w:snapToGrid w:val="0"/>
                <w:kern w:val="0"/>
                <w:sz w:val="21"/>
                <w:szCs w:val="21"/>
              </w:rPr>
              <w:t>）中其他污染物空气质量浓度参考限值的</w:t>
            </w:r>
            <w:r>
              <w:rPr>
                <w:snapToGrid w:val="0"/>
                <w:kern w:val="0"/>
                <w:sz w:val="21"/>
                <w:szCs w:val="21"/>
              </w:rPr>
              <w:t>1h</w:t>
            </w:r>
            <w:r>
              <w:rPr>
                <w:rFonts w:hAnsi="宋体"/>
                <w:snapToGrid w:val="0"/>
                <w:kern w:val="0"/>
                <w:sz w:val="21"/>
                <w:szCs w:val="21"/>
              </w:rPr>
              <w:t>平均值。</w:t>
            </w:r>
          </w:p>
          <w:p>
            <w:pPr>
              <w:adjustRightInd w:val="0"/>
              <w:snapToGrid w:val="0"/>
              <w:ind w:firstLine="420"/>
              <w:rPr>
                <w:snapToGrid w:val="0"/>
                <w:kern w:val="0"/>
                <w:sz w:val="21"/>
                <w:szCs w:val="21"/>
              </w:rPr>
            </w:pPr>
            <w:r>
              <w:rPr>
                <w:rFonts w:hAnsi="宋体"/>
                <w:snapToGrid w:val="0"/>
                <w:kern w:val="0"/>
                <w:sz w:val="21"/>
                <w:szCs w:val="21"/>
              </w:rPr>
              <w:t>本评价采用最大浓度占标率进行评价。评价公式如下：</w:t>
            </w:r>
          </w:p>
          <w:p>
            <w:pPr>
              <w:adjustRightInd w:val="0"/>
              <w:snapToGrid w:val="0"/>
              <w:ind w:firstLine="0" w:firstLineChars="0"/>
              <w:jc w:val="center"/>
              <w:rPr>
                <w:snapToGrid w:val="0"/>
                <w:kern w:val="0"/>
                <w:sz w:val="21"/>
                <w:szCs w:val="21"/>
              </w:rPr>
            </w:pPr>
            <w:r>
              <w:rPr>
                <w:snapToGrid w:val="0"/>
                <w:kern w:val="0"/>
                <w:sz w:val="21"/>
                <w:szCs w:val="21"/>
              </w:rPr>
              <w:t>P</w:t>
            </w:r>
            <w:r>
              <w:rPr>
                <w:snapToGrid w:val="0"/>
                <w:kern w:val="0"/>
                <w:sz w:val="21"/>
                <w:szCs w:val="21"/>
                <w:vertAlign w:val="subscript"/>
              </w:rPr>
              <w:t>ij</w:t>
            </w:r>
            <w:r>
              <w:rPr>
                <w:snapToGrid w:val="0"/>
                <w:kern w:val="0"/>
                <w:sz w:val="21"/>
                <w:szCs w:val="21"/>
              </w:rPr>
              <w:t>=C</w:t>
            </w:r>
            <w:r>
              <w:rPr>
                <w:snapToGrid w:val="0"/>
                <w:kern w:val="0"/>
                <w:sz w:val="21"/>
                <w:szCs w:val="21"/>
                <w:vertAlign w:val="subscript"/>
              </w:rPr>
              <w:t>ij</w:t>
            </w:r>
            <w:r>
              <w:rPr>
                <w:snapToGrid w:val="0"/>
                <w:kern w:val="0"/>
                <w:sz w:val="21"/>
                <w:szCs w:val="21"/>
              </w:rPr>
              <w:t>/C</w:t>
            </w:r>
            <w:r>
              <w:rPr>
                <w:snapToGrid w:val="0"/>
                <w:kern w:val="0"/>
                <w:sz w:val="21"/>
                <w:szCs w:val="21"/>
                <w:vertAlign w:val="subscript"/>
              </w:rPr>
              <w:t>sj</w:t>
            </w:r>
            <w:r>
              <w:rPr>
                <w:snapToGrid w:val="0"/>
                <w:kern w:val="0"/>
                <w:sz w:val="21"/>
                <w:szCs w:val="21"/>
              </w:rPr>
              <w:t>×100%</w:t>
            </w:r>
          </w:p>
          <w:p>
            <w:pPr>
              <w:adjustRightInd w:val="0"/>
              <w:snapToGrid w:val="0"/>
              <w:ind w:firstLine="420"/>
              <w:rPr>
                <w:snapToGrid w:val="0"/>
                <w:kern w:val="0"/>
                <w:sz w:val="21"/>
                <w:szCs w:val="21"/>
              </w:rPr>
            </w:pPr>
            <w:r>
              <w:rPr>
                <w:rFonts w:hAnsi="宋体"/>
                <w:snapToGrid w:val="0"/>
                <w:kern w:val="0"/>
                <w:sz w:val="21"/>
                <w:szCs w:val="21"/>
              </w:rPr>
              <w:t>式中：</w:t>
            </w:r>
            <w:r>
              <w:rPr>
                <w:snapToGrid w:val="0"/>
                <w:kern w:val="0"/>
                <w:sz w:val="21"/>
                <w:szCs w:val="21"/>
              </w:rPr>
              <w:t>P</w:t>
            </w:r>
            <w:r>
              <w:rPr>
                <w:snapToGrid w:val="0"/>
                <w:kern w:val="0"/>
                <w:sz w:val="21"/>
                <w:szCs w:val="21"/>
                <w:vertAlign w:val="subscript"/>
              </w:rPr>
              <w:t>ij</w:t>
            </w:r>
            <w:r>
              <w:rPr>
                <w:snapToGrid w:val="0"/>
                <w:kern w:val="0"/>
                <w:sz w:val="21"/>
                <w:szCs w:val="21"/>
              </w:rPr>
              <w:t>——</w:t>
            </w:r>
            <w:r>
              <w:rPr>
                <w:rFonts w:hAnsi="宋体"/>
                <w:snapToGrid w:val="0"/>
                <w:kern w:val="0"/>
                <w:sz w:val="21"/>
                <w:szCs w:val="21"/>
              </w:rPr>
              <w:t>第</w:t>
            </w:r>
            <w:r>
              <w:rPr>
                <w:snapToGrid w:val="0"/>
                <w:kern w:val="0"/>
                <w:sz w:val="21"/>
                <w:szCs w:val="21"/>
              </w:rPr>
              <w:t>i</w:t>
            </w:r>
            <w:r>
              <w:rPr>
                <w:rFonts w:hAnsi="宋体"/>
                <w:snapToGrid w:val="0"/>
                <w:kern w:val="0"/>
                <w:sz w:val="21"/>
                <w:szCs w:val="21"/>
              </w:rPr>
              <w:t>现状监测点第污染因子</w:t>
            </w:r>
            <w:r>
              <w:rPr>
                <w:snapToGrid w:val="0"/>
                <w:kern w:val="0"/>
                <w:sz w:val="21"/>
                <w:szCs w:val="21"/>
              </w:rPr>
              <w:t>j</w:t>
            </w:r>
            <w:r>
              <w:rPr>
                <w:rFonts w:hAnsi="宋体"/>
                <w:snapToGrid w:val="0"/>
                <w:kern w:val="0"/>
                <w:sz w:val="21"/>
                <w:szCs w:val="21"/>
              </w:rPr>
              <w:t>的最大浓度占标率，其值在</w:t>
            </w:r>
            <w:r>
              <w:rPr>
                <w:snapToGrid w:val="0"/>
                <w:kern w:val="0"/>
                <w:sz w:val="21"/>
                <w:szCs w:val="21"/>
              </w:rPr>
              <w:t>0</w:t>
            </w:r>
            <w:r>
              <w:rPr>
                <w:rFonts w:hAnsi="宋体"/>
                <w:snapToGrid w:val="0"/>
                <w:kern w:val="0"/>
                <w:sz w:val="21"/>
                <w:szCs w:val="21"/>
              </w:rPr>
              <w:t>～</w:t>
            </w:r>
            <w:r>
              <w:rPr>
                <w:snapToGrid w:val="0"/>
                <w:kern w:val="0"/>
                <w:sz w:val="21"/>
                <w:szCs w:val="21"/>
              </w:rPr>
              <w:t>100%</w:t>
            </w:r>
            <w:r>
              <w:rPr>
                <w:rFonts w:hAnsi="宋体"/>
                <w:snapToGrid w:val="0"/>
                <w:kern w:val="0"/>
                <w:sz w:val="21"/>
                <w:szCs w:val="21"/>
              </w:rPr>
              <w:t>之间为满足标准，大于</w:t>
            </w:r>
            <w:r>
              <w:rPr>
                <w:snapToGrid w:val="0"/>
                <w:kern w:val="0"/>
                <w:sz w:val="21"/>
                <w:szCs w:val="21"/>
              </w:rPr>
              <w:t>100%</w:t>
            </w:r>
            <w:r>
              <w:rPr>
                <w:rFonts w:hAnsi="宋体"/>
                <w:snapToGrid w:val="0"/>
                <w:kern w:val="0"/>
                <w:sz w:val="21"/>
                <w:szCs w:val="21"/>
              </w:rPr>
              <w:t>则为超标；</w:t>
            </w:r>
          </w:p>
          <w:p>
            <w:pPr>
              <w:adjustRightInd w:val="0"/>
              <w:snapToGrid w:val="0"/>
              <w:ind w:firstLine="1050" w:firstLineChars="500"/>
              <w:rPr>
                <w:snapToGrid w:val="0"/>
                <w:kern w:val="0"/>
                <w:sz w:val="21"/>
                <w:szCs w:val="21"/>
              </w:rPr>
            </w:pPr>
            <w:r>
              <w:rPr>
                <w:snapToGrid w:val="0"/>
                <w:kern w:val="0"/>
                <w:sz w:val="21"/>
                <w:szCs w:val="21"/>
              </w:rPr>
              <w:t>C</w:t>
            </w:r>
            <w:r>
              <w:rPr>
                <w:snapToGrid w:val="0"/>
                <w:kern w:val="0"/>
                <w:sz w:val="21"/>
                <w:szCs w:val="21"/>
                <w:vertAlign w:val="subscript"/>
              </w:rPr>
              <w:t>ij</w:t>
            </w:r>
            <w:r>
              <w:rPr>
                <w:snapToGrid w:val="0"/>
                <w:kern w:val="0"/>
                <w:sz w:val="21"/>
                <w:szCs w:val="21"/>
              </w:rPr>
              <w:t>——</w:t>
            </w:r>
            <w:r>
              <w:rPr>
                <w:rFonts w:hAnsi="宋体"/>
                <w:snapToGrid w:val="0"/>
                <w:kern w:val="0"/>
                <w:sz w:val="21"/>
                <w:szCs w:val="21"/>
              </w:rPr>
              <w:t>第</w:t>
            </w:r>
            <w:r>
              <w:rPr>
                <w:snapToGrid w:val="0"/>
                <w:kern w:val="0"/>
                <w:sz w:val="21"/>
                <w:szCs w:val="21"/>
              </w:rPr>
              <w:t>i</w:t>
            </w:r>
            <w:r>
              <w:rPr>
                <w:rFonts w:hAnsi="宋体"/>
                <w:snapToGrid w:val="0"/>
                <w:kern w:val="0"/>
                <w:sz w:val="21"/>
                <w:szCs w:val="21"/>
              </w:rPr>
              <w:t>现状监测点第污染因子</w:t>
            </w:r>
            <w:r>
              <w:rPr>
                <w:snapToGrid w:val="0"/>
                <w:kern w:val="0"/>
                <w:sz w:val="21"/>
                <w:szCs w:val="21"/>
              </w:rPr>
              <w:t>j</w:t>
            </w:r>
            <w:r>
              <w:rPr>
                <w:rFonts w:hAnsi="宋体"/>
                <w:snapToGrid w:val="0"/>
                <w:kern w:val="0"/>
                <w:sz w:val="21"/>
                <w:szCs w:val="21"/>
              </w:rPr>
              <w:t>的实测浓度（</w:t>
            </w:r>
            <w:r>
              <w:rPr>
                <w:snapToGrid w:val="0"/>
                <w:kern w:val="0"/>
                <w:sz w:val="21"/>
                <w:szCs w:val="21"/>
              </w:rPr>
              <w:t>mg/m</w:t>
            </w:r>
            <w:r>
              <w:rPr>
                <w:snapToGrid w:val="0"/>
                <w:kern w:val="0"/>
                <w:sz w:val="21"/>
                <w:szCs w:val="21"/>
                <w:vertAlign w:val="superscript"/>
              </w:rPr>
              <w:t>3</w:t>
            </w:r>
            <w:r>
              <w:rPr>
                <w:rFonts w:hAnsi="宋体"/>
                <w:snapToGrid w:val="0"/>
                <w:kern w:val="0"/>
                <w:sz w:val="21"/>
                <w:szCs w:val="21"/>
              </w:rPr>
              <w:t>）；</w:t>
            </w:r>
          </w:p>
          <w:p>
            <w:pPr>
              <w:adjustRightInd w:val="0"/>
              <w:snapToGrid w:val="0"/>
              <w:ind w:firstLine="1050" w:firstLineChars="500"/>
              <w:rPr>
                <w:snapToGrid w:val="0"/>
                <w:kern w:val="0"/>
                <w:sz w:val="21"/>
                <w:szCs w:val="21"/>
              </w:rPr>
            </w:pPr>
            <w:r>
              <w:rPr>
                <w:snapToGrid w:val="0"/>
                <w:kern w:val="0"/>
                <w:sz w:val="21"/>
                <w:szCs w:val="21"/>
              </w:rPr>
              <w:t>C</w:t>
            </w:r>
            <w:r>
              <w:rPr>
                <w:snapToGrid w:val="0"/>
                <w:kern w:val="0"/>
                <w:sz w:val="21"/>
                <w:szCs w:val="21"/>
                <w:vertAlign w:val="subscript"/>
              </w:rPr>
              <w:t>sj</w:t>
            </w:r>
            <w:r>
              <w:rPr>
                <w:snapToGrid w:val="0"/>
                <w:kern w:val="0"/>
                <w:sz w:val="21"/>
                <w:szCs w:val="21"/>
              </w:rPr>
              <w:t>——</w:t>
            </w:r>
            <w:r>
              <w:rPr>
                <w:rFonts w:hAnsi="宋体"/>
                <w:snapToGrid w:val="0"/>
                <w:kern w:val="0"/>
                <w:sz w:val="21"/>
                <w:szCs w:val="21"/>
              </w:rPr>
              <w:t>污染因子</w:t>
            </w:r>
            <w:r>
              <w:rPr>
                <w:snapToGrid w:val="0"/>
                <w:kern w:val="0"/>
                <w:sz w:val="21"/>
                <w:szCs w:val="21"/>
              </w:rPr>
              <w:t>j</w:t>
            </w:r>
            <w:r>
              <w:rPr>
                <w:rFonts w:hAnsi="宋体"/>
                <w:snapToGrid w:val="0"/>
                <w:kern w:val="0"/>
                <w:sz w:val="21"/>
                <w:szCs w:val="21"/>
              </w:rPr>
              <w:t>的环境质量标准（</w:t>
            </w:r>
            <w:r>
              <w:rPr>
                <w:snapToGrid w:val="0"/>
                <w:kern w:val="0"/>
                <w:sz w:val="21"/>
                <w:szCs w:val="21"/>
              </w:rPr>
              <w:t>mg/m</w:t>
            </w:r>
            <w:r>
              <w:rPr>
                <w:snapToGrid w:val="0"/>
                <w:kern w:val="0"/>
                <w:sz w:val="21"/>
                <w:szCs w:val="21"/>
                <w:vertAlign w:val="superscript"/>
              </w:rPr>
              <w:t>3</w:t>
            </w:r>
            <w:r>
              <w:rPr>
                <w:rFonts w:hAnsi="宋体"/>
                <w:snapToGrid w:val="0"/>
                <w:kern w:val="0"/>
                <w:sz w:val="21"/>
                <w:szCs w:val="21"/>
              </w:rPr>
              <w:t>）。</w:t>
            </w:r>
          </w:p>
          <w:p>
            <w:pPr>
              <w:adjustRightInd w:val="0"/>
              <w:snapToGrid w:val="0"/>
              <w:ind w:firstLine="420"/>
              <w:rPr>
                <w:bCs/>
                <w:snapToGrid w:val="0"/>
                <w:kern w:val="0"/>
                <w:sz w:val="21"/>
                <w:szCs w:val="21"/>
              </w:rPr>
            </w:pPr>
            <w:r>
              <w:rPr>
                <w:rFonts w:hint="eastAsia" w:hAnsi="宋体"/>
                <w:snapToGrid w:val="0"/>
                <w:kern w:val="0"/>
                <w:sz w:val="21"/>
                <w:szCs w:val="21"/>
              </w:rPr>
              <w:t>③</w:t>
            </w:r>
            <w:r>
              <w:rPr>
                <w:rFonts w:hAnsi="宋体"/>
                <w:snapToGrid w:val="0"/>
                <w:kern w:val="0"/>
                <w:sz w:val="21"/>
                <w:szCs w:val="21"/>
              </w:rPr>
              <w:t>监测及评价结果</w:t>
            </w:r>
          </w:p>
          <w:p>
            <w:pPr>
              <w:adjustRightInd w:val="0"/>
              <w:snapToGrid w:val="0"/>
              <w:ind w:firstLine="420"/>
              <w:rPr>
                <w:snapToGrid w:val="0"/>
                <w:kern w:val="0"/>
                <w:sz w:val="21"/>
                <w:szCs w:val="21"/>
              </w:rPr>
            </w:pPr>
            <w:r>
              <w:rPr>
                <w:rFonts w:hAnsi="宋体"/>
                <w:snapToGrid w:val="0"/>
                <w:kern w:val="0"/>
                <w:sz w:val="21"/>
                <w:szCs w:val="21"/>
              </w:rPr>
              <w:t>评价区环境空气质量监测统计及评价结果见表</w:t>
            </w:r>
            <w:r>
              <w:rPr>
                <w:snapToGrid w:val="0"/>
                <w:kern w:val="0"/>
                <w:sz w:val="21"/>
                <w:szCs w:val="21"/>
              </w:rPr>
              <w:t>3-</w:t>
            </w:r>
            <w:r>
              <w:rPr>
                <w:rFonts w:hint="eastAsia"/>
                <w:snapToGrid w:val="0"/>
                <w:kern w:val="0"/>
                <w:sz w:val="21"/>
                <w:szCs w:val="21"/>
              </w:rPr>
              <w:t>3</w:t>
            </w:r>
            <w:r>
              <w:rPr>
                <w:rFonts w:hAnsi="宋体"/>
                <w:snapToGrid w:val="0"/>
                <w:kern w:val="0"/>
                <w:sz w:val="21"/>
                <w:szCs w:val="21"/>
              </w:rPr>
              <w:t>。</w:t>
            </w:r>
          </w:p>
          <w:p>
            <w:pPr>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表3-</w:t>
            </w:r>
            <w:r>
              <w:rPr>
                <w:rFonts w:hAnsi="宋体"/>
                <w:b/>
                <w:snapToGrid w:val="0"/>
                <w:kern w:val="0"/>
                <w:sz w:val="21"/>
                <w:szCs w:val="21"/>
              </w:rPr>
              <w:t>3</w:t>
            </w:r>
            <w:r>
              <w:rPr>
                <w:rFonts w:hint="eastAsia" w:hAnsi="宋体"/>
                <w:b/>
                <w:snapToGrid w:val="0"/>
                <w:kern w:val="0"/>
                <w:sz w:val="21"/>
                <w:szCs w:val="21"/>
              </w:rPr>
              <w:t>评价范围内污染物监测点位基本信息</w:t>
            </w:r>
          </w:p>
          <w:tbl>
            <w:tblPr>
              <w:tblStyle w:val="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00"/>
              <w:gridCol w:w="430"/>
              <w:gridCol w:w="573"/>
              <w:gridCol w:w="1434"/>
              <w:gridCol w:w="1234"/>
              <w:gridCol w:w="1349"/>
              <w:gridCol w:w="1053"/>
              <w:gridCol w:w="962"/>
              <w:gridCol w:w="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7" w:hRule="atLeast"/>
                <w:jc w:val="center"/>
              </w:trPr>
              <w:tc>
                <w:tcPr>
                  <w:tcW w:w="800"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监测</w:t>
                  </w:r>
                </w:p>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点位</w:t>
                  </w:r>
                </w:p>
              </w:tc>
              <w:tc>
                <w:tcPr>
                  <w:tcW w:w="1003" w:type="dxa"/>
                  <w:gridSpan w:val="2"/>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监测点坐标</w:t>
                  </w:r>
                </w:p>
              </w:tc>
              <w:tc>
                <w:tcPr>
                  <w:tcW w:w="1434"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污染物</w:t>
                  </w:r>
                </w:p>
              </w:tc>
              <w:tc>
                <w:tcPr>
                  <w:tcW w:w="1234"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评价标准</w:t>
                  </w:r>
                </w:p>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w:t>
                  </w:r>
                  <w:r>
                    <w:rPr>
                      <w:rFonts w:ascii="Times New Roman" w:hAnsi="Times New Roman"/>
                      <w:b/>
                      <w:bCs/>
                      <w:snapToGrid w:val="0"/>
                      <w:kern w:val="0"/>
                      <w:sz w:val="21"/>
                      <w:szCs w:val="21"/>
                    </w:rPr>
                    <w:t>mg/m</w:t>
                  </w:r>
                  <w:r>
                    <w:rPr>
                      <w:rFonts w:ascii="Times New Roman" w:hAnsi="Times New Roman"/>
                      <w:b/>
                      <w:bCs/>
                      <w:snapToGrid w:val="0"/>
                      <w:kern w:val="0"/>
                      <w:sz w:val="21"/>
                      <w:szCs w:val="21"/>
                      <w:vertAlign w:val="superscript"/>
                    </w:rPr>
                    <w:t>3</w:t>
                  </w:r>
                  <w:r>
                    <w:rPr>
                      <w:rFonts w:ascii="Times New Roman"/>
                      <w:b/>
                      <w:bCs/>
                      <w:snapToGrid w:val="0"/>
                      <w:kern w:val="0"/>
                      <w:sz w:val="21"/>
                      <w:szCs w:val="21"/>
                    </w:rPr>
                    <w:t>）</w:t>
                  </w:r>
                </w:p>
              </w:tc>
              <w:tc>
                <w:tcPr>
                  <w:tcW w:w="1349"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浓度范围</w:t>
                  </w:r>
                </w:p>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w:t>
                  </w:r>
                  <w:r>
                    <w:rPr>
                      <w:rFonts w:ascii="Times New Roman" w:hAnsi="Times New Roman"/>
                      <w:b/>
                      <w:bCs/>
                      <w:snapToGrid w:val="0"/>
                      <w:kern w:val="0"/>
                      <w:sz w:val="21"/>
                      <w:szCs w:val="21"/>
                    </w:rPr>
                    <w:t>mg/m</w:t>
                  </w:r>
                  <w:r>
                    <w:rPr>
                      <w:rFonts w:ascii="Times New Roman" w:hAnsi="Times New Roman"/>
                      <w:b/>
                      <w:bCs/>
                      <w:snapToGrid w:val="0"/>
                      <w:kern w:val="0"/>
                      <w:sz w:val="21"/>
                      <w:szCs w:val="21"/>
                      <w:vertAlign w:val="superscript"/>
                    </w:rPr>
                    <w:t>3</w:t>
                  </w:r>
                  <w:r>
                    <w:rPr>
                      <w:rFonts w:ascii="Times New Roman"/>
                      <w:b/>
                      <w:bCs/>
                      <w:snapToGrid w:val="0"/>
                      <w:kern w:val="0"/>
                      <w:sz w:val="21"/>
                      <w:szCs w:val="21"/>
                    </w:rPr>
                    <w:t>）</w:t>
                  </w:r>
                </w:p>
              </w:tc>
              <w:tc>
                <w:tcPr>
                  <w:tcW w:w="1053"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最大浓度占标率（</w:t>
                  </w:r>
                  <w:r>
                    <w:rPr>
                      <w:rFonts w:ascii="Times New Roman" w:hAnsi="Times New Roman"/>
                      <w:b/>
                      <w:bCs/>
                      <w:snapToGrid w:val="0"/>
                      <w:kern w:val="0"/>
                      <w:sz w:val="21"/>
                      <w:szCs w:val="21"/>
                    </w:rPr>
                    <w:t>%</w:t>
                  </w:r>
                  <w:r>
                    <w:rPr>
                      <w:rFonts w:ascii="Times New Roman"/>
                      <w:b/>
                      <w:bCs/>
                      <w:snapToGrid w:val="0"/>
                      <w:kern w:val="0"/>
                      <w:sz w:val="21"/>
                      <w:szCs w:val="21"/>
                    </w:rPr>
                    <w:t>）</w:t>
                  </w:r>
                </w:p>
              </w:tc>
              <w:tc>
                <w:tcPr>
                  <w:tcW w:w="962"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超标率</w:t>
                  </w:r>
                </w:p>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w:t>
                  </w:r>
                  <w:r>
                    <w:rPr>
                      <w:rFonts w:ascii="Times New Roman" w:hAnsi="Times New Roman"/>
                      <w:b/>
                      <w:bCs/>
                      <w:snapToGrid w:val="0"/>
                      <w:kern w:val="0"/>
                      <w:sz w:val="21"/>
                      <w:szCs w:val="21"/>
                    </w:rPr>
                    <w:t>%</w:t>
                  </w:r>
                  <w:r>
                    <w:rPr>
                      <w:rFonts w:ascii="Times New Roman"/>
                      <w:b/>
                      <w:bCs/>
                      <w:snapToGrid w:val="0"/>
                      <w:kern w:val="0"/>
                      <w:sz w:val="21"/>
                      <w:szCs w:val="21"/>
                    </w:rPr>
                    <w:t>）</w:t>
                  </w:r>
                </w:p>
              </w:tc>
              <w:tc>
                <w:tcPr>
                  <w:tcW w:w="667" w:type="dxa"/>
                  <w:vMerge w:val="restart"/>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b/>
                      <w:bCs/>
                      <w:snapToGrid w:val="0"/>
                      <w:kern w:val="0"/>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 w:hRule="atLeast"/>
                <w:jc w:val="center"/>
              </w:trPr>
              <w:tc>
                <w:tcPr>
                  <w:tcW w:w="800" w:type="dxa"/>
                  <w:vMerge w:val="continue"/>
                  <w:vAlign w:val="center"/>
                </w:tcPr>
                <w:p>
                  <w:pPr>
                    <w:widowControl/>
                    <w:snapToGrid w:val="0"/>
                    <w:spacing w:line="240" w:lineRule="auto"/>
                    <w:ind w:firstLine="0" w:firstLineChars="0"/>
                    <w:jc w:val="center"/>
                    <w:rPr>
                      <w:b/>
                      <w:bCs/>
                      <w:snapToGrid w:val="0"/>
                      <w:kern w:val="0"/>
                      <w:sz w:val="21"/>
                      <w:szCs w:val="21"/>
                    </w:rPr>
                  </w:pPr>
                </w:p>
              </w:tc>
              <w:tc>
                <w:tcPr>
                  <w:tcW w:w="430" w:type="dxa"/>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hAnsi="Times New Roman"/>
                      <w:b/>
                      <w:bCs/>
                      <w:snapToGrid w:val="0"/>
                      <w:kern w:val="0"/>
                      <w:sz w:val="21"/>
                      <w:szCs w:val="21"/>
                    </w:rPr>
                    <w:t>X</w:t>
                  </w:r>
                </w:p>
              </w:tc>
              <w:tc>
                <w:tcPr>
                  <w:tcW w:w="573" w:type="dxa"/>
                  <w:vAlign w:val="center"/>
                </w:tcPr>
                <w:p>
                  <w:pPr>
                    <w:pStyle w:val="50"/>
                    <w:snapToGrid w:val="0"/>
                    <w:spacing w:line="240" w:lineRule="auto"/>
                    <w:ind w:firstLine="0" w:firstLineChars="0"/>
                    <w:rPr>
                      <w:rFonts w:ascii="Times New Roman" w:hAnsi="Times New Roman"/>
                      <w:b/>
                      <w:bCs/>
                      <w:snapToGrid w:val="0"/>
                      <w:kern w:val="0"/>
                      <w:sz w:val="21"/>
                      <w:szCs w:val="21"/>
                    </w:rPr>
                  </w:pPr>
                  <w:r>
                    <w:rPr>
                      <w:rFonts w:ascii="Times New Roman" w:hAnsi="Times New Roman"/>
                      <w:b/>
                      <w:bCs/>
                      <w:snapToGrid w:val="0"/>
                      <w:kern w:val="0"/>
                      <w:sz w:val="21"/>
                      <w:szCs w:val="21"/>
                    </w:rPr>
                    <w:t>Y</w:t>
                  </w:r>
                </w:p>
              </w:tc>
              <w:tc>
                <w:tcPr>
                  <w:tcW w:w="1434" w:type="dxa"/>
                  <w:vMerge w:val="continue"/>
                  <w:vAlign w:val="center"/>
                </w:tcPr>
                <w:p>
                  <w:pPr>
                    <w:widowControl/>
                    <w:snapToGrid w:val="0"/>
                    <w:spacing w:line="240" w:lineRule="auto"/>
                    <w:ind w:firstLine="0" w:firstLineChars="0"/>
                    <w:jc w:val="center"/>
                    <w:rPr>
                      <w:b/>
                      <w:bCs/>
                      <w:snapToGrid w:val="0"/>
                      <w:kern w:val="0"/>
                      <w:sz w:val="21"/>
                      <w:szCs w:val="21"/>
                    </w:rPr>
                  </w:pPr>
                </w:p>
              </w:tc>
              <w:tc>
                <w:tcPr>
                  <w:tcW w:w="1234" w:type="dxa"/>
                  <w:vMerge w:val="continue"/>
                  <w:vAlign w:val="center"/>
                </w:tcPr>
                <w:p>
                  <w:pPr>
                    <w:widowControl/>
                    <w:snapToGrid w:val="0"/>
                    <w:spacing w:line="240" w:lineRule="auto"/>
                    <w:ind w:firstLine="0" w:firstLineChars="0"/>
                    <w:jc w:val="center"/>
                    <w:rPr>
                      <w:b/>
                      <w:bCs/>
                      <w:snapToGrid w:val="0"/>
                      <w:kern w:val="0"/>
                      <w:sz w:val="21"/>
                      <w:szCs w:val="21"/>
                    </w:rPr>
                  </w:pPr>
                </w:p>
              </w:tc>
              <w:tc>
                <w:tcPr>
                  <w:tcW w:w="1349" w:type="dxa"/>
                  <w:vMerge w:val="continue"/>
                  <w:vAlign w:val="center"/>
                </w:tcPr>
                <w:p>
                  <w:pPr>
                    <w:widowControl/>
                    <w:snapToGrid w:val="0"/>
                    <w:spacing w:line="240" w:lineRule="auto"/>
                    <w:ind w:firstLine="0" w:firstLineChars="0"/>
                    <w:jc w:val="center"/>
                    <w:rPr>
                      <w:b/>
                      <w:bCs/>
                      <w:snapToGrid w:val="0"/>
                      <w:kern w:val="0"/>
                      <w:sz w:val="21"/>
                      <w:szCs w:val="21"/>
                    </w:rPr>
                  </w:pPr>
                </w:p>
              </w:tc>
              <w:tc>
                <w:tcPr>
                  <w:tcW w:w="1053" w:type="dxa"/>
                  <w:vMerge w:val="continue"/>
                  <w:vAlign w:val="center"/>
                </w:tcPr>
                <w:p>
                  <w:pPr>
                    <w:widowControl/>
                    <w:snapToGrid w:val="0"/>
                    <w:spacing w:line="240" w:lineRule="auto"/>
                    <w:ind w:firstLine="0" w:firstLineChars="0"/>
                    <w:jc w:val="center"/>
                    <w:rPr>
                      <w:b/>
                      <w:bCs/>
                      <w:snapToGrid w:val="0"/>
                      <w:kern w:val="0"/>
                      <w:sz w:val="21"/>
                      <w:szCs w:val="21"/>
                    </w:rPr>
                  </w:pPr>
                </w:p>
              </w:tc>
              <w:tc>
                <w:tcPr>
                  <w:tcW w:w="962" w:type="dxa"/>
                  <w:vMerge w:val="continue"/>
                  <w:vAlign w:val="center"/>
                </w:tcPr>
                <w:p>
                  <w:pPr>
                    <w:widowControl/>
                    <w:snapToGrid w:val="0"/>
                    <w:spacing w:line="240" w:lineRule="auto"/>
                    <w:ind w:firstLine="0" w:firstLineChars="0"/>
                    <w:jc w:val="center"/>
                    <w:rPr>
                      <w:b/>
                      <w:bCs/>
                      <w:snapToGrid w:val="0"/>
                      <w:kern w:val="0"/>
                      <w:sz w:val="21"/>
                      <w:szCs w:val="21"/>
                    </w:rPr>
                  </w:pPr>
                </w:p>
              </w:tc>
              <w:tc>
                <w:tcPr>
                  <w:tcW w:w="667" w:type="dxa"/>
                  <w:vMerge w:val="continue"/>
                  <w:vAlign w:val="center"/>
                </w:tcPr>
                <w:p>
                  <w:pPr>
                    <w:widowControl/>
                    <w:snapToGrid w:val="0"/>
                    <w:spacing w:line="240" w:lineRule="auto"/>
                    <w:ind w:firstLine="0" w:firstLineChars="0"/>
                    <w:jc w:val="center"/>
                    <w:rPr>
                      <w:b/>
                      <w:bCs/>
                      <w:snapToGrid w:val="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800" w:type="dxa"/>
                  <w:vMerge w:val="restar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项目井口处</w:t>
                  </w:r>
                </w:p>
              </w:tc>
              <w:tc>
                <w:tcPr>
                  <w:tcW w:w="430" w:type="dxa"/>
                  <w:vMerge w:val="restart"/>
                  <w:vAlign w:val="center"/>
                </w:tcPr>
                <w:p>
                  <w:pPr>
                    <w:snapToGrid w:val="0"/>
                    <w:spacing w:line="240" w:lineRule="auto"/>
                    <w:ind w:firstLine="0" w:firstLineChars="0"/>
                    <w:jc w:val="center"/>
                    <w:rPr>
                      <w:snapToGrid w:val="0"/>
                      <w:kern w:val="0"/>
                      <w:sz w:val="21"/>
                      <w:szCs w:val="21"/>
                    </w:rPr>
                  </w:pPr>
                  <w:r>
                    <w:rPr>
                      <w:snapToGrid w:val="0"/>
                      <w:kern w:val="0"/>
                      <w:sz w:val="21"/>
                      <w:szCs w:val="21"/>
                    </w:rPr>
                    <w:t>0</w:t>
                  </w:r>
                </w:p>
              </w:tc>
              <w:tc>
                <w:tcPr>
                  <w:tcW w:w="573" w:type="dxa"/>
                  <w:vMerge w:val="restart"/>
                  <w:vAlign w:val="center"/>
                </w:tcPr>
                <w:p>
                  <w:pPr>
                    <w:snapToGrid w:val="0"/>
                    <w:spacing w:line="240" w:lineRule="auto"/>
                    <w:ind w:firstLine="0" w:firstLineChars="0"/>
                    <w:jc w:val="center"/>
                    <w:rPr>
                      <w:snapToGrid w:val="0"/>
                      <w:kern w:val="0"/>
                      <w:sz w:val="21"/>
                      <w:szCs w:val="21"/>
                    </w:rPr>
                  </w:pPr>
                  <w:r>
                    <w:rPr>
                      <w:snapToGrid w:val="0"/>
                      <w:kern w:val="0"/>
                      <w:sz w:val="21"/>
                      <w:szCs w:val="21"/>
                    </w:rPr>
                    <w:t>0</w:t>
                  </w:r>
                </w:p>
              </w:tc>
              <w:tc>
                <w:tcPr>
                  <w:tcW w:w="14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H</w:t>
                  </w:r>
                  <w:r>
                    <w:rPr>
                      <w:rFonts w:ascii="Times New Roman" w:hAnsi="Times New Roman"/>
                      <w:snapToGrid w:val="0"/>
                      <w:kern w:val="0"/>
                      <w:sz w:val="21"/>
                      <w:szCs w:val="21"/>
                      <w:vertAlign w:val="subscript"/>
                    </w:rPr>
                    <w:t>2</w:t>
                  </w:r>
                  <w:r>
                    <w:rPr>
                      <w:rFonts w:ascii="Times New Roman" w:hAnsi="Times New Roman"/>
                      <w:snapToGrid w:val="0"/>
                      <w:kern w:val="0"/>
                      <w:sz w:val="21"/>
                      <w:szCs w:val="21"/>
                    </w:rPr>
                    <w:t>S</w:t>
                  </w:r>
                </w:p>
              </w:tc>
              <w:tc>
                <w:tcPr>
                  <w:tcW w:w="12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0.01</w:t>
                  </w:r>
                </w:p>
              </w:tc>
              <w:tc>
                <w:tcPr>
                  <w:tcW w:w="1349" w:type="dxa"/>
                  <w:vAlign w:val="center"/>
                </w:tcPr>
                <w:p>
                  <w:pPr>
                    <w:snapToGrid w:val="0"/>
                    <w:spacing w:line="240" w:lineRule="auto"/>
                    <w:ind w:firstLine="0" w:firstLineChars="0"/>
                    <w:jc w:val="center"/>
                    <w:rPr>
                      <w:snapToGrid w:val="0"/>
                      <w:kern w:val="0"/>
                      <w:sz w:val="21"/>
                      <w:szCs w:val="21"/>
                    </w:rPr>
                  </w:pPr>
                  <w:r>
                    <w:rPr>
                      <w:snapToGrid w:val="0"/>
                      <w:kern w:val="0"/>
                      <w:sz w:val="21"/>
                      <w:szCs w:val="21"/>
                    </w:rPr>
                    <w:t>低于检出限</w:t>
                  </w:r>
                  <w:r>
                    <w:rPr>
                      <w:rFonts w:hint="eastAsia"/>
                      <w:snapToGrid w:val="0"/>
                      <w:kern w:val="0"/>
                      <w:sz w:val="21"/>
                      <w:szCs w:val="21"/>
                    </w:rPr>
                    <w:t>~</w:t>
                  </w:r>
                  <w:r>
                    <w:rPr>
                      <w:snapToGrid w:val="0"/>
                      <w:kern w:val="0"/>
                      <w:sz w:val="21"/>
                      <w:szCs w:val="21"/>
                    </w:rPr>
                    <w:t>0.002</w:t>
                  </w:r>
                </w:p>
              </w:tc>
              <w:tc>
                <w:tcPr>
                  <w:tcW w:w="1053"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2.0%</w:t>
                  </w:r>
                </w:p>
              </w:tc>
              <w:tc>
                <w:tcPr>
                  <w:tcW w:w="962"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w:t>
                  </w:r>
                </w:p>
              </w:tc>
              <w:tc>
                <w:tcPr>
                  <w:tcW w:w="667" w:type="dxa"/>
                  <w:vAlign w:val="center"/>
                </w:tcPr>
                <w:p>
                  <w:pPr>
                    <w:snapToGrid w:val="0"/>
                    <w:spacing w:line="240" w:lineRule="auto"/>
                    <w:ind w:firstLine="0" w:firstLineChars="0"/>
                    <w:jc w:val="center"/>
                    <w:rPr>
                      <w:snapToGrid w:val="0"/>
                      <w:kern w:val="0"/>
                      <w:sz w:val="21"/>
                      <w:szCs w:val="21"/>
                    </w:rPr>
                  </w:pPr>
                  <w:r>
                    <w:rPr>
                      <w:rFonts w:hAnsi="宋体"/>
                      <w:snapToGrid w:val="0"/>
                      <w:ker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800" w:type="dxa"/>
                  <w:vMerge w:val="continue"/>
                  <w:vAlign w:val="center"/>
                </w:tcPr>
                <w:p>
                  <w:pPr>
                    <w:snapToGrid w:val="0"/>
                    <w:spacing w:line="240" w:lineRule="auto"/>
                    <w:ind w:firstLine="0" w:firstLineChars="0"/>
                    <w:jc w:val="center"/>
                    <w:rPr>
                      <w:rFonts w:hAnsi="宋体"/>
                      <w:snapToGrid w:val="0"/>
                      <w:kern w:val="0"/>
                      <w:sz w:val="21"/>
                      <w:szCs w:val="21"/>
                    </w:rPr>
                  </w:pPr>
                </w:p>
              </w:tc>
              <w:tc>
                <w:tcPr>
                  <w:tcW w:w="430" w:type="dxa"/>
                  <w:vMerge w:val="continue"/>
                  <w:vAlign w:val="center"/>
                </w:tcPr>
                <w:p>
                  <w:pPr>
                    <w:snapToGrid w:val="0"/>
                    <w:spacing w:line="240" w:lineRule="auto"/>
                    <w:ind w:firstLine="0" w:firstLineChars="0"/>
                    <w:jc w:val="center"/>
                    <w:rPr>
                      <w:snapToGrid w:val="0"/>
                      <w:kern w:val="0"/>
                      <w:sz w:val="21"/>
                      <w:szCs w:val="21"/>
                    </w:rPr>
                  </w:pPr>
                </w:p>
              </w:tc>
              <w:tc>
                <w:tcPr>
                  <w:tcW w:w="573" w:type="dxa"/>
                  <w:vMerge w:val="continue"/>
                  <w:vAlign w:val="center"/>
                </w:tcPr>
                <w:p>
                  <w:pPr>
                    <w:snapToGrid w:val="0"/>
                    <w:spacing w:line="240" w:lineRule="auto"/>
                    <w:ind w:firstLine="0" w:firstLineChars="0"/>
                    <w:jc w:val="center"/>
                    <w:rPr>
                      <w:snapToGrid w:val="0"/>
                      <w:kern w:val="0"/>
                      <w:sz w:val="21"/>
                      <w:szCs w:val="21"/>
                    </w:rPr>
                  </w:pPr>
                </w:p>
              </w:tc>
              <w:tc>
                <w:tcPr>
                  <w:tcW w:w="14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非甲烷总烃</w:t>
                  </w:r>
                </w:p>
              </w:tc>
              <w:tc>
                <w:tcPr>
                  <w:tcW w:w="12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hint="eastAsia" w:ascii="Times New Roman" w:hAnsi="Times New Roman"/>
                      <w:snapToGrid w:val="0"/>
                      <w:kern w:val="0"/>
                      <w:sz w:val="21"/>
                      <w:szCs w:val="21"/>
                    </w:rPr>
                    <w:t>2</w:t>
                  </w:r>
                  <w:r>
                    <w:rPr>
                      <w:rFonts w:ascii="Times New Roman" w:hAnsi="Times New Roman"/>
                      <w:snapToGrid w:val="0"/>
                      <w:kern w:val="0"/>
                      <w:sz w:val="21"/>
                      <w:szCs w:val="21"/>
                    </w:rPr>
                    <w:t>.0</w:t>
                  </w:r>
                </w:p>
              </w:tc>
              <w:tc>
                <w:tcPr>
                  <w:tcW w:w="1349" w:type="dxa"/>
                  <w:vAlign w:val="center"/>
                </w:tcPr>
                <w:p>
                  <w:pPr>
                    <w:snapToGrid w:val="0"/>
                    <w:spacing w:line="240" w:lineRule="auto"/>
                    <w:ind w:firstLine="0" w:firstLineChars="0"/>
                    <w:jc w:val="center"/>
                    <w:rPr>
                      <w:snapToGrid w:val="0"/>
                      <w:kern w:val="0"/>
                      <w:sz w:val="21"/>
                      <w:szCs w:val="21"/>
                    </w:rPr>
                  </w:pPr>
                  <w:r>
                    <w:rPr>
                      <w:snapToGrid w:val="0"/>
                      <w:kern w:val="0"/>
                      <w:sz w:val="21"/>
                      <w:szCs w:val="21"/>
                    </w:rPr>
                    <w:t>0.79~1.18</w:t>
                  </w:r>
                </w:p>
              </w:tc>
              <w:tc>
                <w:tcPr>
                  <w:tcW w:w="1053"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59.0%</w:t>
                  </w:r>
                </w:p>
              </w:tc>
              <w:tc>
                <w:tcPr>
                  <w:tcW w:w="962"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w:t>
                  </w:r>
                </w:p>
              </w:tc>
              <w:tc>
                <w:tcPr>
                  <w:tcW w:w="667" w:type="dxa"/>
                  <w:vAlign w:val="center"/>
                </w:tcPr>
                <w:p>
                  <w:pPr>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800" w:type="dxa"/>
                  <w:vMerge w:val="continue"/>
                  <w:vAlign w:val="center"/>
                </w:tcPr>
                <w:p>
                  <w:pPr>
                    <w:snapToGrid w:val="0"/>
                    <w:spacing w:line="240" w:lineRule="auto"/>
                    <w:ind w:firstLine="0" w:firstLineChars="0"/>
                    <w:jc w:val="center"/>
                    <w:rPr>
                      <w:rFonts w:hAnsi="宋体"/>
                      <w:snapToGrid w:val="0"/>
                      <w:kern w:val="0"/>
                      <w:sz w:val="21"/>
                      <w:szCs w:val="21"/>
                    </w:rPr>
                  </w:pPr>
                </w:p>
              </w:tc>
              <w:tc>
                <w:tcPr>
                  <w:tcW w:w="430" w:type="dxa"/>
                  <w:vMerge w:val="continue"/>
                  <w:vAlign w:val="center"/>
                </w:tcPr>
                <w:p>
                  <w:pPr>
                    <w:snapToGrid w:val="0"/>
                    <w:spacing w:line="240" w:lineRule="auto"/>
                    <w:ind w:firstLine="0" w:firstLineChars="0"/>
                    <w:jc w:val="center"/>
                    <w:rPr>
                      <w:snapToGrid w:val="0"/>
                      <w:kern w:val="0"/>
                      <w:sz w:val="21"/>
                      <w:szCs w:val="21"/>
                    </w:rPr>
                  </w:pPr>
                </w:p>
              </w:tc>
              <w:tc>
                <w:tcPr>
                  <w:tcW w:w="573" w:type="dxa"/>
                  <w:vMerge w:val="continue"/>
                  <w:vAlign w:val="center"/>
                </w:tcPr>
                <w:p>
                  <w:pPr>
                    <w:snapToGrid w:val="0"/>
                    <w:spacing w:line="240" w:lineRule="auto"/>
                    <w:ind w:firstLine="0" w:firstLineChars="0"/>
                    <w:jc w:val="center"/>
                    <w:rPr>
                      <w:snapToGrid w:val="0"/>
                      <w:kern w:val="0"/>
                      <w:sz w:val="21"/>
                      <w:szCs w:val="21"/>
                    </w:rPr>
                  </w:pPr>
                </w:p>
              </w:tc>
              <w:tc>
                <w:tcPr>
                  <w:tcW w:w="14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TSP</w:t>
                  </w:r>
                </w:p>
              </w:tc>
              <w:tc>
                <w:tcPr>
                  <w:tcW w:w="1234"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0.3</w:t>
                  </w:r>
                </w:p>
              </w:tc>
              <w:tc>
                <w:tcPr>
                  <w:tcW w:w="1349" w:type="dxa"/>
                  <w:vAlign w:val="center"/>
                </w:tcPr>
                <w:p>
                  <w:pPr>
                    <w:snapToGrid w:val="0"/>
                    <w:spacing w:line="240" w:lineRule="auto"/>
                    <w:ind w:firstLine="0" w:firstLineChars="0"/>
                    <w:jc w:val="center"/>
                    <w:rPr>
                      <w:snapToGrid w:val="0"/>
                      <w:kern w:val="0"/>
                      <w:sz w:val="21"/>
                      <w:szCs w:val="21"/>
                    </w:rPr>
                  </w:pPr>
                  <w:r>
                    <w:rPr>
                      <w:snapToGrid w:val="0"/>
                      <w:kern w:val="0"/>
                      <w:sz w:val="21"/>
                      <w:szCs w:val="21"/>
                    </w:rPr>
                    <w:t>0.061~</w:t>
                  </w:r>
                  <w:r>
                    <w:t xml:space="preserve"> </w:t>
                  </w:r>
                  <w:r>
                    <w:rPr>
                      <w:snapToGrid w:val="0"/>
                      <w:kern w:val="0"/>
                      <w:sz w:val="21"/>
                      <w:szCs w:val="21"/>
                    </w:rPr>
                    <w:t>0.078</w:t>
                  </w:r>
                </w:p>
              </w:tc>
              <w:tc>
                <w:tcPr>
                  <w:tcW w:w="1053"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26.0%</w:t>
                  </w:r>
                </w:p>
              </w:tc>
              <w:tc>
                <w:tcPr>
                  <w:tcW w:w="962" w:type="dxa"/>
                  <w:vAlign w:val="center"/>
                </w:tcPr>
                <w:p>
                  <w:pPr>
                    <w:pStyle w:val="50"/>
                    <w:snapToGrid w:val="0"/>
                    <w:spacing w:line="240" w:lineRule="auto"/>
                    <w:ind w:firstLine="0" w:firstLineChars="0"/>
                    <w:rPr>
                      <w:rFonts w:ascii="Times New Roman" w:hAnsi="Times New Roman"/>
                      <w:snapToGrid w:val="0"/>
                      <w:kern w:val="0"/>
                      <w:sz w:val="21"/>
                      <w:szCs w:val="21"/>
                    </w:rPr>
                  </w:pPr>
                  <w:r>
                    <w:rPr>
                      <w:rFonts w:ascii="Times New Roman" w:hAnsi="Times New Roman"/>
                      <w:snapToGrid w:val="0"/>
                      <w:kern w:val="0"/>
                      <w:sz w:val="21"/>
                      <w:szCs w:val="21"/>
                    </w:rPr>
                    <w:t>/</w:t>
                  </w:r>
                </w:p>
              </w:tc>
              <w:tc>
                <w:tcPr>
                  <w:tcW w:w="667" w:type="dxa"/>
                  <w:vAlign w:val="center"/>
                </w:tcPr>
                <w:p>
                  <w:pPr>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达标</w:t>
                  </w:r>
                </w:p>
              </w:tc>
            </w:tr>
          </w:tbl>
          <w:p>
            <w:pPr>
              <w:adjustRightInd w:val="0"/>
              <w:snapToGrid w:val="0"/>
              <w:ind w:firstLine="420"/>
              <w:rPr>
                <w:rFonts w:hAnsi="宋体"/>
                <w:snapToGrid w:val="0"/>
                <w:kern w:val="0"/>
                <w:sz w:val="21"/>
                <w:szCs w:val="21"/>
              </w:rPr>
            </w:pPr>
            <w:r>
              <w:rPr>
                <w:rFonts w:hint="eastAsia" w:hAnsi="宋体"/>
                <w:snapToGrid w:val="0"/>
                <w:kern w:val="0"/>
                <w:sz w:val="21"/>
                <w:szCs w:val="21"/>
              </w:rPr>
              <w:t>根据监测结果表明，H</w:t>
            </w:r>
            <w:r>
              <w:rPr>
                <w:rFonts w:hint="eastAsia" w:hAnsi="宋体"/>
                <w:snapToGrid w:val="0"/>
                <w:kern w:val="0"/>
                <w:sz w:val="21"/>
                <w:szCs w:val="21"/>
                <w:vertAlign w:val="subscript"/>
              </w:rPr>
              <w:t>2</w:t>
            </w:r>
            <w:r>
              <w:rPr>
                <w:rFonts w:hint="eastAsia" w:hAnsi="宋体"/>
                <w:snapToGrid w:val="0"/>
                <w:kern w:val="0"/>
                <w:sz w:val="21"/>
                <w:szCs w:val="21"/>
              </w:rPr>
              <w:t>S、</w:t>
            </w:r>
            <w:r>
              <w:rPr>
                <w:snapToGrid w:val="0"/>
                <w:kern w:val="0"/>
                <w:sz w:val="21"/>
                <w:szCs w:val="21"/>
              </w:rPr>
              <w:t>非甲烷总烃及</w:t>
            </w:r>
            <w:r>
              <w:rPr>
                <w:rFonts w:hint="eastAsia"/>
                <w:snapToGrid w:val="0"/>
                <w:kern w:val="0"/>
                <w:sz w:val="21"/>
                <w:szCs w:val="21"/>
              </w:rPr>
              <w:t>T</w:t>
            </w:r>
            <w:r>
              <w:rPr>
                <w:snapToGrid w:val="0"/>
                <w:kern w:val="0"/>
                <w:sz w:val="21"/>
                <w:szCs w:val="21"/>
              </w:rPr>
              <w:t>SP</w:t>
            </w:r>
            <w:r>
              <w:rPr>
                <w:rFonts w:hint="eastAsia" w:hAnsi="宋体"/>
                <w:snapToGrid w:val="0"/>
                <w:kern w:val="0"/>
                <w:sz w:val="21"/>
                <w:szCs w:val="21"/>
              </w:rPr>
              <w:t>监测指标满足相应环境质量标准要求，项目所在地环境空气质量良好。</w:t>
            </w:r>
          </w:p>
          <w:p>
            <w:pPr>
              <w:adjustRightInd w:val="0"/>
              <w:snapToGrid w:val="0"/>
              <w:ind w:firstLine="422"/>
              <w:rPr>
                <w:b/>
                <w:snapToGrid w:val="0"/>
                <w:kern w:val="0"/>
                <w:sz w:val="21"/>
                <w:szCs w:val="21"/>
              </w:rPr>
            </w:pPr>
            <w:r>
              <w:rPr>
                <w:rFonts w:hint="eastAsia"/>
                <w:b/>
                <w:snapToGrid w:val="0"/>
                <w:kern w:val="0"/>
                <w:sz w:val="21"/>
                <w:szCs w:val="21"/>
              </w:rPr>
              <w:t>3.1.2地表水环境质量现状</w:t>
            </w:r>
          </w:p>
          <w:p>
            <w:pPr>
              <w:shd w:val="clear" w:color="auto" w:fill="FFFFFF"/>
              <w:snapToGrid w:val="0"/>
              <w:ind w:firstLine="420"/>
              <w:rPr>
                <w:snapToGrid w:val="0"/>
                <w:kern w:val="0"/>
                <w:sz w:val="21"/>
                <w:szCs w:val="21"/>
                <w:shd w:val="clear" w:color="auto" w:fill="FFFFFF"/>
              </w:rPr>
            </w:pPr>
            <w:r>
              <w:rPr>
                <w:snapToGrid w:val="0"/>
                <w:kern w:val="0"/>
                <w:sz w:val="21"/>
                <w:szCs w:val="21"/>
              </w:rPr>
              <w:t>拟建项目位于</w:t>
            </w:r>
            <w:r>
              <w:rPr>
                <w:rFonts w:hint="eastAsia"/>
                <w:snapToGrid w:val="0"/>
                <w:kern w:val="0"/>
                <w:sz w:val="21"/>
                <w:szCs w:val="21"/>
              </w:rPr>
              <w:t>达州市</w:t>
            </w:r>
            <w:r>
              <w:rPr>
                <w:snapToGrid w:val="0"/>
                <w:kern w:val="0"/>
                <w:sz w:val="21"/>
                <w:szCs w:val="21"/>
              </w:rPr>
              <w:t>通川区，项目所在地位</w:t>
            </w:r>
            <w:r>
              <w:rPr>
                <w:rFonts w:hint="eastAsia"/>
                <w:snapToGrid w:val="0"/>
                <w:kern w:val="0"/>
                <w:sz w:val="21"/>
                <w:szCs w:val="21"/>
              </w:rPr>
              <w:t>巴河</w:t>
            </w:r>
            <w:r>
              <w:rPr>
                <w:snapToGrid w:val="0"/>
                <w:kern w:val="0"/>
                <w:sz w:val="21"/>
                <w:szCs w:val="21"/>
              </w:rPr>
              <w:t>流域。根据达州市生态环境局公开发布的</w:t>
            </w:r>
            <w:r>
              <w:rPr>
                <w:rFonts w:hint="eastAsia"/>
                <w:snapToGrid w:val="0"/>
                <w:kern w:val="0"/>
                <w:sz w:val="21"/>
                <w:szCs w:val="21"/>
              </w:rPr>
              <w:t>《</w:t>
            </w:r>
            <w:r>
              <w:rPr>
                <w:rFonts w:hint="eastAsia"/>
                <w:sz w:val="21"/>
                <w:szCs w:val="21"/>
              </w:rPr>
              <w:t>2024年1月达州市地表水水质月报</w:t>
            </w:r>
            <w:r>
              <w:rPr>
                <w:rFonts w:hint="eastAsia"/>
                <w:snapToGrid w:val="0"/>
                <w:kern w:val="0"/>
                <w:sz w:val="21"/>
                <w:szCs w:val="21"/>
              </w:rPr>
              <w:t>》</w:t>
            </w:r>
            <w:r>
              <w:rPr>
                <w:snapToGrid w:val="0"/>
                <w:kern w:val="0"/>
                <w:sz w:val="21"/>
                <w:szCs w:val="21"/>
              </w:rPr>
              <w:t>，</w:t>
            </w:r>
            <w:r>
              <w:rPr>
                <w:rFonts w:hint="eastAsia"/>
                <w:snapToGrid w:val="0"/>
                <w:kern w:val="0"/>
                <w:sz w:val="21"/>
                <w:szCs w:val="21"/>
              </w:rPr>
              <w:t>巴河</w:t>
            </w:r>
            <w:r>
              <w:rPr>
                <w:snapToGrid w:val="0"/>
                <w:kern w:val="0"/>
                <w:sz w:val="21"/>
                <w:szCs w:val="21"/>
              </w:rPr>
              <w:t>上共包含了</w:t>
            </w:r>
            <w:r>
              <w:rPr>
                <w:sz w:val="21"/>
                <w:szCs w:val="21"/>
              </w:rPr>
              <w:t>江陵、大蹬沟</w:t>
            </w:r>
            <w:r>
              <w:rPr>
                <w:snapToGrid w:val="0"/>
                <w:kern w:val="0"/>
                <w:sz w:val="21"/>
                <w:szCs w:val="21"/>
                <w:shd w:val="clear" w:color="auto" w:fill="FFFFFF"/>
              </w:rPr>
              <w:t>等5个控制断面，规定水质类别均为Ⅲ类水质。</w:t>
            </w:r>
            <w:r>
              <w:rPr>
                <w:rFonts w:hint="eastAsia"/>
                <w:snapToGrid w:val="0"/>
                <w:kern w:val="0"/>
                <w:sz w:val="21"/>
                <w:szCs w:val="21"/>
                <w:shd w:val="clear" w:color="auto" w:fill="FFFFFF"/>
              </w:rPr>
              <w:t>巴河</w:t>
            </w:r>
            <w:r>
              <w:rPr>
                <w:snapToGrid w:val="0"/>
                <w:kern w:val="0"/>
                <w:sz w:val="21"/>
                <w:szCs w:val="21"/>
                <w:shd w:val="clear" w:color="auto" w:fill="FFFFFF"/>
              </w:rPr>
              <w:t>各控制断面水质实测结果见下表。</w:t>
            </w:r>
          </w:p>
          <w:p>
            <w:pPr>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表3-</w:t>
            </w:r>
            <w:r>
              <w:rPr>
                <w:rFonts w:hAnsi="宋体"/>
                <w:b/>
                <w:snapToGrid w:val="0"/>
                <w:kern w:val="0"/>
                <w:sz w:val="21"/>
                <w:szCs w:val="21"/>
              </w:rPr>
              <w:t xml:space="preserve">4  </w:t>
            </w:r>
            <w:r>
              <w:rPr>
                <w:rFonts w:hint="eastAsia" w:hAnsi="宋体"/>
                <w:b/>
                <w:snapToGrid w:val="0"/>
                <w:kern w:val="0"/>
                <w:sz w:val="21"/>
                <w:szCs w:val="21"/>
              </w:rPr>
              <w:t>巴河各控制断面水质实测结果</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54"/>
              <w:gridCol w:w="787"/>
              <w:gridCol w:w="1269"/>
              <w:gridCol w:w="1745"/>
              <w:gridCol w:w="1191"/>
              <w:gridCol w:w="873"/>
              <w:gridCol w:w="873"/>
              <w:gridCol w:w="8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r>
                    <w:rPr>
                      <w:rStyle w:val="63"/>
                      <w:rFonts w:hint="default"/>
                      <w:color w:val="auto"/>
                      <w:sz w:val="21"/>
                      <w:szCs w:val="21"/>
                    </w:rPr>
                    <w:t>序号</w:t>
                  </w:r>
                </w:p>
              </w:tc>
              <w:tc>
                <w:tcPr>
                  <w:tcW w:w="70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河流</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断面名称</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交界情况</w:t>
                  </w:r>
                </w:p>
              </w:tc>
              <w:tc>
                <w:tcPr>
                  <w:tcW w:w="106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断面性质</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上年</w:t>
                  </w:r>
                  <w:r>
                    <w:rPr>
                      <w:rFonts w:ascii="仿宋" w:hAnsi="仿宋"/>
                      <w:sz w:val="21"/>
                      <w:szCs w:val="21"/>
                    </w:rPr>
                    <w:br w:type="textWrapping"/>
                  </w:r>
                  <w:r>
                    <w:rPr>
                      <w:rStyle w:val="63"/>
                      <w:rFonts w:hint="default"/>
                      <w:color w:val="auto"/>
                      <w:sz w:val="21"/>
                      <w:szCs w:val="21"/>
                    </w:rPr>
                    <w:t>同期</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上月</w:t>
                  </w:r>
                  <w:r>
                    <w:rPr>
                      <w:rFonts w:ascii="仿宋" w:hAnsi="仿宋"/>
                      <w:sz w:val="21"/>
                      <w:szCs w:val="21"/>
                    </w:rPr>
                    <w:br w:type="textWrapping"/>
                  </w:r>
                  <w:r>
                    <w:rPr>
                      <w:rStyle w:val="63"/>
                      <w:rFonts w:hint="default"/>
                      <w:color w:val="auto"/>
                      <w:sz w:val="21"/>
                      <w:szCs w:val="21"/>
                    </w:rPr>
                    <w:t>类别</w:t>
                  </w:r>
                </w:p>
              </w:tc>
              <w:tc>
                <w:tcPr>
                  <w:tcW w:w="7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Style w:val="63"/>
                      <w:rFonts w:hint="default"/>
                      <w:color w:val="auto"/>
                      <w:sz w:val="21"/>
                      <w:szCs w:val="21"/>
                    </w:rPr>
                    <w:t>本月</w:t>
                  </w:r>
                  <w:r>
                    <w:rPr>
                      <w:rFonts w:ascii="仿宋" w:hAnsi="仿宋"/>
                      <w:sz w:val="21"/>
                      <w:szCs w:val="21"/>
                    </w:rPr>
                    <w:br w:type="textWrapping"/>
                  </w:r>
                  <w:r>
                    <w:rPr>
                      <w:rStyle w:val="63"/>
                      <w:rFonts w:hint="default"/>
                      <w:color w:val="auto"/>
                      <w:sz w:val="21"/>
                      <w:szCs w:val="21"/>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TimesNewRomanPSMT" w:hAnsi="TimesNewRomanPSMT" w:cs="宋体"/>
                      <w:kern w:val="0"/>
                      <w:sz w:val="21"/>
                      <w:szCs w:val="21"/>
                    </w:rPr>
                    <w:t>1</w:t>
                  </w:r>
                </w:p>
              </w:tc>
              <w:tc>
                <w:tcPr>
                  <w:tcW w:w="703"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巴河水系干流</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江陵</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市界</w:t>
                  </w:r>
                  <w:r>
                    <w:rPr>
                      <w:rFonts w:ascii="TimesNewRomanPSMT" w:hAnsi="TimesNewRomanPSMT" w:cs="宋体"/>
                      <w:kern w:val="0"/>
                      <w:sz w:val="21"/>
                      <w:szCs w:val="21"/>
                    </w:rPr>
                    <w:t>(</w:t>
                  </w:r>
                  <w:r>
                    <w:rPr>
                      <w:rFonts w:ascii="仿宋" w:hAnsi="仿宋" w:cs="宋体"/>
                      <w:kern w:val="0"/>
                      <w:sz w:val="21"/>
                      <w:szCs w:val="21"/>
                    </w:rPr>
                    <w:t>巴中市</w:t>
                  </w:r>
                  <w:r>
                    <w:rPr>
                      <w:rFonts w:ascii="TimesNewRomanPSMT" w:hAnsi="TimesNewRomanPSMT" w:cs="宋体"/>
                      <w:kern w:val="0"/>
                      <w:sz w:val="21"/>
                      <w:szCs w:val="21"/>
                    </w:rPr>
                    <w:t>→</w:t>
                  </w:r>
                  <w:r>
                    <w:rPr>
                      <w:rFonts w:ascii="仿宋" w:hAnsi="仿宋" w:cs="宋体"/>
                      <w:kern w:val="0"/>
                      <w:sz w:val="21"/>
                      <w:szCs w:val="21"/>
                    </w:rPr>
                    <w:t>达州市</w:t>
                  </w:r>
                  <w:r>
                    <w:rPr>
                      <w:rFonts w:ascii="TimesNewRomanPSMT" w:hAnsi="TimesNewRomanPSMT" w:cs="宋体"/>
                      <w:kern w:val="0"/>
                      <w:sz w:val="21"/>
                      <w:szCs w:val="21"/>
                    </w:rPr>
                    <w:t>)</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国考</w:t>
                  </w:r>
                </w:p>
              </w:tc>
              <w:tc>
                <w:tcPr>
                  <w:tcW w:w="7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Ⅰ</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sz w:val="21"/>
                      <w:szCs w:val="21"/>
                    </w:rPr>
                  </w:pPr>
                  <w:r>
                    <w:rPr>
                      <w:rFonts w:ascii="仿宋" w:hAnsi="仿宋" w:cs="宋体"/>
                      <w:kern w:val="0"/>
                      <w:sz w:val="21"/>
                      <w:szCs w:val="21"/>
                    </w:rPr>
                    <w:t>Ⅱ</w:t>
                  </w:r>
                </w:p>
              </w:tc>
              <w:tc>
                <w:tcPr>
                  <w:tcW w:w="71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TimesNewRomanPSMT" w:hAnsi="TimesNewRomanPSMT" w:cs="宋体"/>
                      <w:kern w:val="0"/>
                      <w:sz w:val="21"/>
                      <w:szCs w:val="21"/>
                    </w:rPr>
                    <w:t>9</w:t>
                  </w:r>
                </w:p>
              </w:tc>
              <w:tc>
                <w:tcPr>
                  <w:tcW w:w="703" w:type="dxa"/>
                  <w:vMerge w:val="continue"/>
                  <w:tcBorders>
                    <w:left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大蹬沟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渠县境内</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国考</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0" w:type="auto"/>
                  <w:vAlign w:val="center"/>
                </w:tcPr>
                <w:p>
                  <w:pPr>
                    <w:spacing w:line="240" w:lineRule="auto"/>
                    <w:ind w:firstLine="0" w:firstLineChars="0"/>
                    <w:jc w:val="center"/>
                    <w:rPr>
                      <w:sz w:val="21"/>
                      <w:szCs w:val="21"/>
                    </w:rPr>
                  </w:pPr>
                  <w:r>
                    <w:rPr>
                      <w:rFonts w:ascii="仿宋" w:hAnsi="仿宋" w:cs="宋体"/>
                      <w:kern w:val="0"/>
                      <w:sz w:val="21"/>
                      <w:szCs w:val="21"/>
                    </w:rPr>
                    <w:t>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TimesNewRomanPSMT" w:hAnsi="TimesNewRomanPSMT" w:cs="宋体"/>
                      <w:kern w:val="0"/>
                      <w:sz w:val="21"/>
                      <w:szCs w:val="21"/>
                    </w:rPr>
                    <w:t>3</w:t>
                  </w:r>
                </w:p>
              </w:tc>
              <w:tc>
                <w:tcPr>
                  <w:tcW w:w="703" w:type="dxa"/>
                  <w:vMerge w:val="continue"/>
                  <w:tcBorders>
                    <w:left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排马梯</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县界</w:t>
                  </w:r>
                  <w:r>
                    <w:rPr>
                      <w:rFonts w:ascii="TimesNewRomanPSMT" w:hAnsi="TimesNewRomanPSMT" w:cs="宋体"/>
                      <w:kern w:val="0"/>
                      <w:sz w:val="21"/>
                      <w:szCs w:val="21"/>
                    </w:rPr>
                    <w:t>(</w:t>
                  </w:r>
                  <w:r>
                    <w:rPr>
                      <w:rFonts w:ascii="仿宋" w:hAnsi="仿宋" w:cs="宋体"/>
                      <w:kern w:val="0"/>
                      <w:sz w:val="21"/>
                      <w:szCs w:val="21"/>
                    </w:rPr>
                    <w:t>通川区</w:t>
                  </w:r>
                  <w:r>
                    <w:rPr>
                      <w:rFonts w:ascii="TimesNewRomanPSMT" w:hAnsi="TimesNewRomanPSMT" w:cs="宋体"/>
                      <w:kern w:val="0"/>
                      <w:sz w:val="21"/>
                      <w:szCs w:val="21"/>
                    </w:rPr>
                    <w:t>→</w:t>
                  </w:r>
                  <w:r>
                    <w:rPr>
                      <w:rFonts w:ascii="仿宋" w:hAnsi="仿宋" w:cs="宋体"/>
                      <w:kern w:val="0"/>
                      <w:sz w:val="21"/>
                      <w:szCs w:val="21"/>
                    </w:rPr>
                    <w:t>达川区</w:t>
                  </w:r>
                  <w:r>
                    <w:rPr>
                      <w:rFonts w:ascii="TimesNewRomanPSMT" w:hAnsi="TimesNewRomanPSMT" w:cs="宋体"/>
                      <w:kern w:val="0"/>
                      <w:sz w:val="21"/>
                      <w:szCs w:val="21"/>
                    </w:rPr>
                    <w:t>)</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省控考核评价</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0" w:type="auto"/>
                  <w:vAlign w:val="center"/>
                </w:tcPr>
                <w:p>
                  <w:pPr>
                    <w:spacing w:line="240" w:lineRule="auto"/>
                    <w:ind w:firstLine="0" w:firstLineChars="0"/>
                    <w:jc w:val="center"/>
                    <w:rPr>
                      <w:sz w:val="21"/>
                      <w:szCs w:val="21"/>
                    </w:rPr>
                  </w:pPr>
                  <w:r>
                    <w:rPr>
                      <w:rFonts w:ascii="仿宋" w:hAnsi="仿宋" w:cs="宋体"/>
                      <w:kern w:val="0"/>
                      <w:sz w:val="21"/>
                      <w:szCs w:val="21"/>
                    </w:rPr>
                    <w:t>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TimesNewRomanPSMT" w:hAnsi="TimesNewRomanPSMT" w:cs="宋体"/>
                      <w:kern w:val="0"/>
                      <w:sz w:val="21"/>
                      <w:szCs w:val="21"/>
                    </w:rPr>
                    <w:t>4</w:t>
                  </w: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清河坝</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县界</w:t>
                  </w:r>
                  <w:r>
                    <w:rPr>
                      <w:rFonts w:ascii="TimesNewRomanPSMT" w:hAnsi="TimesNewRomanPSMT" w:cs="宋体"/>
                      <w:kern w:val="0"/>
                      <w:sz w:val="21"/>
                      <w:szCs w:val="21"/>
                    </w:rPr>
                    <w:t>(</w:t>
                  </w:r>
                  <w:r>
                    <w:rPr>
                      <w:rFonts w:ascii="仿宋" w:hAnsi="仿宋" w:cs="宋体"/>
                      <w:kern w:val="0"/>
                      <w:sz w:val="21"/>
                      <w:szCs w:val="21"/>
                    </w:rPr>
                    <w:t>达川区</w:t>
                  </w:r>
                  <w:r>
                    <w:rPr>
                      <w:rFonts w:ascii="TimesNewRomanPSMT" w:hAnsi="TimesNewRomanPSMT" w:cs="宋体"/>
                      <w:kern w:val="0"/>
                      <w:sz w:val="21"/>
                      <w:szCs w:val="21"/>
                    </w:rPr>
                    <w:t>→</w:t>
                  </w:r>
                  <w:r>
                    <w:rPr>
                      <w:rFonts w:ascii="仿宋" w:hAnsi="仿宋" w:cs="宋体"/>
                      <w:kern w:val="0"/>
                      <w:sz w:val="21"/>
                      <w:szCs w:val="21"/>
                    </w:rPr>
                    <w:t>渠县</w:t>
                  </w:r>
                  <w:r>
                    <w:rPr>
                      <w:rFonts w:ascii="TimesNewRomanPSMT" w:hAnsi="TimesNewRomanPSMT" w:cs="宋体"/>
                      <w:kern w:val="0"/>
                      <w:sz w:val="21"/>
                      <w:szCs w:val="21"/>
                    </w:rPr>
                    <w:t>)</w:t>
                  </w:r>
                </w:p>
              </w:tc>
              <w:tc>
                <w:tcPr>
                  <w:tcW w:w="106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cs="宋体"/>
                      <w:kern w:val="0"/>
                      <w:sz w:val="21"/>
                      <w:szCs w:val="21"/>
                    </w:rPr>
                  </w:pPr>
                  <w:r>
                    <w:rPr>
                      <w:rFonts w:ascii="仿宋" w:hAnsi="仿宋" w:cs="宋体"/>
                      <w:kern w:val="0"/>
                      <w:sz w:val="21"/>
                      <w:szCs w:val="21"/>
                    </w:rPr>
                    <w:t>省控考核评价</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ascii="仿宋" w:hAnsi="仿宋" w:cs="宋体"/>
                      <w:kern w:val="0"/>
                      <w:sz w:val="21"/>
                      <w:szCs w:val="21"/>
                    </w:rPr>
                    <w:t>Ⅱ</w:t>
                  </w:r>
                </w:p>
              </w:tc>
              <w:tc>
                <w:tcPr>
                  <w:tcW w:w="0" w:type="auto"/>
                  <w:vAlign w:val="center"/>
                </w:tcPr>
                <w:p>
                  <w:pPr>
                    <w:spacing w:line="240" w:lineRule="auto"/>
                    <w:ind w:firstLine="0" w:firstLineChars="0"/>
                    <w:jc w:val="center"/>
                    <w:rPr>
                      <w:sz w:val="21"/>
                      <w:szCs w:val="21"/>
                    </w:rPr>
                  </w:pPr>
                  <w:r>
                    <w:rPr>
                      <w:rFonts w:ascii="仿宋" w:hAnsi="仿宋" w:cs="宋体"/>
                      <w:kern w:val="0"/>
                      <w:sz w:val="21"/>
                      <w:szCs w:val="21"/>
                    </w:rPr>
                    <w:t>Ⅱ</w:t>
                  </w:r>
                </w:p>
              </w:tc>
            </w:tr>
          </w:tbl>
          <w:p>
            <w:pPr>
              <w:pStyle w:val="9"/>
              <w:snapToGrid w:val="0"/>
              <w:ind w:firstLine="422"/>
              <w:jc w:val="both"/>
              <w:rPr>
                <w:rFonts w:hAnsi="宋体"/>
                <w:b/>
                <w:snapToGrid w:val="0"/>
                <w:sz w:val="21"/>
                <w:szCs w:val="21"/>
              </w:rPr>
            </w:pPr>
            <w:r>
              <w:rPr>
                <w:rFonts w:hAnsi="宋体"/>
                <w:b/>
                <w:snapToGrid w:val="0"/>
                <w:sz w:val="21"/>
                <w:szCs w:val="21"/>
              </w:rPr>
              <w:t>根据上表可知</w:t>
            </w:r>
            <w:r>
              <w:rPr>
                <w:rFonts w:hint="eastAsia" w:hAnsi="宋体"/>
                <w:b/>
                <w:snapToGrid w:val="0"/>
                <w:sz w:val="21"/>
                <w:szCs w:val="21"/>
              </w:rPr>
              <w:t>，项目所在地地表水环境质量良好</w:t>
            </w:r>
          </w:p>
          <w:p>
            <w:pPr>
              <w:adjustRightInd w:val="0"/>
              <w:snapToGrid w:val="0"/>
              <w:ind w:firstLine="422"/>
              <w:rPr>
                <w:b/>
                <w:snapToGrid w:val="0"/>
                <w:kern w:val="0"/>
                <w:sz w:val="21"/>
                <w:szCs w:val="21"/>
              </w:rPr>
            </w:pPr>
            <w:r>
              <w:rPr>
                <w:rFonts w:hint="eastAsia"/>
                <w:b/>
                <w:snapToGrid w:val="0"/>
                <w:kern w:val="0"/>
                <w:sz w:val="21"/>
                <w:szCs w:val="21"/>
              </w:rPr>
              <w:t>3.1.3地下水环境质量现状</w:t>
            </w:r>
          </w:p>
          <w:p>
            <w:pPr>
              <w:adjustRightInd w:val="0"/>
              <w:snapToGrid w:val="0"/>
              <w:ind w:firstLine="420"/>
              <w:rPr>
                <w:rFonts w:hAnsi="宋体"/>
                <w:snapToGrid w:val="0"/>
                <w:kern w:val="0"/>
                <w:sz w:val="21"/>
                <w:szCs w:val="21"/>
              </w:rPr>
            </w:pPr>
            <w:r>
              <w:rPr>
                <w:rFonts w:hint="eastAsia" w:hAnsi="宋体"/>
                <w:snapToGrid w:val="0"/>
                <w:kern w:val="0"/>
                <w:sz w:val="21"/>
                <w:szCs w:val="21"/>
              </w:rPr>
              <w:t>本次评价委托四川省工业环境监测研究院于2</w:t>
            </w:r>
            <w:r>
              <w:rPr>
                <w:rFonts w:hAnsi="宋体"/>
                <w:snapToGrid w:val="0"/>
                <w:kern w:val="0"/>
                <w:sz w:val="21"/>
                <w:szCs w:val="21"/>
              </w:rPr>
              <w:t>024年2</w:t>
            </w:r>
            <w:r>
              <w:rPr>
                <w:rFonts w:hint="eastAsia" w:hAnsi="宋体"/>
                <w:snapToGrid w:val="0"/>
                <w:kern w:val="0"/>
                <w:sz w:val="21"/>
                <w:szCs w:val="21"/>
              </w:rPr>
              <w:t>月</w:t>
            </w:r>
            <w:r>
              <w:rPr>
                <w:rFonts w:hAnsi="宋体"/>
                <w:snapToGrid w:val="0"/>
                <w:kern w:val="0"/>
                <w:sz w:val="21"/>
                <w:szCs w:val="21"/>
              </w:rPr>
              <w:t>28日对项目所在</w:t>
            </w:r>
            <w:r>
              <w:rPr>
                <w:rFonts w:hint="eastAsia" w:hAnsi="宋体"/>
                <w:snapToGrid w:val="0"/>
                <w:kern w:val="0"/>
                <w:sz w:val="21"/>
                <w:szCs w:val="21"/>
              </w:rPr>
              <w:t>地下水环境质量进行了补充监测。具体监测方案如下。</w:t>
            </w:r>
          </w:p>
          <w:p>
            <w:pPr>
              <w:pStyle w:val="45"/>
              <w:tabs>
                <w:tab w:val="left" w:pos="420"/>
                <w:tab w:val="clear" w:pos="377"/>
              </w:tabs>
              <w:snapToGrid w:val="0"/>
              <w:ind w:firstLine="420"/>
              <w:rPr>
                <w:snapToGrid w:val="0"/>
                <w:sz w:val="21"/>
              </w:rPr>
            </w:pPr>
            <w:r>
              <w:rPr>
                <w:rFonts w:hint="eastAsia" w:hAnsi="宋体"/>
                <w:snapToGrid w:val="0"/>
                <w:sz w:val="21"/>
              </w:rPr>
              <w:t>（</w:t>
            </w:r>
            <w:r>
              <w:rPr>
                <w:snapToGrid w:val="0"/>
                <w:sz w:val="21"/>
              </w:rPr>
              <w:t>1</w:t>
            </w:r>
            <w:r>
              <w:rPr>
                <w:rFonts w:hint="eastAsia" w:hAnsi="宋体"/>
                <w:snapToGrid w:val="0"/>
                <w:sz w:val="21"/>
              </w:rPr>
              <w:t>）监测布点</w:t>
            </w:r>
          </w:p>
          <w:p>
            <w:pPr>
              <w:pStyle w:val="45"/>
              <w:tabs>
                <w:tab w:val="left" w:pos="420"/>
                <w:tab w:val="clear" w:pos="377"/>
              </w:tabs>
              <w:snapToGrid w:val="0"/>
              <w:ind w:firstLine="420"/>
              <w:rPr>
                <w:b/>
                <w:snapToGrid w:val="0"/>
                <w:sz w:val="21"/>
              </w:rPr>
            </w:pPr>
            <w:r>
              <w:rPr>
                <w:rFonts w:hint="eastAsia" w:hAnsi="宋体"/>
                <w:snapToGrid w:val="0"/>
                <w:sz w:val="21"/>
              </w:rPr>
              <w:t>本次地下水监测对平安</w:t>
            </w:r>
            <w:r>
              <w:rPr>
                <w:rFonts w:hAnsi="宋体"/>
                <w:snapToGrid w:val="0"/>
                <w:sz w:val="21"/>
              </w:rPr>
              <w:t>7井</w:t>
            </w:r>
            <w:r>
              <w:rPr>
                <w:rFonts w:hint="eastAsia" w:hAnsi="宋体"/>
                <w:snapToGrid w:val="0"/>
                <w:sz w:val="21"/>
              </w:rPr>
              <w:t>周边的</w:t>
            </w:r>
            <w:r>
              <w:rPr>
                <w:snapToGrid w:val="0"/>
                <w:sz w:val="21"/>
              </w:rPr>
              <w:t>5</w:t>
            </w:r>
            <w:r>
              <w:rPr>
                <w:rFonts w:hint="eastAsia" w:hAnsi="宋体"/>
                <w:snapToGrid w:val="0"/>
                <w:sz w:val="21"/>
              </w:rPr>
              <w:t>处水井进行地下水水质指标监测、井口周边的</w:t>
            </w:r>
            <w:r>
              <w:rPr>
                <w:rFonts w:hint="eastAsia"/>
                <w:snapToGrid w:val="0"/>
                <w:sz w:val="21"/>
              </w:rPr>
              <w:t>11</w:t>
            </w:r>
            <w:r>
              <w:rPr>
                <w:rFonts w:hint="eastAsia" w:hAnsi="宋体"/>
                <w:snapToGrid w:val="0"/>
                <w:sz w:val="21"/>
              </w:rPr>
              <w:t>处水井进行水位监测。监测布点情况如下，监测点位详见附图。</w:t>
            </w:r>
          </w:p>
          <w:p>
            <w:pPr>
              <w:adjustRightInd w:val="0"/>
              <w:snapToGrid w:val="0"/>
              <w:ind w:firstLine="0" w:firstLineChars="0"/>
              <w:jc w:val="center"/>
              <w:rPr>
                <w:b/>
                <w:snapToGrid w:val="0"/>
                <w:kern w:val="0"/>
                <w:sz w:val="21"/>
                <w:szCs w:val="21"/>
              </w:rPr>
            </w:pPr>
            <w:r>
              <w:rPr>
                <w:rFonts w:hint="eastAsia"/>
                <w:b/>
                <w:snapToGrid w:val="0"/>
                <w:kern w:val="0"/>
                <w:sz w:val="21"/>
                <w:szCs w:val="21"/>
              </w:rPr>
              <w:t>表3-</w:t>
            </w:r>
            <w:r>
              <w:rPr>
                <w:b/>
                <w:snapToGrid w:val="0"/>
                <w:kern w:val="0"/>
                <w:sz w:val="21"/>
                <w:szCs w:val="21"/>
              </w:rPr>
              <w:t>5</w:t>
            </w:r>
            <w:r>
              <w:rPr>
                <w:rFonts w:hint="eastAsia"/>
                <w:b/>
                <w:snapToGrid w:val="0"/>
                <w:kern w:val="0"/>
                <w:sz w:val="21"/>
                <w:szCs w:val="21"/>
              </w:rPr>
              <w:t>地下水现状监测点位</w:t>
            </w:r>
          </w:p>
          <w:tbl>
            <w:tblPr>
              <w:tblStyle w:val="22"/>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131"/>
              <w:gridCol w:w="2848"/>
              <w:gridCol w:w="2354"/>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8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b/>
                      <w:snapToGrid w:val="0"/>
                      <w:kern w:val="0"/>
                      <w:sz w:val="21"/>
                      <w:szCs w:val="21"/>
                    </w:rPr>
                  </w:pPr>
                  <w:r>
                    <w:rPr>
                      <w:b/>
                      <w:snapToGrid w:val="0"/>
                      <w:kern w:val="0"/>
                      <w:sz w:val="21"/>
                      <w:szCs w:val="21"/>
                    </w:rPr>
                    <w:t>井位名称</w:t>
                  </w: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b/>
                      <w:snapToGrid w:val="0"/>
                      <w:kern w:val="0"/>
                      <w:sz w:val="21"/>
                      <w:szCs w:val="21"/>
                    </w:rPr>
                  </w:pPr>
                  <w:r>
                    <w:rPr>
                      <w:b/>
                      <w:snapToGrid w:val="0"/>
                      <w:kern w:val="0"/>
                      <w:sz w:val="21"/>
                      <w:szCs w:val="21"/>
                    </w:rPr>
                    <w:t>取样点</w:t>
                  </w:r>
                </w:p>
              </w:tc>
              <w:tc>
                <w:tcPr>
                  <w:tcW w:w="169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b/>
                      <w:snapToGrid w:val="0"/>
                      <w:kern w:val="0"/>
                      <w:sz w:val="21"/>
                      <w:szCs w:val="21"/>
                    </w:rPr>
                  </w:pPr>
                  <w:r>
                    <w:rPr>
                      <w:b/>
                      <w:snapToGrid w:val="0"/>
                      <w:kern w:val="0"/>
                      <w:sz w:val="21"/>
                      <w:szCs w:val="21"/>
                    </w:rPr>
                    <w:t>方位及距离</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b/>
                      <w:snapToGrid w:val="0"/>
                      <w:kern w:val="0"/>
                      <w:sz w:val="21"/>
                      <w:szCs w:val="21"/>
                    </w:rPr>
                  </w:pPr>
                  <w:r>
                    <w:rPr>
                      <w:b/>
                      <w:snapToGrid w:val="0"/>
                      <w:kern w:val="0"/>
                      <w:sz w:val="21"/>
                      <w:szCs w:val="21"/>
                    </w:rPr>
                    <w:t>与井场地下水流向上下游关系</w:t>
                  </w:r>
                </w:p>
              </w:tc>
              <w:tc>
                <w:tcPr>
                  <w:tcW w:w="751"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b/>
                      <w:snapToGrid w:val="0"/>
                      <w:kern w:val="0"/>
                      <w:sz w:val="21"/>
                      <w:szCs w:val="21"/>
                    </w:rPr>
                    <w:t>取样位置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82" w:type="pct"/>
                  <w:vMerge w:val="restar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rFonts w:hint="eastAsia"/>
                      <w:snapToGrid w:val="0"/>
                      <w:kern w:val="0"/>
                      <w:sz w:val="21"/>
                      <w:szCs w:val="21"/>
                    </w:rPr>
                    <w:t>平安7井</w:t>
                  </w: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1#</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井场西南侧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地下水流向上游</w:t>
                  </w:r>
                </w:p>
              </w:tc>
              <w:tc>
                <w:tcPr>
                  <w:tcW w:w="751" w:type="pct"/>
                  <w:vMerge w:val="restar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水井水位以下1m之内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2#</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井场东南侧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地下水流侧向</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3#</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井场东侧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地下水流向下游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4#</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井场东北侧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地下水流侧向</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5#</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井场东北侧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地下水流向下游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6#</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z w:val="21"/>
                    </w:rPr>
                  </w:pPr>
                  <w:r>
                    <w:rPr>
                      <w:rFonts w:hint="eastAsia"/>
                      <w:sz w:val="21"/>
                    </w:rPr>
                    <w:t>井场西南侧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地下水流向上游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7#</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z w:val="21"/>
                    </w:rPr>
                    <w:t>井场东南侧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地下水流侧向</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8#</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z w:val="21"/>
                    </w:rPr>
                    <w:t>井场东南侧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地下水流侧向</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9#</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地下水流向下游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10#</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地下水流向下游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82"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240" w:lineRule="auto"/>
                    <w:ind w:firstLine="0" w:firstLineChars="0"/>
                    <w:jc w:val="center"/>
                    <w:rPr>
                      <w:snapToGrid w:val="0"/>
                      <w:kern w:val="0"/>
                      <w:sz w:val="21"/>
                      <w:szCs w:val="21"/>
                    </w:rPr>
                  </w:pPr>
                  <w:r>
                    <w:rPr>
                      <w:snapToGrid w:val="0"/>
                      <w:kern w:val="0"/>
                      <w:sz w:val="21"/>
                      <w:szCs w:val="21"/>
                    </w:rPr>
                    <w:t>11#</w:t>
                  </w:r>
                </w:p>
              </w:tc>
              <w:tc>
                <w:tcPr>
                  <w:tcW w:w="1694"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400"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地下水流向下游</w:t>
                  </w:r>
                </w:p>
              </w:tc>
              <w:tc>
                <w:tcPr>
                  <w:tcW w:w="751"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p>
              </w:tc>
            </w:tr>
          </w:tbl>
          <w:p>
            <w:pPr>
              <w:pStyle w:val="45"/>
              <w:tabs>
                <w:tab w:val="left" w:pos="420"/>
                <w:tab w:val="clear" w:pos="377"/>
              </w:tabs>
              <w:snapToGrid w:val="0"/>
              <w:ind w:firstLine="420"/>
              <w:rPr>
                <w:rFonts w:hAnsi="宋体"/>
                <w:snapToGrid w:val="0"/>
                <w:sz w:val="21"/>
              </w:rPr>
            </w:pPr>
            <w:r>
              <w:rPr>
                <w:rFonts w:hint="eastAsia" w:hAnsi="宋体"/>
                <w:snapToGrid w:val="0"/>
                <w:sz w:val="21"/>
              </w:rPr>
              <w:t>（</w:t>
            </w:r>
            <w:r>
              <w:rPr>
                <w:snapToGrid w:val="0"/>
                <w:sz w:val="21"/>
              </w:rPr>
              <w:t>2</w:t>
            </w:r>
            <w:r>
              <w:rPr>
                <w:rFonts w:hint="eastAsia" w:hAnsi="宋体"/>
                <w:snapToGrid w:val="0"/>
                <w:sz w:val="21"/>
              </w:rPr>
              <w:t>）监测因子：pH、高锰酸盐指数（耗氧量）、氨氮、六价铬、汞、砷、铅、镉、铁、锰、钡、钾、钠、钙、镁、碳酸根、重碳酸根、氯化物、硫酸盐、氟化物、硝酸根（硝酸盐氮）、亚硝酸根（亚硝酸盐氮）、氰化物、总硬度（钙和镁总量）、溶解性总固体、挥发酚、石油类、硫化物、总大肠菌群、细菌总数、</w:t>
            </w:r>
            <w:r>
              <w:rPr>
                <w:rFonts w:hint="eastAsia"/>
                <w:snapToGrid w:val="0"/>
                <w:sz w:val="21"/>
              </w:rPr>
              <w:t>水位；6#~11#：水位</w:t>
            </w:r>
            <w:r>
              <w:rPr>
                <w:rFonts w:hint="eastAsia" w:hAnsi="宋体"/>
                <w:snapToGrid w:val="0"/>
                <w:sz w:val="21"/>
              </w:rPr>
              <w:t>。</w:t>
            </w:r>
          </w:p>
          <w:p>
            <w:pPr>
              <w:pStyle w:val="45"/>
              <w:tabs>
                <w:tab w:val="left" w:pos="420"/>
                <w:tab w:val="clear" w:pos="377"/>
              </w:tabs>
              <w:snapToGrid w:val="0"/>
              <w:ind w:firstLine="420"/>
              <w:rPr>
                <w:rFonts w:hAnsi="宋体"/>
                <w:snapToGrid w:val="0"/>
                <w:sz w:val="21"/>
              </w:rPr>
            </w:pPr>
            <w:r>
              <w:rPr>
                <w:rFonts w:hint="eastAsia" w:hAnsi="宋体"/>
                <w:snapToGrid w:val="0"/>
                <w:sz w:val="21"/>
              </w:rPr>
              <w:t>（</w:t>
            </w:r>
            <w:r>
              <w:rPr>
                <w:snapToGrid w:val="0"/>
                <w:sz w:val="21"/>
              </w:rPr>
              <w:t>3</w:t>
            </w:r>
            <w:r>
              <w:rPr>
                <w:rFonts w:hint="eastAsia" w:hAnsi="宋体"/>
                <w:snapToGrid w:val="0"/>
                <w:sz w:val="21"/>
              </w:rPr>
              <w:t>）监测频次：监测</w:t>
            </w:r>
            <w:r>
              <w:rPr>
                <w:snapToGrid w:val="0"/>
                <w:sz w:val="21"/>
              </w:rPr>
              <w:t>1</w:t>
            </w:r>
            <w:r>
              <w:rPr>
                <w:rFonts w:hint="eastAsia" w:hAnsi="宋体"/>
                <w:snapToGrid w:val="0"/>
                <w:sz w:val="21"/>
              </w:rPr>
              <w:t>天，每天采样</w:t>
            </w:r>
            <w:r>
              <w:rPr>
                <w:snapToGrid w:val="0"/>
                <w:sz w:val="21"/>
              </w:rPr>
              <w:t>1</w:t>
            </w:r>
            <w:r>
              <w:rPr>
                <w:rFonts w:hint="eastAsia" w:hAnsi="宋体"/>
                <w:snapToGrid w:val="0"/>
                <w:sz w:val="21"/>
              </w:rPr>
              <w:t>次。</w:t>
            </w:r>
          </w:p>
          <w:p>
            <w:pPr>
              <w:pStyle w:val="45"/>
              <w:tabs>
                <w:tab w:val="left" w:pos="420"/>
                <w:tab w:val="clear" w:pos="377"/>
              </w:tabs>
              <w:snapToGrid w:val="0"/>
              <w:ind w:firstLine="420"/>
              <w:rPr>
                <w:snapToGrid w:val="0"/>
                <w:sz w:val="21"/>
              </w:rPr>
            </w:pPr>
            <w:r>
              <w:rPr>
                <w:rFonts w:hint="eastAsia" w:hAnsi="宋体"/>
                <w:snapToGrid w:val="0"/>
                <w:sz w:val="21"/>
              </w:rPr>
              <w:t>（</w:t>
            </w:r>
            <w:r>
              <w:rPr>
                <w:snapToGrid w:val="0"/>
                <w:sz w:val="21"/>
              </w:rPr>
              <w:t>4</w:t>
            </w:r>
            <w:r>
              <w:rPr>
                <w:rFonts w:hint="eastAsia" w:hAnsi="宋体"/>
                <w:snapToGrid w:val="0"/>
                <w:sz w:val="21"/>
              </w:rPr>
              <w:t>）取样时间：</w:t>
            </w:r>
            <w:r>
              <w:rPr>
                <w:snapToGrid w:val="0"/>
                <w:sz w:val="21"/>
              </w:rPr>
              <w:t>202</w:t>
            </w:r>
            <w:r>
              <w:rPr>
                <w:rFonts w:hint="eastAsia"/>
                <w:snapToGrid w:val="0"/>
                <w:sz w:val="21"/>
              </w:rPr>
              <w:t>4</w:t>
            </w:r>
            <w:r>
              <w:rPr>
                <w:rFonts w:hint="eastAsia" w:hAnsi="宋体"/>
                <w:snapToGrid w:val="0"/>
                <w:sz w:val="21"/>
              </w:rPr>
              <w:t>年</w:t>
            </w:r>
            <w:r>
              <w:rPr>
                <w:rFonts w:hAnsi="宋体"/>
                <w:snapToGrid w:val="0"/>
                <w:sz w:val="21"/>
              </w:rPr>
              <w:t>2</w:t>
            </w:r>
            <w:r>
              <w:rPr>
                <w:rFonts w:hint="eastAsia" w:hAnsi="宋体"/>
                <w:snapToGrid w:val="0"/>
                <w:sz w:val="21"/>
              </w:rPr>
              <w:t>月</w:t>
            </w:r>
            <w:r>
              <w:rPr>
                <w:rFonts w:hAnsi="宋体"/>
                <w:snapToGrid w:val="0"/>
                <w:sz w:val="21"/>
              </w:rPr>
              <w:t>28</w:t>
            </w:r>
            <w:r>
              <w:rPr>
                <w:rFonts w:hint="eastAsia" w:hAnsi="宋体"/>
                <w:snapToGrid w:val="0"/>
                <w:sz w:val="21"/>
              </w:rPr>
              <w:t>日</w:t>
            </w:r>
          </w:p>
          <w:p>
            <w:pPr>
              <w:pStyle w:val="45"/>
              <w:snapToGrid w:val="0"/>
              <w:ind w:firstLine="420"/>
              <w:rPr>
                <w:snapToGrid w:val="0"/>
                <w:sz w:val="21"/>
              </w:rPr>
            </w:pPr>
            <w:r>
              <w:rPr>
                <w:rFonts w:hint="eastAsia" w:hAnsi="宋体"/>
                <w:snapToGrid w:val="0"/>
                <w:sz w:val="21"/>
              </w:rPr>
              <w:t>（</w:t>
            </w:r>
            <w:r>
              <w:rPr>
                <w:snapToGrid w:val="0"/>
                <w:sz w:val="21"/>
              </w:rPr>
              <w:t>5</w:t>
            </w:r>
            <w:r>
              <w:rPr>
                <w:rFonts w:hint="eastAsia" w:hAnsi="宋体"/>
                <w:snapToGrid w:val="0"/>
                <w:sz w:val="21"/>
              </w:rPr>
              <w:t>）评价标准：《地下水质量标准》（</w:t>
            </w:r>
            <w:r>
              <w:rPr>
                <w:snapToGrid w:val="0"/>
                <w:sz w:val="21"/>
              </w:rPr>
              <w:t>GB/T14848-2017</w:t>
            </w:r>
            <w:r>
              <w:rPr>
                <w:rFonts w:hint="eastAsia" w:hAnsi="宋体"/>
                <w:snapToGrid w:val="0"/>
                <w:sz w:val="21"/>
              </w:rPr>
              <w:t>）中</w:t>
            </w:r>
            <w:r>
              <w:rPr>
                <w:snapToGrid w:val="0"/>
                <w:sz w:val="21"/>
              </w:rPr>
              <w:t>III</w:t>
            </w:r>
            <w:r>
              <w:rPr>
                <w:rFonts w:hint="eastAsia" w:hAnsi="宋体"/>
                <w:snapToGrid w:val="0"/>
                <w:sz w:val="21"/>
              </w:rPr>
              <w:t>类标准；石油类参照《地表水环境质量标准》（</w:t>
            </w:r>
            <w:r>
              <w:rPr>
                <w:snapToGrid w:val="0"/>
                <w:sz w:val="21"/>
              </w:rPr>
              <w:t>GB3838-2002</w:t>
            </w:r>
            <w:r>
              <w:rPr>
                <w:rFonts w:hint="eastAsia" w:hAnsi="宋体"/>
                <w:snapToGrid w:val="0"/>
                <w:sz w:val="21"/>
              </w:rPr>
              <w:t>）中</w:t>
            </w:r>
            <w:r>
              <w:rPr>
                <w:snapToGrid w:val="0"/>
                <w:sz w:val="21"/>
              </w:rPr>
              <w:t>III</w:t>
            </w:r>
            <w:r>
              <w:rPr>
                <w:rFonts w:hint="eastAsia" w:hAnsi="宋体"/>
                <w:snapToGrid w:val="0"/>
                <w:sz w:val="21"/>
              </w:rPr>
              <w:t>类标准。</w:t>
            </w:r>
          </w:p>
          <w:p>
            <w:pPr>
              <w:pStyle w:val="45"/>
              <w:tabs>
                <w:tab w:val="left" w:pos="420"/>
                <w:tab w:val="clear" w:pos="377"/>
              </w:tabs>
              <w:snapToGrid w:val="0"/>
              <w:ind w:firstLine="420"/>
              <w:rPr>
                <w:rFonts w:hAnsi="宋体"/>
                <w:snapToGrid w:val="0"/>
                <w:sz w:val="21"/>
              </w:rPr>
            </w:pPr>
            <w:r>
              <w:rPr>
                <w:rFonts w:hint="eastAsia" w:hAnsi="宋体"/>
                <w:snapToGrid w:val="0"/>
                <w:sz w:val="21"/>
              </w:rPr>
              <w:t>（</w:t>
            </w:r>
            <w:r>
              <w:rPr>
                <w:snapToGrid w:val="0"/>
                <w:sz w:val="21"/>
              </w:rPr>
              <w:t>6</w:t>
            </w:r>
            <w:r>
              <w:rPr>
                <w:rFonts w:hint="eastAsia" w:hAnsi="宋体"/>
                <w:snapToGrid w:val="0"/>
                <w:sz w:val="21"/>
              </w:rPr>
              <w:t>）评价方法：地下水环境质量现状评价方法采用标准指数法，除</w:t>
            </w:r>
            <w:r>
              <w:rPr>
                <w:snapToGrid w:val="0"/>
                <w:sz w:val="21"/>
              </w:rPr>
              <w:t>pH</w:t>
            </w:r>
            <w:r>
              <w:rPr>
                <w:rFonts w:hint="eastAsia" w:hAnsi="宋体"/>
                <w:snapToGrid w:val="0"/>
                <w:sz w:val="21"/>
              </w:rPr>
              <w:t>值外，其它水质参数的单项标准指数</w:t>
            </w:r>
            <w:r>
              <w:rPr>
                <w:snapToGrid w:val="0"/>
                <w:sz w:val="21"/>
              </w:rPr>
              <w:t>S</w:t>
            </w:r>
            <w:r>
              <w:rPr>
                <w:snapToGrid w:val="0"/>
                <w:sz w:val="21"/>
                <w:vertAlign w:val="subscript"/>
              </w:rPr>
              <w:t>i</w:t>
            </w:r>
            <w:r>
              <w:rPr>
                <w:rFonts w:hint="eastAsia" w:hAnsi="宋体"/>
                <w:snapToGrid w:val="0"/>
                <w:sz w:val="21"/>
              </w:rPr>
              <w:t>为：</w:t>
            </w:r>
          </w:p>
          <w:p>
            <w:pPr>
              <w:autoSpaceDE w:val="0"/>
              <w:autoSpaceDN w:val="0"/>
              <w:adjustRightInd w:val="0"/>
              <w:snapToGrid w:val="0"/>
              <w:ind w:firstLine="0" w:firstLineChars="0"/>
              <w:jc w:val="center"/>
              <w:rPr>
                <w:snapToGrid w:val="0"/>
                <w:kern w:val="0"/>
                <w:sz w:val="21"/>
                <w:szCs w:val="21"/>
              </w:rPr>
            </w:pPr>
            <w:r>
              <w:rPr>
                <w:snapToGrid w:val="0"/>
                <w:kern w:val="0"/>
                <w:sz w:val="21"/>
                <w:szCs w:val="21"/>
              </w:rPr>
              <w:t>S</w:t>
            </w:r>
            <w:r>
              <w:rPr>
                <w:snapToGrid w:val="0"/>
                <w:kern w:val="0"/>
                <w:sz w:val="21"/>
                <w:szCs w:val="21"/>
                <w:vertAlign w:val="subscript"/>
              </w:rPr>
              <w:t>i</w:t>
            </w:r>
            <w:r>
              <w:rPr>
                <w:snapToGrid w:val="0"/>
                <w:kern w:val="0"/>
                <w:sz w:val="21"/>
                <w:szCs w:val="21"/>
              </w:rPr>
              <w:t>=C</w:t>
            </w:r>
            <w:r>
              <w:rPr>
                <w:snapToGrid w:val="0"/>
                <w:kern w:val="0"/>
                <w:sz w:val="21"/>
                <w:szCs w:val="21"/>
                <w:vertAlign w:val="subscript"/>
              </w:rPr>
              <w:t>i</w:t>
            </w:r>
            <w:r>
              <w:rPr>
                <w:snapToGrid w:val="0"/>
                <w:kern w:val="0"/>
                <w:sz w:val="21"/>
                <w:szCs w:val="21"/>
              </w:rPr>
              <w:t>/C</w:t>
            </w:r>
            <w:r>
              <w:rPr>
                <w:snapToGrid w:val="0"/>
                <w:kern w:val="0"/>
                <w:sz w:val="21"/>
                <w:szCs w:val="21"/>
                <w:vertAlign w:val="subscript"/>
              </w:rPr>
              <w:t>0i</w:t>
            </w:r>
          </w:p>
          <w:p>
            <w:pPr>
              <w:autoSpaceDE w:val="0"/>
              <w:autoSpaceDN w:val="0"/>
              <w:adjustRightInd w:val="0"/>
              <w:snapToGrid w:val="0"/>
              <w:ind w:firstLine="420"/>
              <w:rPr>
                <w:snapToGrid w:val="0"/>
                <w:kern w:val="0"/>
                <w:sz w:val="21"/>
                <w:szCs w:val="21"/>
              </w:rPr>
            </w:pPr>
            <w:r>
              <w:rPr>
                <w:rFonts w:hint="eastAsia" w:hAnsi="宋体"/>
                <w:snapToGrid w:val="0"/>
                <w:kern w:val="0"/>
                <w:sz w:val="21"/>
                <w:szCs w:val="21"/>
              </w:rPr>
              <w:t>式中：</w:t>
            </w:r>
            <w:r>
              <w:rPr>
                <w:snapToGrid w:val="0"/>
                <w:kern w:val="0"/>
                <w:sz w:val="21"/>
                <w:szCs w:val="21"/>
              </w:rPr>
              <w:t>C</w:t>
            </w:r>
            <w:r>
              <w:rPr>
                <w:snapToGrid w:val="0"/>
                <w:kern w:val="0"/>
                <w:sz w:val="21"/>
                <w:szCs w:val="21"/>
                <w:vertAlign w:val="subscript"/>
              </w:rPr>
              <w:t>i</w:t>
            </w:r>
            <w:r>
              <w:rPr>
                <w:snapToGrid w:val="0"/>
                <w:kern w:val="0"/>
                <w:sz w:val="21"/>
                <w:szCs w:val="21"/>
              </w:rPr>
              <w:t>——</w:t>
            </w:r>
            <w:r>
              <w:rPr>
                <w:rFonts w:hint="eastAsia" w:hAnsi="宋体"/>
                <w:snapToGrid w:val="0"/>
                <w:kern w:val="0"/>
                <w:sz w:val="21"/>
                <w:szCs w:val="21"/>
              </w:rPr>
              <w:t>第</w:t>
            </w:r>
            <w:r>
              <w:rPr>
                <w:snapToGrid w:val="0"/>
                <w:kern w:val="0"/>
                <w:sz w:val="21"/>
                <w:szCs w:val="21"/>
              </w:rPr>
              <w:t>i</w:t>
            </w:r>
            <w:r>
              <w:rPr>
                <w:rFonts w:hint="eastAsia" w:hAnsi="宋体"/>
                <w:snapToGrid w:val="0"/>
                <w:kern w:val="0"/>
                <w:sz w:val="21"/>
                <w:szCs w:val="21"/>
              </w:rPr>
              <w:t>种污染物实测浓度值，</w:t>
            </w:r>
            <w:r>
              <w:rPr>
                <w:snapToGrid w:val="0"/>
                <w:kern w:val="0"/>
                <w:sz w:val="21"/>
                <w:szCs w:val="21"/>
              </w:rPr>
              <w:t>mg/L</w:t>
            </w:r>
            <w:r>
              <w:rPr>
                <w:rFonts w:hint="eastAsia" w:hAnsi="宋体"/>
                <w:snapToGrid w:val="0"/>
                <w:kern w:val="0"/>
                <w:sz w:val="21"/>
                <w:szCs w:val="21"/>
              </w:rPr>
              <w:t>；</w:t>
            </w:r>
          </w:p>
          <w:p>
            <w:pPr>
              <w:autoSpaceDE w:val="0"/>
              <w:autoSpaceDN w:val="0"/>
              <w:adjustRightInd w:val="0"/>
              <w:snapToGrid w:val="0"/>
              <w:ind w:firstLine="1050" w:firstLineChars="500"/>
              <w:rPr>
                <w:snapToGrid w:val="0"/>
                <w:kern w:val="0"/>
                <w:sz w:val="21"/>
                <w:szCs w:val="21"/>
              </w:rPr>
            </w:pPr>
            <w:r>
              <w:rPr>
                <w:snapToGrid w:val="0"/>
                <w:kern w:val="0"/>
                <w:sz w:val="21"/>
                <w:szCs w:val="21"/>
              </w:rPr>
              <w:t>C</w:t>
            </w:r>
            <w:r>
              <w:rPr>
                <w:snapToGrid w:val="0"/>
                <w:kern w:val="0"/>
                <w:sz w:val="21"/>
                <w:szCs w:val="21"/>
                <w:vertAlign w:val="subscript"/>
              </w:rPr>
              <w:t>0i</w:t>
            </w:r>
            <w:r>
              <w:rPr>
                <w:snapToGrid w:val="0"/>
                <w:kern w:val="0"/>
                <w:sz w:val="21"/>
                <w:szCs w:val="21"/>
              </w:rPr>
              <w:t>——</w:t>
            </w:r>
            <w:r>
              <w:rPr>
                <w:rFonts w:hint="eastAsia" w:hAnsi="宋体"/>
                <w:snapToGrid w:val="0"/>
                <w:kern w:val="0"/>
                <w:sz w:val="21"/>
                <w:szCs w:val="21"/>
              </w:rPr>
              <w:t>第</w:t>
            </w:r>
            <w:r>
              <w:rPr>
                <w:snapToGrid w:val="0"/>
                <w:kern w:val="0"/>
                <w:sz w:val="21"/>
                <w:szCs w:val="21"/>
              </w:rPr>
              <w:t>i</w:t>
            </w:r>
            <w:r>
              <w:rPr>
                <w:rFonts w:hint="eastAsia" w:hAnsi="宋体"/>
                <w:snapToGrid w:val="0"/>
                <w:kern w:val="0"/>
                <w:sz w:val="21"/>
                <w:szCs w:val="21"/>
              </w:rPr>
              <w:t>种污染物在</w:t>
            </w:r>
            <w:r>
              <w:rPr>
                <w:rFonts w:hint="eastAsia"/>
                <w:snapToGrid w:val="0"/>
                <w:kern w:val="0"/>
                <w:sz w:val="21"/>
                <w:szCs w:val="21"/>
              </w:rPr>
              <w:t>GB/T14848-2017、</w:t>
            </w:r>
            <w:r>
              <w:rPr>
                <w:snapToGrid w:val="0"/>
                <w:kern w:val="0"/>
                <w:sz w:val="21"/>
                <w:szCs w:val="21"/>
              </w:rPr>
              <w:t>GB3838-2002</w:t>
            </w:r>
            <w:r>
              <w:rPr>
                <w:rFonts w:hint="eastAsia" w:hAnsi="宋体"/>
                <w:snapToGrid w:val="0"/>
                <w:kern w:val="0"/>
                <w:sz w:val="21"/>
                <w:szCs w:val="21"/>
              </w:rPr>
              <w:t>中</w:t>
            </w:r>
            <w:r>
              <w:rPr>
                <w:snapToGrid w:val="0"/>
                <w:kern w:val="0"/>
                <w:sz w:val="21"/>
                <w:szCs w:val="21"/>
              </w:rPr>
              <w:t>III</w:t>
            </w:r>
            <w:r>
              <w:rPr>
                <w:rFonts w:hint="eastAsia" w:hAnsi="宋体"/>
                <w:snapToGrid w:val="0"/>
                <w:kern w:val="0"/>
                <w:sz w:val="21"/>
                <w:szCs w:val="21"/>
              </w:rPr>
              <w:t>类标准值，</w:t>
            </w:r>
            <w:r>
              <w:rPr>
                <w:snapToGrid w:val="0"/>
                <w:kern w:val="0"/>
                <w:sz w:val="21"/>
                <w:szCs w:val="21"/>
              </w:rPr>
              <w:t>mg/L</w:t>
            </w:r>
            <w:r>
              <w:rPr>
                <w:rFonts w:hint="eastAsia" w:hAnsi="宋体"/>
                <w:snapToGrid w:val="0"/>
                <w:kern w:val="0"/>
                <w:sz w:val="21"/>
                <w:szCs w:val="21"/>
              </w:rPr>
              <w:t>；</w:t>
            </w:r>
          </w:p>
          <w:p>
            <w:pPr>
              <w:autoSpaceDE w:val="0"/>
              <w:autoSpaceDN w:val="0"/>
              <w:adjustRightInd w:val="0"/>
              <w:snapToGrid w:val="0"/>
              <w:ind w:firstLine="420"/>
              <w:rPr>
                <w:snapToGrid w:val="0"/>
                <w:kern w:val="0"/>
                <w:sz w:val="21"/>
                <w:szCs w:val="21"/>
              </w:rPr>
            </w:pPr>
            <w:r>
              <w:rPr>
                <w:snapToGrid w:val="0"/>
                <w:kern w:val="0"/>
                <w:sz w:val="21"/>
                <w:szCs w:val="21"/>
              </w:rPr>
              <w:t>pH</w:t>
            </w:r>
            <w:r>
              <w:rPr>
                <w:rFonts w:hint="eastAsia" w:hAnsi="宋体"/>
                <w:snapToGrid w:val="0"/>
                <w:kern w:val="0"/>
                <w:sz w:val="21"/>
                <w:szCs w:val="21"/>
              </w:rPr>
              <w:t>的标准指数</w:t>
            </w:r>
            <w:r>
              <w:rPr>
                <w:snapToGrid w:val="0"/>
                <w:kern w:val="0"/>
                <w:sz w:val="21"/>
                <w:szCs w:val="21"/>
              </w:rPr>
              <w:t>S</w:t>
            </w:r>
            <w:r>
              <w:rPr>
                <w:snapToGrid w:val="0"/>
                <w:kern w:val="0"/>
                <w:sz w:val="21"/>
                <w:szCs w:val="21"/>
                <w:vertAlign w:val="subscript"/>
              </w:rPr>
              <w:t>pH</w:t>
            </w:r>
            <w:r>
              <w:rPr>
                <w:rFonts w:hint="eastAsia" w:hAnsi="宋体"/>
                <w:snapToGrid w:val="0"/>
                <w:kern w:val="0"/>
                <w:sz w:val="21"/>
                <w:szCs w:val="21"/>
              </w:rPr>
              <w:t>为：</w:t>
            </w:r>
          </w:p>
          <w:p>
            <w:pPr>
              <w:overflowPunct w:val="0"/>
              <w:autoSpaceDE w:val="0"/>
              <w:autoSpaceDN w:val="0"/>
              <w:adjustRightInd w:val="0"/>
              <w:snapToGrid w:val="0"/>
              <w:ind w:firstLine="0" w:firstLineChars="0"/>
              <w:jc w:val="center"/>
              <w:rPr>
                <w:snapToGrid w:val="0"/>
                <w:kern w:val="0"/>
                <w:sz w:val="21"/>
                <w:szCs w:val="21"/>
              </w:rPr>
            </w:pPr>
            <w:r>
              <w:rPr>
                <w:rFonts w:hint="eastAsia" w:hAnsi="宋体"/>
                <w:snapToGrid w:val="0"/>
                <w:kern w:val="0"/>
                <w:sz w:val="21"/>
                <w:szCs w:val="21"/>
              </w:rPr>
              <w:t>当</w:t>
            </w:r>
            <w:r>
              <w:rPr>
                <w:snapToGrid w:val="0"/>
                <w:kern w:val="0"/>
                <w:sz w:val="21"/>
                <w:szCs w:val="21"/>
              </w:rPr>
              <w:t>pH≤7.0   S</w:t>
            </w:r>
            <w:r>
              <w:rPr>
                <w:snapToGrid w:val="0"/>
                <w:kern w:val="0"/>
                <w:sz w:val="21"/>
                <w:szCs w:val="21"/>
                <w:vertAlign w:val="subscript"/>
              </w:rPr>
              <w:t>pH</w:t>
            </w:r>
            <w:r>
              <w:rPr>
                <w:snapToGrid w:val="0"/>
                <w:kern w:val="0"/>
                <w:sz w:val="21"/>
                <w:szCs w:val="21"/>
              </w:rPr>
              <w:t>=</w:t>
            </w:r>
            <w:r>
              <w:rPr>
                <w:rFonts w:hint="eastAsia" w:hAnsi="宋体"/>
                <w:snapToGrid w:val="0"/>
                <w:kern w:val="0"/>
                <w:sz w:val="21"/>
                <w:szCs w:val="21"/>
              </w:rPr>
              <w:t>（</w:t>
            </w:r>
            <w:r>
              <w:rPr>
                <w:snapToGrid w:val="0"/>
                <w:kern w:val="0"/>
                <w:sz w:val="21"/>
                <w:szCs w:val="21"/>
              </w:rPr>
              <w:t>7.0-pH</w:t>
            </w:r>
            <w:r>
              <w:rPr>
                <w:rFonts w:hint="eastAsia" w:hAnsi="宋体"/>
                <w:snapToGrid w:val="0"/>
                <w:kern w:val="0"/>
                <w:sz w:val="21"/>
                <w:szCs w:val="21"/>
              </w:rPr>
              <w:t>）</w:t>
            </w:r>
            <w:r>
              <w:rPr>
                <w:snapToGrid w:val="0"/>
                <w:kern w:val="0"/>
                <w:sz w:val="21"/>
                <w:szCs w:val="21"/>
              </w:rPr>
              <w:t>/</w:t>
            </w:r>
            <w:r>
              <w:rPr>
                <w:rFonts w:hint="eastAsia" w:hAnsi="宋体"/>
                <w:snapToGrid w:val="0"/>
                <w:kern w:val="0"/>
                <w:sz w:val="21"/>
                <w:szCs w:val="21"/>
              </w:rPr>
              <w:t>（</w:t>
            </w:r>
            <w:r>
              <w:rPr>
                <w:snapToGrid w:val="0"/>
                <w:kern w:val="0"/>
                <w:sz w:val="21"/>
                <w:szCs w:val="21"/>
              </w:rPr>
              <w:t>7.0-pH</w:t>
            </w:r>
            <w:r>
              <w:rPr>
                <w:snapToGrid w:val="0"/>
                <w:kern w:val="0"/>
                <w:sz w:val="21"/>
                <w:szCs w:val="21"/>
                <w:vertAlign w:val="subscript"/>
              </w:rPr>
              <w:t>sd</w:t>
            </w:r>
            <w:r>
              <w:rPr>
                <w:rFonts w:hint="eastAsia" w:hAnsi="宋体"/>
                <w:snapToGrid w:val="0"/>
                <w:kern w:val="0"/>
                <w:sz w:val="21"/>
                <w:szCs w:val="21"/>
              </w:rPr>
              <w:t>）</w:t>
            </w:r>
          </w:p>
          <w:p>
            <w:pPr>
              <w:overflowPunct w:val="0"/>
              <w:autoSpaceDE w:val="0"/>
              <w:autoSpaceDN w:val="0"/>
              <w:adjustRightInd w:val="0"/>
              <w:snapToGrid w:val="0"/>
              <w:ind w:firstLine="0" w:firstLineChars="0"/>
              <w:jc w:val="center"/>
              <w:rPr>
                <w:snapToGrid w:val="0"/>
                <w:kern w:val="0"/>
                <w:sz w:val="21"/>
                <w:szCs w:val="21"/>
              </w:rPr>
            </w:pPr>
            <w:r>
              <w:rPr>
                <w:rFonts w:hint="eastAsia" w:hAnsi="宋体"/>
                <w:snapToGrid w:val="0"/>
                <w:kern w:val="0"/>
                <w:sz w:val="21"/>
                <w:szCs w:val="21"/>
              </w:rPr>
              <w:t>当</w:t>
            </w:r>
            <w:r>
              <w:rPr>
                <w:snapToGrid w:val="0"/>
                <w:kern w:val="0"/>
                <w:sz w:val="21"/>
                <w:szCs w:val="21"/>
              </w:rPr>
              <w:t>pH≥7.0   S</w:t>
            </w:r>
            <w:r>
              <w:rPr>
                <w:snapToGrid w:val="0"/>
                <w:kern w:val="0"/>
                <w:sz w:val="21"/>
                <w:szCs w:val="21"/>
                <w:vertAlign w:val="subscript"/>
              </w:rPr>
              <w:t>pH</w:t>
            </w:r>
            <w:r>
              <w:rPr>
                <w:snapToGrid w:val="0"/>
                <w:kern w:val="0"/>
                <w:sz w:val="21"/>
                <w:szCs w:val="21"/>
              </w:rPr>
              <w:t>=</w:t>
            </w:r>
            <w:r>
              <w:rPr>
                <w:rFonts w:hint="eastAsia" w:hAnsi="宋体"/>
                <w:snapToGrid w:val="0"/>
                <w:kern w:val="0"/>
                <w:sz w:val="21"/>
                <w:szCs w:val="21"/>
              </w:rPr>
              <w:t>（</w:t>
            </w:r>
            <w:r>
              <w:rPr>
                <w:snapToGrid w:val="0"/>
                <w:kern w:val="0"/>
                <w:sz w:val="21"/>
                <w:szCs w:val="21"/>
              </w:rPr>
              <w:t>pH-7.0</w:t>
            </w:r>
            <w:r>
              <w:rPr>
                <w:rFonts w:hint="eastAsia" w:hAnsi="宋体"/>
                <w:snapToGrid w:val="0"/>
                <w:kern w:val="0"/>
                <w:sz w:val="21"/>
                <w:szCs w:val="21"/>
              </w:rPr>
              <w:t>）</w:t>
            </w:r>
            <w:r>
              <w:rPr>
                <w:snapToGrid w:val="0"/>
                <w:kern w:val="0"/>
                <w:sz w:val="21"/>
                <w:szCs w:val="21"/>
              </w:rPr>
              <w:t>/</w:t>
            </w:r>
            <w:r>
              <w:rPr>
                <w:rFonts w:hint="eastAsia" w:hAnsi="宋体"/>
                <w:snapToGrid w:val="0"/>
                <w:kern w:val="0"/>
                <w:sz w:val="21"/>
                <w:szCs w:val="21"/>
              </w:rPr>
              <w:t>（</w:t>
            </w:r>
            <w:r>
              <w:rPr>
                <w:snapToGrid w:val="0"/>
                <w:kern w:val="0"/>
                <w:sz w:val="21"/>
                <w:szCs w:val="21"/>
              </w:rPr>
              <w:t>pH</w:t>
            </w:r>
            <w:r>
              <w:rPr>
                <w:snapToGrid w:val="0"/>
                <w:kern w:val="0"/>
                <w:sz w:val="21"/>
                <w:szCs w:val="21"/>
                <w:vertAlign w:val="subscript"/>
              </w:rPr>
              <w:t>sw</w:t>
            </w:r>
            <w:r>
              <w:rPr>
                <w:snapToGrid w:val="0"/>
                <w:kern w:val="0"/>
                <w:sz w:val="21"/>
                <w:szCs w:val="21"/>
              </w:rPr>
              <w:t>-7.0</w:t>
            </w:r>
            <w:r>
              <w:rPr>
                <w:rFonts w:hint="eastAsia" w:hAnsi="宋体"/>
                <w:snapToGrid w:val="0"/>
                <w:kern w:val="0"/>
                <w:sz w:val="21"/>
                <w:szCs w:val="21"/>
              </w:rPr>
              <w:t>）</w:t>
            </w:r>
          </w:p>
          <w:p>
            <w:pPr>
              <w:overflowPunct w:val="0"/>
              <w:autoSpaceDE w:val="0"/>
              <w:autoSpaceDN w:val="0"/>
              <w:adjustRightInd w:val="0"/>
              <w:snapToGrid w:val="0"/>
              <w:ind w:firstLine="420"/>
              <w:rPr>
                <w:snapToGrid w:val="0"/>
                <w:kern w:val="0"/>
                <w:sz w:val="21"/>
                <w:szCs w:val="21"/>
              </w:rPr>
            </w:pPr>
            <w:r>
              <w:rPr>
                <w:rFonts w:hint="eastAsia" w:hAnsi="宋体"/>
                <w:snapToGrid w:val="0"/>
                <w:kern w:val="0"/>
                <w:sz w:val="21"/>
                <w:szCs w:val="21"/>
              </w:rPr>
              <w:t>式中：</w:t>
            </w:r>
            <w:r>
              <w:rPr>
                <w:snapToGrid w:val="0"/>
                <w:kern w:val="0"/>
                <w:sz w:val="21"/>
                <w:szCs w:val="21"/>
              </w:rPr>
              <w:t>pH——</w:t>
            </w:r>
            <w:r>
              <w:rPr>
                <w:rFonts w:hint="eastAsia" w:hAnsi="宋体"/>
                <w:snapToGrid w:val="0"/>
                <w:kern w:val="0"/>
                <w:sz w:val="21"/>
                <w:szCs w:val="21"/>
              </w:rPr>
              <w:t>实测的</w:t>
            </w:r>
            <w:r>
              <w:rPr>
                <w:snapToGrid w:val="0"/>
                <w:kern w:val="0"/>
                <w:sz w:val="21"/>
                <w:szCs w:val="21"/>
              </w:rPr>
              <w:t>pH</w:t>
            </w:r>
            <w:r>
              <w:rPr>
                <w:rFonts w:hint="eastAsia" w:hAnsi="宋体"/>
                <w:snapToGrid w:val="0"/>
                <w:kern w:val="0"/>
                <w:sz w:val="21"/>
                <w:szCs w:val="21"/>
              </w:rPr>
              <w:t>值；</w:t>
            </w:r>
          </w:p>
          <w:p>
            <w:pPr>
              <w:overflowPunct w:val="0"/>
              <w:autoSpaceDE w:val="0"/>
              <w:autoSpaceDN w:val="0"/>
              <w:adjustRightInd w:val="0"/>
              <w:snapToGrid w:val="0"/>
              <w:ind w:firstLine="1050" w:firstLineChars="500"/>
              <w:rPr>
                <w:snapToGrid w:val="0"/>
                <w:kern w:val="0"/>
                <w:sz w:val="21"/>
                <w:szCs w:val="21"/>
              </w:rPr>
            </w:pPr>
            <w:r>
              <w:rPr>
                <w:snapToGrid w:val="0"/>
                <w:kern w:val="0"/>
                <w:sz w:val="21"/>
                <w:szCs w:val="21"/>
              </w:rPr>
              <w:t>pH</w:t>
            </w:r>
            <w:r>
              <w:rPr>
                <w:snapToGrid w:val="0"/>
                <w:kern w:val="0"/>
                <w:sz w:val="21"/>
                <w:szCs w:val="21"/>
                <w:vertAlign w:val="subscript"/>
              </w:rPr>
              <w:t>sd</w:t>
            </w:r>
            <w:r>
              <w:rPr>
                <w:snapToGrid w:val="0"/>
                <w:kern w:val="0"/>
                <w:sz w:val="21"/>
                <w:szCs w:val="21"/>
              </w:rPr>
              <w:t>——</w:t>
            </w:r>
            <w:r>
              <w:rPr>
                <w:rFonts w:hint="eastAsia" w:hAnsi="宋体"/>
                <w:snapToGrid w:val="0"/>
                <w:kern w:val="0"/>
                <w:sz w:val="21"/>
                <w:szCs w:val="21"/>
              </w:rPr>
              <w:t>地下水质量标准中规定的</w:t>
            </w:r>
            <w:r>
              <w:rPr>
                <w:snapToGrid w:val="0"/>
                <w:kern w:val="0"/>
                <w:sz w:val="21"/>
                <w:szCs w:val="21"/>
              </w:rPr>
              <w:t>pH</w:t>
            </w:r>
            <w:r>
              <w:rPr>
                <w:rFonts w:hint="eastAsia" w:hAnsi="宋体"/>
                <w:snapToGrid w:val="0"/>
                <w:kern w:val="0"/>
                <w:sz w:val="21"/>
                <w:szCs w:val="21"/>
              </w:rPr>
              <w:t>值下限；</w:t>
            </w:r>
          </w:p>
          <w:p>
            <w:pPr>
              <w:pStyle w:val="45"/>
              <w:tabs>
                <w:tab w:val="left" w:pos="420"/>
                <w:tab w:val="clear" w:pos="377"/>
              </w:tabs>
              <w:snapToGrid w:val="0"/>
              <w:ind w:firstLine="1050" w:firstLineChars="500"/>
              <w:rPr>
                <w:snapToGrid w:val="0"/>
                <w:sz w:val="21"/>
              </w:rPr>
            </w:pPr>
            <w:r>
              <w:rPr>
                <w:snapToGrid w:val="0"/>
                <w:sz w:val="21"/>
              </w:rPr>
              <w:t>pH</w:t>
            </w:r>
            <w:r>
              <w:rPr>
                <w:snapToGrid w:val="0"/>
                <w:sz w:val="21"/>
                <w:vertAlign w:val="subscript"/>
              </w:rPr>
              <w:t>sw</w:t>
            </w:r>
            <w:r>
              <w:rPr>
                <w:snapToGrid w:val="0"/>
                <w:sz w:val="21"/>
              </w:rPr>
              <w:t>——</w:t>
            </w:r>
            <w:r>
              <w:rPr>
                <w:rFonts w:hint="eastAsia" w:hAnsi="宋体"/>
                <w:snapToGrid w:val="0"/>
                <w:sz w:val="21"/>
              </w:rPr>
              <w:t>地下水质量标准中规定的</w:t>
            </w:r>
            <w:r>
              <w:rPr>
                <w:snapToGrid w:val="0"/>
                <w:sz w:val="21"/>
              </w:rPr>
              <w:t>pH</w:t>
            </w:r>
            <w:r>
              <w:rPr>
                <w:rFonts w:hint="eastAsia" w:hAnsi="宋体"/>
                <w:snapToGrid w:val="0"/>
                <w:sz w:val="21"/>
              </w:rPr>
              <w:t>值上限。</w:t>
            </w:r>
          </w:p>
          <w:p>
            <w:pPr>
              <w:pStyle w:val="20"/>
              <w:snapToGrid w:val="0"/>
              <w:spacing w:before="0" w:beforeAutospacing="0" w:after="0" w:afterAutospacing="0"/>
              <w:ind w:firstLine="420"/>
              <w:jc w:val="both"/>
              <w:rPr>
                <w:rFonts w:ascii="Times New Roman"/>
                <w:snapToGrid w:val="0"/>
                <w:sz w:val="21"/>
                <w:szCs w:val="21"/>
              </w:rPr>
            </w:pPr>
            <w:r>
              <w:rPr>
                <w:rFonts w:hint="eastAsia" w:ascii="Times New Roman"/>
                <w:snapToGrid w:val="0"/>
                <w:sz w:val="21"/>
                <w:szCs w:val="21"/>
              </w:rPr>
              <w:t>（7）监测结果</w:t>
            </w:r>
          </w:p>
          <w:p>
            <w:pPr>
              <w:pStyle w:val="20"/>
              <w:snapToGrid w:val="0"/>
              <w:spacing w:before="0" w:beforeAutospacing="0" w:after="0" w:afterAutospacing="0"/>
              <w:ind w:firstLine="420"/>
              <w:rPr>
                <w:rFonts w:ascii="Times New Roman" w:hAnsi="Times New Roman"/>
                <w:snapToGrid w:val="0"/>
                <w:sz w:val="21"/>
                <w:szCs w:val="21"/>
              </w:rPr>
            </w:pPr>
            <w:r>
              <w:rPr>
                <w:rFonts w:ascii="Times New Roman" w:hAnsi="Times New Roman"/>
                <w:snapToGrid w:val="0"/>
                <w:sz w:val="21"/>
                <w:szCs w:val="21"/>
              </w:rPr>
              <w:t>水井水位、水质现状监测结果及标准指数评价结果</w:t>
            </w:r>
            <w:r>
              <w:rPr>
                <w:rFonts w:hint="eastAsia" w:ascii="Times New Roman" w:hAnsi="Times New Roman"/>
                <w:snapToGrid w:val="0"/>
                <w:sz w:val="21"/>
                <w:szCs w:val="21"/>
              </w:rPr>
              <w:t>如下</w:t>
            </w:r>
            <w:r>
              <w:rPr>
                <w:rFonts w:ascii="Times New Roman" w:hAnsi="Times New Roman"/>
                <w:snapToGrid w:val="0"/>
                <w:sz w:val="21"/>
                <w:szCs w:val="21"/>
              </w:rPr>
              <w:t>。</w:t>
            </w:r>
          </w:p>
          <w:p>
            <w:pPr>
              <w:pStyle w:val="20"/>
              <w:snapToGrid w:val="0"/>
              <w:spacing w:before="0" w:beforeAutospacing="0" w:after="0" w:afterAutospacing="0"/>
              <w:ind w:firstLine="0" w:firstLineChars="0"/>
              <w:jc w:val="center"/>
              <w:rPr>
                <w:rFonts w:ascii="Times New Roman" w:hAnsi="Times New Roman"/>
                <w:b/>
                <w:snapToGrid w:val="0"/>
                <w:sz w:val="21"/>
                <w:szCs w:val="21"/>
              </w:rPr>
            </w:pPr>
            <w:r>
              <w:rPr>
                <w:rFonts w:ascii="Times New Roman" w:hAnsi="Times New Roman"/>
                <w:b/>
                <w:snapToGrid w:val="0"/>
                <w:sz w:val="21"/>
                <w:szCs w:val="21"/>
              </w:rPr>
              <w:t>表3-6  地下水水位监测结果统计表单位：m</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1928"/>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549" w:type="dxa"/>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点位名称</w:t>
                  </w:r>
                </w:p>
              </w:tc>
              <w:tc>
                <w:tcPr>
                  <w:tcW w:w="1928" w:type="dxa"/>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海拔（m）</w:t>
                  </w:r>
                </w:p>
              </w:tc>
              <w:tc>
                <w:tcPr>
                  <w:tcW w:w="2021" w:type="dxa"/>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埋深</w:t>
                  </w:r>
                  <w:r>
                    <w:rPr>
                      <w:b/>
                      <w:bCs/>
                      <w:snapToGrid w:val="0"/>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井场西南侧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634.2</w:t>
                  </w:r>
                </w:p>
              </w:tc>
              <w:tc>
                <w:tcPr>
                  <w:tcW w:w="2021" w:type="dxa"/>
                  <w:vAlign w:val="center"/>
                </w:tcPr>
                <w:p>
                  <w:pPr>
                    <w:adjustRightInd w:val="0"/>
                    <w:snapToGrid w:val="0"/>
                    <w:spacing w:line="240" w:lineRule="auto"/>
                    <w:ind w:firstLine="0" w:firstLineChars="0"/>
                    <w:jc w:val="center"/>
                    <w:rPr>
                      <w:sz w:val="21"/>
                    </w:rPr>
                  </w:pPr>
                  <w:r>
                    <w:rPr>
                      <w:rFonts w:hint="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井场东南侧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597.0</w:t>
                  </w:r>
                </w:p>
              </w:tc>
              <w:tc>
                <w:tcPr>
                  <w:tcW w:w="2021" w:type="dxa"/>
                  <w:vAlign w:val="center"/>
                </w:tcPr>
                <w:p>
                  <w:pPr>
                    <w:adjustRightInd w:val="0"/>
                    <w:snapToGrid w:val="0"/>
                    <w:spacing w:line="240" w:lineRule="auto"/>
                    <w:ind w:firstLine="0" w:firstLineChars="0"/>
                    <w:jc w:val="center"/>
                    <w:rPr>
                      <w:sz w:val="21"/>
                    </w:rPr>
                  </w:pPr>
                  <w:r>
                    <w:rPr>
                      <w:rFonts w:hint="eastAsia"/>
                      <w:sz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井场东侧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516.0</w:t>
                  </w:r>
                </w:p>
              </w:tc>
              <w:tc>
                <w:tcPr>
                  <w:tcW w:w="2021" w:type="dxa"/>
                  <w:vAlign w:val="center"/>
                </w:tcPr>
                <w:p>
                  <w:pPr>
                    <w:adjustRightInd w:val="0"/>
                    <w:snapToGrid w:val="0"/>
                    <w:spacing w:line="240" w:lineRule="auto"/>
                    <w:ind w:firstLine="0" w:firstLineChars="0"/>
                    <w:jc w:val="center"/>
                    <w:rPr>
                      <w:sz w:val="21"/>
                    </w:rPr>
                  </w:pPr>
                  <w:r>
                    <w:rPr>
                      <w:rFonts w:hint="eastAsia"/>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井场东北侧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526.5</w:t>
                  </w:r>
                </w:p>
              </w:tc>
              <w:tc>
                <w:tcPr>
                  <w:tcW w:w="2021" w:type="dxa"/>
                  <w:vAlign w:val="center"/>
                </w:tcPr>
                <w:p>
                  <w:pPr>
                    <w:adjustRightInd w:val="0"/>
                    <w:snapToGrid w:val="0"/>
                    <w:spacing w:line="240" w:lineRule="auto"/>
                    <w:ind w:firstLine="0" w:firstLineChars="0"/>
                    <w:jc w:val="center"/>
                    <w:rPr>
                      <w:sz w:val="21"/>
                    </w:rPr>
                  </w:pPr>
                  <w:r>
                    <w:rPr>
                      <w:rFonts w:hint="eastAsia"/>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井场东北侧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505.3</w:t>
                  </w:r>
                </w:p>
              </w:tc>
              <w:tc>
                <w:tcPr>
                  <w:tcW w:w="2021" w:type="dxa"/>
                  <w:vAlign w:val="center"/>
                </w:tcPr>
                <w:p>
                  <w:pPr>
                    <w:adjustRightInd w:val="0"/>
                    <w:snapToGrid w:val="0"/>
                    <w:spacing w:line="240" w:lineRule="auto"/>
                    <w:ind w:firstLine="0" w:firstLineChars="0"/>
                    <w:jc w:val="center"/>
                    <w:rPr>
                      <w:sz w:val="21"/>
                    </w:rPr>
                  </w:pPr>
                  <w:r>
                    <w:rPr>
                      <w:rFonts w:hint="eastAsia"/>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z w:val="21"/>
                    </w:rPr>
                  </w:pPr>
                  <w:r>
                    <w:rPr>
                      <w:rFonts w:hint="eastAsia"/>
                      <w:sz w:val="21"/>
                    </w:rPr>
                    <w:t>井场西南侧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650.1</w:t>
                  </w:r>
                </w:p>
              </w:tc>
              <w:tc>
                <w:tcPr>
                  <w:tcW w:w="2021" w:type="dxa"/>
                  <w:vAlign w:val="center"/>
                </w:tcPr>
                <w:p>
                  <w:pPr>
                    <w:adjustRightInd w:val="0"/>
                    <w:snapToGrid w:val="0"/>
                    <w:spacing w:line="240" w:lineRule="auto"/>
                    <w:ind w:firstLine="0" w:firstLineChars="0"/>
                    <w:jc w:val="center"/>
                    <w:rPr>
                      <w:sz w:val="21"/>
                    </w:rPr>
                  </w:pPr>
                  <w:r>
                    <w:rPr>
                      <w:rFonts w:hint="eastAsia"/>
                      <w:sz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napToGrid w:val="0"/>
                      <w:kern w:val="0"/>
                      <w:sz w:val="21"/>
                      <w:szCs w:val="21"/>
                    </w:rPr>
                  </w:pPr>
                  <w:r>
                    <w:rPr>
                      <w:rFonts w:hint="eastAsia"/>
                      <w:sz w:val="21"/>
                    </w:rPr>
                    <w:t>井场东南侧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560.8</w:t>
                  </w:r>
                </w:p>
              </w:tc>
              <w:tc>
                <w:tcPr>
                  <w:tcW w:w="2021" w:type="dxa"/>
                  <w:vAlign w:val="center"/>
                </w:tcPr>
                <w:p>
                  <w:pPr>
                    <w:adjustRightInd w:val="0"/>
                    <w:snapToGrid w:val="0"/>
                    <w:spacing w:line="240" w:lineRule="auto"/>
                    <w:ind w:firstLine="0" w:firstLineChars="0"/>
                    <w:jc w:val="center"/>
                    <w:rPr>
                      <w:sz w:val="21"/>
                    </w:rPr>
                  </w:pPr>
                  <w:r>
                    <w:rPr>
                      <w:rFonts w:hint="eastAsia"/>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napToGrid w:val="0"/>
                      <w:kern w:val="0"/>
                      <w:sz w:val="21"/>
                      <w:szCs w:val="21"/>
                    </w:rPr>
                  </w:pPr>
                  <w:r>
                    <w:rPr>
                      <w:rFonts w:hint="eastAsia"/>
                      <w:sz w:val="21"/>
                    </w:rPr>
                    <w:t>井场东南侧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554.2</w:t>
                  </w:r>
                </w:p>
              </w:tc>
              <w:tc>
                <w:tcPr>
                  <w:tcW w:w="2021" w:type="dxa"/>
                  <w:vAlign w:val="center"/>
                </w:tcPr>
                <w:p>
                  <w:pPr>
                    <w:adjustRightInd w:val="0"/>
                    <w:snapToGrid w:val="0"/>
                    <w:spacing w:line="240" w:lineRule="auto"/>
                    <w:ind w:firstLine="0" w:firstLineChars="0"/>
                    <w:jc w:val="center"/>
                    <w:rPr>
                      <w:sz w:val="21"/>
                    </w:rPr>
                  </w:pPr>
                  <w:r>
                    <w:rPr>
                      <w:rFonts w:hint="eastAsia"/>
                      <w:sz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464.1</w:t>
                  </w:r>
                </w:p>
              </w:tc>
              <w:tc>
                <w:tcPr>
                  <w:tcW w:w="2021" w:type="dxa"/>
                  <w:vAlign w:val="center"/>
                </w:tcPr>
                <w:p>
                  <w:pPr>
                    <w:adjustRightInd w:val="0"/>
                    <w:snapToGrid w:val="0"/>
                    <w:spacing w:line="240" w:lineRule="auto"/>
                    <w:ind w:firstLine="0" w:firstLineChars="0"/>
                    <w:jc w:val="center"/>
                    <w:rPr>
                      <w:sz w:val="21"/>
                    </w:rPr>
                  </w:pPr>
                  <w:r>
                    <w:rPr>
                      <w:rFonts w:hint="eastAsia"/>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485.7</w:t>
                  </w:r>
                </w:p>
              </w:tc>
              <w:tc>
                <w:tcPr>
                  <w:tcW w:w="2021" w:type="dxa"/>
                  <w:vAlign w:val="center"/>
                </w:tcPr>
                <w:p>
                  <w:pPr>
                    <w:adjustRightInd w:val="0"/>
                    <w:snapToGrid w:val="0"/>
                    <w:spacing w:line="240" w:lineRule="auto"/>
                    <w:ind w:firstLine="0" w:firstLineChars="0"/>
                    <w:jc w:val="center"/>
                    <w:rPr>
                      <w:sz w:val="21"/>
                    </w:rPr>
                  </w:pPr>
                  <w:r>
                    <w:rPr>
                      <w:rFonts w:hint="eastAsia"/>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9" w:type="dxa"/>
                  <w:vAlign w:val="center"/>
                </w:tcPr>
                <w:p>
                  <w:pPr>
                    <w:adjustRightInd w:val="0"/>
                    <w:snapToGrid w:val="0"/>
                    <w:spacing w:line="240" w:lineRule="auto"/>
                    <w:ind w:firstLine="0" w:firstLineChars="0"/>
                    <w:jc w:val="center"/>
                    <w:rPr>
                      <w:snapToGrid w:val="0"/>
                      <w:kern w:val="0"/>
                      <w:sz w:val="21"/>
                      <w:szCs w:val="21"/>
                    </w:rPr>
                  </w:pPr>
                  <w:r>
                    <w:rPr>
                      <w:rFonts w:hint="eastAsia"/>
                      <w:sz w:val="21"/>
                    </w:rPr>
                    <w:t>井场东北侧</w:t>
                  </w:r>
                  <w:r>
                    <w:rPr>
                      <w:sz w:val="21"/>
                    </w:rPr>
                    <w:t>农户水井</w:t>
                  </w:r>
                </w:p>
              </w:tc>
              <w:tc>
                <w:tcPr>
                  <w:tcW w:w="1928" w:type="dxa"/>
                  <w:vAlign w:val="center"/>
                </w:tcPr>
                <w:p>
                  <w:pPr>
                    <w:adjustRightInd w:val="0"/>
                    <w:snapToGrid w:val="0"/>
                    <w:spacing w:line="240" w:lineRule="auto"/>
                    <w:ind w:firstLine="0" w:firstLineChars="0"/>
                    <w:jc w:val="center"/>
                    <w:rPr>
                      <w:sz w:val="21"/>
                    </w:rPr>
                  </w:pPr>
                  <w:r>
                    <w:rPr>
                      <w:rFonts w:hint="eastAsia"/>
                      <w:sz w:val="21"/>
                    </w:rPr>
                    <w:t>513.8</w:t>
                  </w:r>
                </w:p>
              </w:tc>
              <w:tc>
                <w:tcPr>
                  <w:tcW w:w="2021" w:type="dxa"/>
                  <w:vAlign w:val="center"/>
                </w:tcPr>
                <w:p>
                  <w:pPr>
                    <w:adjustRightInd w:val="0"/>
                    <w:snapToGrid w:val="0"/>
                    <w:spacing w:line="240" w:lineRule="auto"/>
                    <w:ind w:firstLine="0" w:firstLineChars="0"/>
                    <w:jc w:val="center"/>
                    <w:rPr>
                      <w:sz w:val="21"/>
                    </w:rPr>
                  </w:pPr>
                  <w:r>
                    <w:rPr>
                      <w:rFonts w:hint="eastAsia"/>
                      <w:sz w:val="21"/>
                    </w:rPr>
                    <w:t>3.5</w:t>
                  </w:r>
                </w:p>
              </w:tc>
            </w:tr>
          </w:tbl>
          <w:p>
            <w:pPr>
              <w:pStyle w:val="20"/>
              <w:snapToGrid w:val="0"/>
              <w:spacing w:before="0" w:beforeAutospacing="0" w:after="0" w:afterAutospacing="0"/>
              <w:ind w:firstLine="0" w:firstLineChars="0"/>
              <w:jc w:val="both"/>
              <w:rPr>
                <w:rFonts w:ascii="Times New Roman" w:hAnsi="Times New Roman"/>
                <w:b/>
                <w:snapToGrid w:val="0"/>
                <w:sz w:val="21"/>
                <w:szCs w:val="21"/>
              </w:rPr>
            </w:pPr>
          </w:p>
          <w:p>
            <w:pPr>
              <w:pStyle w:val="20"/>
              <w:snapToGrid w:val="0"/>
              <w:spacing w:before="0" w:beforeAutospacing="0" w:after="0" w:afterAutospacing="0"/>
              <w:ind w:firstLine="0" w:firstLineChars="0"/>
              <w:jc w:val="both"/>
              <w:rPr>
                <w:rFonts w:ascii="Times New Roman" w:hAnsi="Times New Roman"/>
                <w:b/>
                <w:snapToGrid w:val="0"/>
                <w:sz w:val="21"/>
                <w:szCs w:val="21"/>
              </w:rPr>
            </w:pPr>
          </w:p>
          <w:p>
            <w:pPr>
              <w:pStyle w:val="20"/>
              <w:snapToGrid w:val="0"/>
              <w:spacing w:before="0" w:beforeAutospacing="0" w:after="0" w:afterAutospacing="0"/>
              <w:ind w:firstLine="0" w:firstLineChars="0"/>
              <w:jc w:val="both"/>
              <w:rPr>
                <w:rFonts w:ascii="Times New Roman"/>
                <w:snapToGrid w:val="0"/>
                <w:sz w:val="21"/>
                <w:szCs w:val="21"/>
              </w:rPr>
            </w:pPr>
          </w:p>
          <w:p>
            <w:pPr>
              <w:pStyle w:val="20"/>
              <w:snapToGrid w:val="0"/>
              <w:spacing w:before="0" w:beforeAutospacing="0" w:after="0" w:afterAutospacing="0"/>
              <w:ind w:firstLine="0" w:firstLineChars="0"/>
              <w:jc w:val="both"/>
              <w:rPr>
                <w:rFonts w:ascii="Times New Roman"/>
                <w:snapToGrid w:val="0"/>
                <w:sz w:val="21"/>
                <w:szCs w:val="21"/>
              </w:rPr>
            </w:pPr>
          </w:p>
        </w:tc>
      </w:tr>
    </w:tbl>
    <w:p>
      <w:pPr>
        <w:pStyle w:val="20"/>
        <w:ind w:firstLine="420"/>
        <w:jc w:val="center"/>
        <w:rPr>
          <w:rFonts w:ascii="Times New Roman" w:hAnsi="Times New Roman"/>
          <w:snapToGrid w:val="0"/>
          <w:kern w:val="2"/>
          <w:sz w:val="21"/>
          <w:szCs w:val="21"/>
        </w:rPr>
      </w:pPr>
    </w:p>
    <w:p>
      <w:pPr>
        <w:pStyle w:val="20"/>
        <w:ind w:firstLine="420"/>
        <w:jc w:val="center"/>
        <w:outlineLvl w:val="0"/>
        <w:rPr>
          <w:rFonts w:ascii="Times New Roman" w:hAnsi="Times New Roman"/>
          <w:snapToGrid w:val="0"/>
          <w:kern w:val="2"/>
          <w:sz w:val="21"/>
          <w:szCs w:val="21"/>
        </w:rPr>
        <w:sectPr>
          <w:pgSz w:w="11906" w:h="16838"/>
          <w:pgMar w:top="1440" w:right="1440" w:bottom="1440" w:left="1440" w:header="851" w:footer="1077" w:gutter="0"/>
          <w:cols w:space="425" w:num="1"/>
          <w:docGrid w:linePitch="312" w:charSpace="0"/>
        </w:sectPr>
      </w:pPr>
    </w:p>
    <w:tbl>
      <w:tblPr>
        <w:tblStyle w:val="22"/>
        <w:tblpPr w:leftFromText="180" w:rightFromText="180" w:vertAnchor="text" w:tblpXSpec="righ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pStyle w:val="20"/>
              <w:spacing w:line="240" w:lineRule="auto"/>
              <w:ind w:firstLine="0" w:firstLineChars="0"/>
              <w:jc w:val="center"/>
              <w:outlineLvl w:val="0"/>
              <w:rPr>
                <w:rFonts w:ascii="Times New Roman" w:hAnsi="Times New Roman"/>
                <w:snapToGrid w:val="0"/>
                <w:kern w:val="2"/>
                <w:sz w:val="21"/>
                <w:szCs w:val="21"/>
              </w:rPr>
            </w:pPr>
            <w:r>
              <w:rPr>
                <w:rFonts w:ascii="Times New Roman" w:hAnsi="Times New Roman"/>
                <w:snapToGrid w:val="0"/>
                <w:kern w:val="2"/>
                <w:sz w:val="21"/>
                <w:szCs w:val="21"/>
              </w:rPr>
              <w:t>生态环境现状</w:t>
            </w:r>
          </w:p>
        </w:tc>
        <w:tc>
          <w:tcPr>
            <w:tcW w:w="4712" w:type="pct"/>
            <w:vAlign w:val="center"/>
          </w:tcPr>
          <w:p>
            <w:pPr>
              <w:widowControl/>
              <w:ind w:firstLine="0" w:firstLineChars="0"/>
              <w:jc w:val="center"/>
              <w:rPr>
                <w:rFonts w:hAnsi="宋体"/>
                <w:b/>
                <w:snapToGrid w:val="0"/>
                <w:kern w:val="0"/>
                <w:sz w:val="21"/>
                <w:szCs w:val="21"/>
              </w:rPr>
            </w:pPr>
            <w:r>
              <w:rPr>
                <w:rFonts w:hAnsi="宋体"/>
                <w:b/>
                <w:snapToGrid w:val="0"/>
                <w:kern w:val="0"/>
                <w:sz w:val="21"/>
                <w:szCs w:val="21"/>
              </w:rPr>
              <w:t>表</w:t>
            </w:r>
            <w:r>
              <w:rPr>
                <w:b/>
                <w:snapToGrid w:val="0"/>
                <w:kern w:val="0"/>
                <w:sz w:val="21"/>
                <w:szCs w:val="21"/>
              </w:rPr>
              <w:t xml:space="preserve">3-7  </w:t>
            </w:r>
            <w:r>
              <w:rPr>
                <w:rFonts w:hAnsi="宋体"/>
                <w:b/>
                <w:snapToGrid w:val="0"/>
                <w:kern w:val="0"/>
                <w:sz w:val="21"/>
                <w:szCs w:val="21"/>
              </w:rPr>
              <w:t>地下水监测结果统计表单位：</w:t>
            </w:r>
            <w:r>
              <w:rPr>
                <w:b/>
                <w:snapToGrid w:val="0"/>
                <w:kern w:val="0"/>
                <w:sz w:val="21"/>
                <w:szCs w:val="21"/>
              </w:rPr>
              <w:t>mg/L</w:t>
            </w:r>
            <w:r>
              <w:rPr>
                <w:rFonts w:hAnsi="宋体"/>
                <w:b/>
                <w:snapToGrid w:val="0"/>
                <w:kern w:val="0"/>
                <w:sz w:val="21"/>
                <w:szCs w:val="21"/>
              </w:rPr>
              <w:t>（</w:t>
            </w:r>
            <w:r>
              <w:rPr>
                <w:b/>
                <w:snapToGrid w:val="0"/>
                <w:kern w:val="0"/>
                <w:sz w:val="21"/>
                <w:szCs w:val="21"/>
              </w:rPr>
              <w:t>pH</w:t>
            </w:r>
            <w:r>
              <w:rPr>
                <w:rFonts w:hAnsi="宋体"/>
                <w:b/>
                <w:snapToGrid w:val="0"/>
                <w:kern w:val="0"/>
                <w:sz w:val="21"/>
                <w:szCs w:val="21"/>
              </w:rPr>
              <w:t>无量纲）</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267"/>
              <w:gridCol w:w="895"/>
              <w:gridCol w:w="1017"/>
              <w:gridCol w:w="913"/>
              <w:gridCol w:w="1017"/>
              <w:gridCol w:w="913"/>
              <w:gridCol w:w="1017"/>
              <w:gridCol w:w="913"/>
              <w:gridCol w:w="1017"/>
              <w:gridCol w:w="913"/>
              <w:gridCol w:w="913"/>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vMerge w:val="restar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检测项目</w:t>
                  </w:r>
                </w:p>
              </w:tc>
              <w:tc>
                <w:tcPr>
                  <w:tcW w:w="457" w:type="pct"/>
                  <w:vMerge w:val="restar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单位</w:t>
                  </w:r>
                </w:p>
              </w:tc>
              <w:tc>
                <w:tcPr>
                  <w:tcW w:w="356" w:type="pct"/>
                  <w:vMerge w:val="restar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标准限值</w:t>
                  </w:r>
                </w:p>
              </w:tc>
              <w:tc>
                <w:tcPr>
                  <w:tcW w:w="3630" w:type="pct"/>
                  <w:gridSpan w:val="10"/>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vMerge w:val="continue"/>
                  <w:shd w:val="clear" w:color="auto" w:fill="auto"/>
                  <w:vAlign w:val="center"/>
                </w:tcPr>
                <w:p>
                  <w:pPr>
                    <w:widowControl/>
                    <w:spacing w:line="240" w:lineRule="auto"/>
                    <w:ind w:firstLine="0" w:firstLineChars="0"/>
                    <w:jc w:val="center"/>
                    <w:rPr>
                      <w:bCs/>
                      <w:snapToGrid w:val="0"/>
                      <w:kern w:val="0"/>
                      <w:sz w:val="21"/>
                      <w:szCs w:val="21"/>
                    </w:rPr>
                  </w:pPr>
                </w:p>
              </w:tc>
              <w:tc>
                <w:tcPr>
                  <w:tcW w:w="457" w:type="pct"/>
                  <w:vMerge w:val="continue"/>
                  <w:shd w:val="clear" w:color="auto" w:fill="auto"/>
                  <w:vAlign w:val="center"/>
                </w:tcPr>
                <w:p>
                  <w:pPr>
                    <w:widowControl/>
                    <w:spacing w:line="240" w:lineRule="auto"/>
                    <w:ind w:firstLine="0" w:firstLineChars="0"/>
                    <w:jc w:val="center"/>
                    <w:rPr>
                      <w:bCs/>
                      <w:snapToGrid w:val="0"/>
                      <w:kern w:val="0"/>
                      <w:sz w:val="21"/>
                      <w:szCs w:val="21"/>
                    </w:rPr>
                  </w:pPr>
                </w:p>
              </w:tc>
              <w:tc>
                <w:tcPr>
                  <w:tcW w:w="356" w:type="pct"/>
                  <w:vMerge w:val="continue"/>
                  <w:shd w:val="clear" w:color="auto" w:fill="auto"/>
                  <w:vAlign w:val="center"/>
                </w:tcPr>
                <w:p>
                  <w:pPr>
                    <w:widowControl/>
                    <w:spacing w:line="240" w:lineRule="auto"/>
                    <w:ind w:firstLine="0" w:firstLineChars="0"/>
                    <w:jc w:val="center"/>
                    <w:rPr>
                      <w:bCs/>
                      <w:snapToGrid w:val="0"/>
                      <w:kern w:val="0"/>
                      <w:sz w:val="21"/>
                      <w:szCs w:val="21"/>
                    </w:rPr>
                  </w:pP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snapToGrid w:val="0"/>
                      <w:kern w:val="0"/>
                      <w:sz w:val="21"/>
                      <w:szCs w:val="21"/>
                    </w:rPr>
                    <w:t>1#井场西南侧农户水井</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标准指数Sij</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2#井场东南侧农户水井</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标准指数Sij</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3#</w:t>
                  </w:r>
                  <w:r>
                    <w:rPr>
                      <w:sz w:val="21"/>
                      <w:szCs w:val="21"/>
                    </w:rPr>
                    <w:t>井场东侧农户水井</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标准指数Sij</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4#</w:t>
                  </w:r>
                  <w:r>
                    <w:rPr>
                      <w:sz w:val="21"/>
                      <w:szCs w:val="21"/>
                    </w:rPr>
                    <w:t>井场东北侧农户水井</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标准指数Sij</w:t>
                  </w:r>
                </w:p>
              </w:tc>
              <w:tc>
                <w:tcPr>
                  <w:tcW w:w="363" w:type="pct"/>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5#</w:t>
                  </w:r>
                  <w:r>
                    <w:rPr>
                      <w:sz w:val="21"/>
                      <w:szCs w:val="21"/>
                    </w:rPr>
                    <w:t>井场东北侧农户水井</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标准指数Sij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pH</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无量纲</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6.5~8.5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7.4</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0.267</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7.4</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0.267</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7.1</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0.067</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6.7</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0.600</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7.2</w:t>
                  </w:r>
                </w:p>
              </w:tc>
              <w:tc>
                <w:tcPr>
                  <w:tcW w:w="363" w:type="pct"/>
                  <w:shd w:val="clear" w:color="auto" w:fill="auto"/>
                  <w:vAlign w:val="center"/>
                </w:tcPr>
                <w:p>
                  <w:pPr>
                    <w:spacing w:line="240" w:lineRule="auto"/>
                    <w:ind w:firstLine="0" w:firstLineChars="0"/>
                    <w:jc w:val="center"/>
                    <w:rPr>
                      <w:bCs/>
                      <w:snapToGrid w:val="0"/>
                      <w:kern w:val="0"/>
                      <w:sz w:val="21"/>
                      <w:szCs w:val="21"/>
                    </w:rPr>
                  </w:pPr>
                  <w:r>
                    <w:rPr>
                      <w:bCs/>
                      <w:snapToGrid w:val="0"/>
                      <w:kern w:val="0"/>
                      <w:sz w:val="21"/>
                      <w:szCs w:val="21"/>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高锰酸盐指数（耗氧量）</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0.867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0.400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0.833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氨氮</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六价铬</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汞</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砷</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铅</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0.00072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0.072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0.00119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0.119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0.00041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0.00044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0.00013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镉</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铁</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0.0026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0.00398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0.00153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0.0026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锰</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0.00055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0.00624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0.0138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0.138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0.0881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钡</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0.0427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0.061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0.156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0.223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0.0753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0.108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0.061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0.0607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钠</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6.51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16.1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0.081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9.6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氯化物</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250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16.3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0.065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24.1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0.096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23.3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硫酸盐</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250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7.76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18.4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0.074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7.55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氟化物</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0.139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0.139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0.071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0.071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0.139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0.139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硝酸根（硝酸盐氮）</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0.748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1.25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0.063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0.198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0.746</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0.037</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0.191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亚硝酸根（亚硝酸盐氮）</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氰化物</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总硬度（钙和镁总量）</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450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249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143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120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99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溶解性总固体</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393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0.393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279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0.279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253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0.253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279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挥发酚</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0.0004</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石油类</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0.600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0.400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硫化物</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mg/L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&lt;0.003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总大肠菌群</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MPN/100ml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3</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&lt;1.0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&lt;1.0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细菌总数</w:t>
                  </w:r>
                </w:p>
              </w:tc>
              <w:tc>
                <w:tcPr>
                  <w:tcW w:w="457"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CFU/ml</w:t>
                  </w:r>
                </w:p>
              </w:tc>
              <w:tc>
                <w:tcPr>
                  <w:tcW w:w="356"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69</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72</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88</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85</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80</w:t>
                  </w:r>
                </w:p>
              </w:tc>
              <w:tc>
                <w:tcPr>
                  <w:tcW w:w="363" w:type="pct"/>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0.001</w:t>
                  </w:r>
                </w:p>
              </w:tc>
            </w:tr>
          </w:tbl>
          <w:p>
            <w:pPr>
              <w:widowControl/>
              <w:ind w:firstLine="0" w:firstLineChars="0"/>
              <w:jc w:val="center"/>
              <w:rPr>
                <w:b/>
                <w:snapToGrid w:val="0"/>
                <w:kern w:val="0"/>
                <w:sz w:val="21"/>
                <w:szCs w:val="21"/>
              </w:rPr>
            </w:pPr>
            <w:r>
              <w:rPr>
                <w:rFonts w:hint="eastAsia"/>
                <w:b/>
                <w:snapToGrid w:val="0"/>
                <w:kern w:val="0"/>
                <w:sz w:val="21"/>
                <w:szCs w:val="21"/>
              </w:rPr>
              <w:t>表3-</w:t>
            </w:r>
            <w:r>
              <w:rPr>
                <w:b/>
                <w:snapToGrid w:val="0"/>
                <w:kern w:val="0"/>
                <w:sz w:val="21"/>
                <w:szCs w:val="21"/>
              </w:rPr>
              <w:t>8</w:t>
            </w:r>
            <w:r>
              <w:rPr>
                <w:rFonts w:hint="eastAsia"/>
                <w:b/>
                <w:snapToGrid w:val="0"/>
                <w:kern w:val="0"/>
                <w:sz w:val="21"/>
                <w:szCs w:val="21"/>
              </w:rPr>
              <w:t>地下水八大离子监测结果统计表单位：mg/L</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242"/>
              <w:gridCol w:w="2241"/>
              <w:gridCol w:w="2241"/>
              <w:gridCol w:w="2241"/>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vMerge w:val="restart"/>
                  <w:shd w:val="clear" w:color="auto" w:fill="auto"/>
                  <w:vAlign w:val="center"/>
                </w:tcPr>
                <w:p>
                  <w:pPr>
                    <w:widowControl/>
                    <w:spacing w:line="240" w:lineRule="auto"/>
                    <w:ind w:firstLine="0" w:firstLineChars="0"/>
                    <w:jc w:val="center"/>
                    <w:rPr>
                      <w:rFonts w:ascii="宋体" w:hAnsi="宋体" w:cs="宋体"/>
                      <w:b/>
                      <w:bCs/>
                      <w:snapToGrid w:val="0"/>
                      <w:kern w:val="0"/>
                      <w:sz w:val="21"/>
                      <w:szCs w:val="21"/>
                    </w:rPr>
                  </w:pPr>
                  <w:r>
                    <w:rPr>
                      <w:rFonts w:hint="eastAsia" w:ascii="宋体" w:hAnsi="宋体" w:cs="宋体"/>
                      <w:b/>
                      <w:bCs/>
                      <w:snapToGrid w:val="0"/>
                      <w:kern w:val="0"/>
                      <w:sz w:val="21"/>
                      <w:szCs w:val="21"/>
                    </w:rPr>
                    <w:t>监测因子</w:t>
                  </w:r>
                </w:p>
              </w:tc>
              <w:tc>
                <w:tcPr>
                  <w:tcW w:w="11207" w:type="dxa"/>
                  <w:gridSpan w:val="5"/>
                  <w:shd w:val="clear" w:color="auto" w:fill="auto"/>
                  <w:vAlign w:val="center"/>
                </w:tcPr>
                <w:p>
                  <w:pPr>
                    <w:widowControl/>
                    <w:spacing w:line="240" w:lineRule="auto"/>
                    <w:ind w:firstLine="0" w:firstLineChars="0"/>
                    <w:jc w:val="center"/>
                    <w:rPr>
                      <w:rFonts w:ascii="宋体" w:hAnsi="宋体" w:cs="宋体"/>
                      <w:b/>
                      <w:bCs/>
                      <w:snapToGrid w:val="0"/>
                      <w:kern w:val="0"/>
                      <w:sz w:val="21"/>
                      <w:szCs w:val="21"/>
                    </w:rPr>
                  </w:pPr>
                  <w:r>
                    <w:rPr>
                      <w:rFonts w:hint="eastAsia" w:ascii="宋体" w:hAnsi="宋体" w:cs="宋体"/>
                      <w:b/>
                      <w:bCs/>
                      <w:snapToGrid w:val="0"/>
                      <w:kern w:val="0"/>
                      <w:sz w:val="21"/>
                      <w:szCs w:val="21"/>
                    </w:rPr>
                    <w:t>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vMerge w:val="continue"/>
                  <w:vAlign w:val="center"/>
                </w:tcPr>
                <w:p>
                  <w:pPr>
                    <w:widowControl/>
                    <w:spacing w:line="240" w:lineRule="auto"/>
                    <w:ind w:firstLine="0" w:firstLineChars="0"/>
                    <w:jc w:val="left"/>
                    <w:rPr>
                      <w:rFonts w:ascii="宋体" w:hAnsi="宋体" w:cs="宋体"/>
                      <w:b/>
                      <w:bCs/>
                      <w:snapToGrid w:val="0"/>
                      <w:kern w:val="0"/>
                      <w:sz w:val="21"/>
                      <w:szCs w:val="21"/>
                    </w:rPr>
                  </w:pPr>
                </w:p>
              </w:tc>
              <w:tc>
                <w:tcPr>
                  <w:tcW w:w="2242" w:type="dxa"/>
                  <w:shd w:val="clear" w:color="auto" w:fill="auto"/>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1#</w:t>
                  </w:r>
                </w:p>
              </w:tc>
              <w:tc>
                <w:tcPr>
                  <w:tcW w:w="2241" w:type="dxa"/>
                  <w:shd w:val="clear" w:color="auto" w:fill="auto"/>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2#</w:t>
                  </w:r>
                </w:p>
              </w:tc>
              <w:tc>
                <w:tcPr>
                  <w:tcW w:w="2241" w:type="dxa"/>
                  <w:shd w:val="clear" w:color="auto" w:fill="auto"/>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3#</w:t>
                  </w:r>
                </w:p>
              </w:tc>
              <w:tc>
                <w:tcPr>
                  <w:tcW w:w="2241" w:type="dxa"/>
                  <w:shd w:val="clear" w:color="auto" w:fill="auto"/>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4#</w:t>
                  </w:r>
                </w:p>
              </w:tc>
              <w:tc>
                <w:tcPr>
                  <w:tcW w:w="2242" w:type="dxa"/>
                  <w:shd w:val="clear" w:color="auto" w:fill="auto"/>
                  <w:vAlign w:val="center"/>
                </w:tcPr>
                <w:p>
                  <w:pPr>
                    <w:widowControl/>
                    <w:spacing w:line="240" w:lineRule="auto"/>
                    <w:ind w:firstLine="0" w:firstLineChars="0"/>
                    <w:jc w:val="center"/>
                    <w:rPr>
                      <w:b/>
                      <w:bCs/>
                      <w:snapToGrid w:val="0"/>
                      <w:kern w:val="0"/>
                      <w:sz w:val="21"/>
                      <w:szCs w:val="21"/>
                    </w:rPr>
                  </w:pPr>
                  <w:r>
                    <w:rPr>
                      <w:b/>
                      <w:bCs/>
                      <w:snapToGrid w:val="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CO</w:t>
                  </w:r>
                  <w:r>
                    <w:rPr>
                      <w:snapToGrid w:val="0"/>
                      <w:kern w:val="0"/>
                      <w:sz w:val="21"/>
                      <w:szCs w:val="21"/>
                      <w:vertAlign w:val="subscript"/>
                    </w:rPr>
                    <w:t>3</w:t>
                  </w:r>
                  <w:r>
                    <w:rPr>
                      <w:snapToGrid w:val="0"/>
                      <w:kern w:val="0"/>
                      <w:sz w:val="21"/>
                      <w:szCs w:val="21"/>
                      <w:vertAlign w:val="superscript"/>
                    </w:rPr>
                    <w:t>2-</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未检出</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未检出</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未检出</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未检出</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HCO</w:t>
                  </w:r>
                  <w:r>
                    <w:rPr>
                      <w:snapToGrid w:val="0"/>
                      <w:kern w:val="0"/>
                      <w:sz w:val="21"/>
                      <w:szCs w:val="21"/>
                      <w:vertAlign w:val="subscript"/>
                    </w:rPr>
                    <w:t>3</w:t>
                  </w:r>
                  <w:r>
                    <w:rPr>
                      <w:snapToGrid w:val="0"/>
                      <w:kern w:val="0"/>
                      <w:sz w:val="21"/>
                      <w:szCs w:val="21"/>
                      <w:vertAlign w:val="superscript"/>
                    </w:rPr>
                    <w:t>-</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198</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315</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222</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201</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Ca</w:t>
                  </w:r>
                  <w:r>
                    <w:rPr>
                      <w:snapToGrid w:val="0"/>
                      <w:kern w:val="0"/>
                      <w:sz w:val="21"/>
                      <w:szCs w:val="21"/>
                      <w:vertAlign w:val="superscript"/>
                    </w:rPr>
                    <w:t>2+</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55</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95.8</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62.3</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59.3</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Mg</w:t>
                  </w:r>
                  <w:r>
                    <w:rPr>
                      <w:snapToGrid w:val="0"/>
                      <w:kern w:val="0"/>
                      <w:sz w:val="21"/>
                      <w:szCs w:val="21"/>
                      <w:vertAlign w:val="superscript"/>
                    </w:rPr>
                    <w:t>2+</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4.5</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11.4</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8.1</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5.02</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K</w:t>
                  </w:r>
                  <w:r>
                    <w:rPr>
                      <w:snapToGrid w:val="0"/>
                      <w:kern w:val="0"/>
                      <w:sz w:val="21"/>
                      <w:szCs w:val="21"/>
                      <w:vertAlign w:val="superscript"/>
                    </w:rPr>
                    <w:t>+</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2.71</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1.12</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0.86</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2.79</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Na</w:t>
                  </w:r>
                  <w:r>
                    <w:rPr>
                      <w:snapToGrid w:val="0"/>
                      <w:kern w:val="0"/>
                      <w:sz w:val="21"/>
                      <w:szCs w:val="21"/>
                      <w:vertAlign w:val="superscript"/>
                    </w:rPr>
                    <w:t>+</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6.51</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16.1</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10.7</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7.6</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Cl</w:t>
                  </w:r>
                  <w:r>
                    <w:rPr>
                      <w:snapToGrid w:val="0"/>
                      <w:kern w:val="0"/>
                      <w:sz w:val="21"/>
                      <w:szCs w:val="21"/>
                      <w:vertAlign w:val="superscript"/>
                    </w:rPr>
                    <w:t>-</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10.6</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16.3</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24.1</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10.6</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5" w:type="dxa"/>
                  <w:shd w:val="clear" w:color="auto" w:fill="auto"/>
                  <w:vAlign w:val="center"/>
                </w:tcPr>
                <w:p>
                  <w:pPr>
                    <w:widowControl/>
                    <w:spacing w:line="240" w:lineRule="auto"/>
                    <w:ind w:firstLine="0" w:firstLineChars="0"/>
                    <w:jc w:val="center"/>
                    <w:rPr>
                      <w:snapToGrid w:val="0"/>
                      <w:kern w:val="0"/>
                      <w:sz w:val="21"/>
                      <w:szCs w:val="21"/>
                    </w:rPr>
                  </w:pPr>
                  <w:r>
                    <w:rPr>
                      <w:snapToGrid w:val="0"/>
                      <w:kern w:val="0"/>
                      <w:sz w:val="21"/>
                      <w:szCs w:val="21"/>
                    </w:rPr>
                    <w:t>SO</w:t>
                  </w:r>
                  <w:r>
                    <w:rPr>
                      <w:snapToGrid w:val="0"/>
                      <w:kern w:val="0"/>
                      <w:sz w:val="21"/>
                      <w:szCs w:val="21"/>
                      <w:vertAlign w:val="subscript"/>
                    </w:rPr>
                    <w:t>4</w:t>
                  </w:r>
                  <w:r>
                    <w:rPr>
                      <w:snapToGrid w:val="0"/>
                      <w:kern w:val="0"/>
                      <w:sz w:val="21"/>
                      <w:szCs w:val="21"/>
                      <w:vertAlign w:val="superscript"/>
                    </w:rPr>
                    <w:t>2-</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7.76</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18.4</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13.8</w:t>
                  </w:r>
                </w:p>
              </w:tc>
              <w:tc>
                <w:tcPr>
                  <w:tcW w:w="2241"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7.55</w:t>
                  </w:r>
                </w:p>
              </w:tc>
              <w:tc>
                <w:tcPr>
                  <w:tcW w:w="2242" w:type="dxa"/>
                  <w:shd w:val="clear" w:color="auto" w:fill="auto"/>
                  <w:vAlign w:val="center"/>
                </w:tcPr>
                <w:p>
                  <w:pPr>
                    <w:widowControl/>
                    <w:spacing w:line="240" w:lineRule="auto"/>
                    <w:ind w:firstLine="0" w:firstLineChars="0"/>
                    <w:jc w:val="center"/>
                    <w:rPr>
                      <w:bCs/>
                      <w:snapToGrid w:val="0"/>
                      <w:kern w:val="0"/>
                      <w:sz w:val="21"/>
                      <w:szCs w:val="21"/>
                    </w:rPr>
                  </w:pPr>
                  <w:r>
                    <w:rPr>
                      <w:bCs/>
                      <w:snapToGrid w:val="0"/>
                      <w:kern w:val="0"/>
                      <w:sz w:val="21"/>
                      <w:szCs w:val="21"/>
                    </w:rPr>
                    <w:t>13.5</w:t>
                  </w:r>
                </w:p>
              </w:tc>
            </w:tr>
          </w:tbl>
          <w:p>
            <w:pPr>
              <w:widowControl/>
              <w:ind w:firstLine="0" w:firstLineChars="0"/>
              <w:jc w:val="center"/>
              <w:rPr>
                <w:b/>
                <w:snapToGrid w:val="0"/>
                <w:kern w:val="0"/>
                <w:sz w:val="21"/>
                <w:szCs w:val="21"/>
              </w:rPr>
            </w:pPr>
            <w:r>
              <w:rPr>
                <w:rFonts w:hint="eastAsia"/>
                <w:b/>
                <w:snapToGrid w:val="0"/>
                <w:kern w:val="0"/>
                <w:sz w:val="21"/>
                <w:szCs w:val="21"/>
              </w:rPr>
              <w:t>表3-</w:t>
            </w:r>
            <w:r>
              <w:rPr>
                <w:b/>
                <w:snapToGrid w:val="0"/>
                <w:kern w:val="0"/>
                <w:sz w:val="21"/>
                <w:szCs w:val="21"/>
              </w:rPr>
              <w:t>9</w:t>
            </w:r>
            <w:r>
              <w:rPr>
                <w:rFonts w:hint="eastAsia"/>
                <w:b/>
                <w:snapToGrid w:val="0"/>
                <w:kern w:val="0"/>
                <w:sz w:val="21"/>
                <w:szCs w:val="21"/>
              </w:rPr>
              <w:t>地下水阴阳离子平衡分析（单位：meq/L）</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5"/>
              <w:gridCol w:w="2083"/>
              <w:gridCol w:w="1670"/>
              <w:gridCol w:w="1455"/>
              <w:gridCol w:w="1450"/>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Merge w:val="restart"/>
                  <w:vAlign w:val="center"/>
                </w:tcPr>
                <w:p>
                  <w:pPr>
                    <w:adjustRightInd w:val="0"/>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监测因子</w:t>
                  </w:r>
                </w:p>
              </w:tc>
              <w:tc>
                <w:tcPr>
                  <w:tcW w:w="3243" w:type="pct"/>
                  <w:gridSpan w:val="5"/>
                  <w:vAlign w:val="center"/>
                </w:tcPr>
                <w:p>
                  <w:pPr>
                    <w:adjustRightInd w:val="0"/>
                    <w:snapToGrid w:val="0"/>
                    <w:spacing w:line="240" w:lineRule="auto"/>
                    <w:ind w:firstLine="0" w:firstLineChars="0"/>
                    <w:jc w:val="center"/>
                    <w:rPr>
                      <w:b/>
                      <w:bCs/>
                      <w:snapToGrid w:val="0"/>
                      <w:kern w:val="0"/>
                      <w:sz w:val="21"/>
                      <w:szCs w:val="21"/>
                    </w:rPr>
                  </w:pPr>
                  <w:r>
                    <w:rPr>
                      <w:rFonts w:hAnsi="宋体"/>
                      <w:b/>
                      <w:bCs/>
                      <w:snapToGrid w:val="0"/>
                      <w:kern w:val="0"/>
                      <w:sz w:val="21"/>
                      <w:szCs w:val="21"/>
                    </w:rPr>
                    <w:t>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Merge w:val="continue"/>
                  <w:vAlign w:val="center"/>
                </w:tcPr>
                <w:p>
                  <w:pPr>
                    <w:adjustRightInd w:val="0"/>
                    <w:snapToGrid w:val="0"/>
                    <w:spacing w:line="240" w:lineRule="auto"/>
                    <w:ind w:firstLine="0" w:firstLineChars="0"/>
                    <w:jc w:val="center"/>
                    <w:rPr>
                      <w:b/>
                      <w:bCs/>
                      <w:snapToGrid w:val="0"/>
                      <w:kern w:val="0"/>
                      <w:sz w:val="21"/>
                      <w:szCs w:val="21"/>
                    </w:rPr>
                  </w:pPr>
                </w:p>
              </w:tc>
              <w:tc>
                <w:tcPr>
                  <w:tcW w:w="793" w:type="pct"/>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D1</w:t>
                  </w:r>
                </w:p>
              </w:tc>
              <w:tc>
                <w:tcPr>
                  <w:tcW w:w="636" w:type="pct"/>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D2</w:t>
                  </w:r>
                </w:p>
              </w:tc>
              <w:tc>
                <w:tcPr>
                  <w:tcW w:w="554" w:type="pct"/>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D3</w:t>
                  </w:r>
                </w:p>
              </w:tc>
              <w:tc>
                <w:tcPr>
                  <w:tcW w:w="552" w:type="pct"/>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D4</w:t>
                  </w:r>
                </w:p>
              </w:tc>
              <w:tc>
                <w:tcPr>
                  <w:tcW w:w="708" w:type="pct"/>
                  <w:vAlign w:val="center"/>
                </w:tcPr>
                <w:p>
                  <w:pPr>
                    <w:adjustRightInd w:val="0"/>
                    <w:snapToGrid w:val="0"/>
                    <w:spacing w:line="240" w:lineRule="auto"/>
                    <w:ind w:firstLine="0" w:firstLineChars="0"/>
                    <w:jc w:val="center"/>
                    <w:rPr>
                      <w:b/>
                      <w:bCs/>
                      <w:snapToGrid w:val="0"/>
                      <w:kern w:val="0"/>
                      <w:sz w:val="21"/>
                      <w:szCs w:val="21"/>
                    </w:rPr>
                  </w:pPr>
                  <w:r>
                    <w:rPr>
                      <w:rFonts w:hint="eastAsia"/>
                      <w:b/>
                      <w:bCs/>
                      <w:snapToGrid w:val="0"/>
                      <w:kern w:val="0"/>
                      <w:sz w:val="21"/>
                      <w:szCs w:val="21"/>
                    </w:rPr>
                    <w:t>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K</w:t>
                  </w:r>
                  <w:r>
                    <w:rPr>
                      <w:snapToGrid w:val="0"/>
                      <w:kern w:val="0"/>
                      <w:sz w:val="21"/>
                      <w:szCs w:val="21"/>
                      <w:vertAlign w:val="superscript"/>
                    </w:rPr>
                    <w:t>+</w:t>
                  </w:r>
                </w:p>
              </w:tc>
              <w:tc>
                <w:tcPr>
                  <w:tcW w:w="793"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0.07</w:t>
                  </w:r>
                </w:p>
              </w:tc>
              <w:tc>
                <w:tcPr>
                  <w:tcW w:w="636"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0.03</w:t>
                  </w:r>
                </w:p>
              </w:tc>
              <w:tc>
                <w:tcPr>
                  <w:tcW w:w="554"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0.02</w:t>
                  </w:r>
                </w:p>
              </w:tc>
              <w:tc>
                <w:tcPr>
                  <w:tcW w:w="552"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0.07</w:t>
                  </w:r>
                </w:p>
              </w:tc>
              <w:tc>
                <w:tcPr>
                  <w:tcW w:w="708"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Na</w:t>
                  </w:r>
                  <w:r>
                    <w:rPr>
                      <w:snapToGrid w:val="0"/>
                      <w:kern w:val="0"/>
                      <w:sz w:val="21"/>
                      <w:szCs w:val="21"/>
                      <w:vertAlign w:val="superscript"/>
                    </w:rPr>
                    <w:t>+</w:t>
                  </w:r>
                </w:p>
              </w:tc>
              <w:tc>
                <w:tcPr>
                  <w:tcW w:w="793"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0.28</w:t>
                  </w:r>
                </w:p>
              </w:tc>
              <w:tc>
                <w:tcPr>
                  <w:tcW w:w="636"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0.70</w:t>
                  </w:r>
                </w:p>
              </w:tc>
              <w:tc>
                <w:tcPr>
                  <w:tcW w:w="554"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0.47</w:t>
                  </w:r>
                </w:p>
              </w:tc>
              <w:tc>
                <w:tcPr>
                  <w:tcW w:w="552"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0.33</w:t>
                  </w:r>
                </w:p>
              </w:tc>
              <w:tc>
                <w:tcPr>
                  <w:tcW w:w="708"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Ca</w:t>
                  </w:r>
                  <w:r>
                    <w:rPr>
                      <w:snapToGrid w:val="0"/>
                      <w:kern w:val="0"/>
                      <w:sz w:val="21"/>
                      <w:szCs w:val="21"/>
                      <w:vertAlign w:val="superscript"/>
                    </w:rPr>
                    <w:t>2+</w:t>
                  </w:r>
                </w:p>
              </w:tc>
              <w:tc>
                <w:tcPr>
                  <w:tcW w:w="793"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2.75 </w:t>
                  </w:r>
                </w:p>
              </w:tc>
              <w:tc>
                <w:tcPr>
                  <w:tcW w:w="636"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4.79 </w:t>
                  </w:r>
                </w:p>
              </w:tc>
              <w:tc>
                <w:tcPr>
                  <w:tcW w:w="554"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3.12 </w:t>
                  </w:r>
                </w:p>
              </w:tc>
              <w:tc>
                <w:tcPr>
                  <w:tcW w:w="552"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2.97 </w:t>
                  </w:r>
                </w:p>
              </w:tc>
              <w:tc>
                <w:tcPr>
                  <w:tcW w:w="708"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Mg</w:t>
                  </w:r>
                  <w:r>
                    <w:rPr>
                      <w:snapToGrid w:val="0"/>
                      <w:kern w:val="0"/>
                      <w:sz w:val="21"/>
                      <w:szCs w:val="21"/>
                      <w:vertAlign w:val="superscript"/>
                    </w:rPr>
                    <w:t>2+</w:t>
                  </w:r>
                </w:p>
              </w:tc>
              <w:tc>
                <w:tcPr>
                  <w:tcW w:w="793"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0.38 </w:t>
                  </w:r>
                </w:p>
              </w:tc>
              <w:tc>
                <w:tcPr>
                  <w:tcW w:w="636"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0.95 </w:t>
                  </w:r>
                </w:p>
              </w:tc>
              <w:tc>
                <w:tcPr>
                  <w:tcW w:w="554"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0.68 </w:t>
                  </w:r>
                </w:p>
              </w:tc>
              <w:tc>
                <w:tcPr>
                  <w:tcW w:w="552"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0.42 </w:t>
                  </w:r>
                </w:p>
              </w:tc>
              <w:tc>
                <w:tcPr>
                  <w:tcW w:w="708"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 xml:space="preserve">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HCO</w:t>
                  </w:r>
                  <w:r>
                    <w:rPr>
                      <w:snapToGrid w:val="0"/>
                      <w:kern w:val="0"/>
                      <w:sz w:val="21"/>
                      <w:szCs w:val="21"/>
                      <w:vertAlign w:val="subscript"/>
                    </w:rPr>
                    <w:t>3</w:t>
                  </w:r>
                  <w:r>
                    <w:rPr>
                      <w:snapToGrid w:val="0"/>
                      <w:kern w:val="0"/>
                      <w:sz w:val="21"/>
                      <w:szCs w:val="21"/>
                      <w:vertAlign w:val="superscript"/>
                    </w:rPr>
                    <w:t>-</w:t>
                  </w:r>
                </w:p>
              </w:tc>
              <w:tc>
                <w:tcPr>
                  <w:tcW w:w="793" w:type="pct"/>
                  <w:vAlign w:val="center"/>
                </w:tcPr>
                <w:p>
                  <w:pPr>
                    <w:adjustRightInd w:val="0"/>
                    <w:snapToGrid w:val="0"/>
                    <w:spacing w:line="240" w:lineRule="auto"/>
                    <w:ind w:firstLine="0" w:firstLineChars="0"/>
                    <w:jc w:val="center"/>
                    <w:rPr>
                      <w:sz w:val="21"/>
                    </w:rPr>
                  </w:pPr>
                  <w:r>
                    <w:rPr>
                      <w:sz w:val="21"/>
                    </w:rPr>
                    <w:t>3.25</w:t>
                  </w:r>
                </w:p>
              </w:tc>
              <w:tc>
                <w:tcPr>
                  <w:tcW w:w="636" w:type="pct"/>
                  <w:vAlign w:val="center"/>
                </w:tcPr>
                <w:p>
                  <w:pPr>
                    <w:adjustRightInd w:val="0"/>
                    <w:snapToGrid w:val="0"/>
                    <w:spacing w:line="240" w:lineRule="auto"/>
                    <w:ind w:firstLine="0" w:firstLineChars="0"/>
                    <w:jc w:val="center"/>
                    <w:rPr>
                      <w:sz w:val="21"/>
                    </w:rPr>
                  </w:pPr>
                  <w:r>
                    <w:rPr>
                      <w:sz w:val="21"/>
                    </w:rPr>
                    <w:t>5.16</w:t>
                  </w:r>
                </w:p>
              </w:tc>
              <w:tc>
                <w:tcPr>
                  <w:tcW w:w="554" w:type="pct"/>
                  <w:vAlign w:val="center"/>
                </w:tcPr>
                <w:p>
                  <w:pPr>
                    <w:adjustRightInd w:val="0"/>
                    <w:snapToGrid w:val="0"/>
                    <w:spacing w:line="240" w:lineRule="auto"/>
                    <w:ind w:firstLine="0" w:firstLineChars="0"/>
                    <w:jc w:val="center"/>
                    <w:rPr>
                      <w:sz w:val="21"/>
                    </w:rPr>
                  </w:pPr>
                  <w:r>
                    <w:rPr>
                      <w:sz w:val="21"/>
                    </w:rPr>
                    <w:t>3.64</w:t>
                  </w:r>
                </w:p>
              </w:tc>
              <w:tc>
                <w:tcPr>
                  <w:tcW w:w="552" w:type="pct"/>
                  <w:vAlign w:val="center"/>
                </w:tcPr>
                <w:p>
                  <w:pPr>
                    <w:adjustRightInd w:val="0"/>
                    <w:snapToGrid w:val="0"/>
                    <w:spacing w:line="240" w:lineRule="auto"/>
                    <w:ind w:firstLine="0" w:firstLineChars="0"/>
                    <w:jc w:val="center"/>
                    <w:rPr>
                      <w:sz w:val="21"/>
                    </w:rPr>
                  </w:pPr>
                  <w:r>
                    <w:rPr>
                      <w:sz w:val="21"/>
                    </w:rPr>
                    <w:t>3.30</w:t>
                  </w:r>
                </w:p>
              </w:tc>
              <w:tc>
                <w:tcPr>
                  <w:tcW w:w="708" w:type="pct"/>
                  <w:vAlign w:val="center"/>
                </w:tcPr>
                <w:p>
                  <w:pPr>
                    <w:adjustRightInd w:val="0"/>
                    <w:snapToGrid w:val="0"/>
                    <w:spacing w:line="240" w:lineRule="auto"/>
                    <w:ind w:firstLine="0" w:firstLineChars="0"/>
                    <w:jc w:val="center"/>
                    <w:rPr>
                      <w:sz w:val="21"/>
                    </w:rPr>
                  </w:pPr>
                  <w:r>
                    <w:rPr>
                      <w:sz w:val="21"/>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Cl</w:t>
                  </w:r>
                  <w:r>
                    <w:rPr>
                      <w:snapToGrid w:val="0"/>
                      <w:kern w:val="0"/>
                      <w:sz w:val="21"/>
                      <w:szCs w:val="21"/>
                      <w:vertAlign w:val="superscript"/>
                    </w:rPr>
                    <w:t>-</w:t>
                  </w:r>
                </w:p>
              </w:tc>
              <w:tc>
                <w:tcPr>
                  <w:tcW w:w="793" w:type="pct"/>
                  <w:vAlign w:val="center"/>
                </w:tcPr>
                <w:p>
                  <w:pPr>
                    <w:adjustRightInd w:val="0"/>
                    <w:snapToGrid w:val="0"/>
                    <w:spacing w:line="240" w:lineRule="auto"/>
                    <w:ind w:firstLine="0" w:firstLineChars="0"/>
                    <w:jc w:val="center"/>
                    <w:rPr>
                      <w:sz w:val="21"/>
                    </w:rPr>
                  </w:pPr>
                  <w:r>
                    <w:rPr>
                      <w:sz w:val="21"/>
                    </w:rPr>
                    <w:t>0.30</w:t>
                  </w:r>
                </w:p>
              </w:tc>
              <w:tc>
                <w:tcPr>
                  <w:tcW w:w="636" w:type="pct"/>
                  <w:vAlign w:val="center"/>
                </w:tcPr>
                <w:p>
                  <w:pPr>
                    <w:adjustRightInd w:val="0"/>
                    <w:snapToGrid w:val="0"/>
                    <w:spacing w:line="240" w:lineRule="auto"/>
                    <w:ind w:firstLine="0" w:firstLineChars="0"/>
                    <w:jc w:val="center"/>
                    <w:rPr>
                      <w:sz w:val="21"/>
                    </w:rPr>
                  </w:pPr>
                  <w:r>
                    <w:rPr>
                      <w:sz w:val="21"/>
                    </w:rPr>
                    <w:t>0.46</w:t>
                  </w:r>
                </w:p>
              </w:tc>
              <w:tc>
                <w:tcPr>
                  <w:tcW w:w="554" w:type="pct"/>
                  <w:vAlign w:val="center"/>
                </w:tcPr>
                <w:p>
                  <w:pPr>
                    <w:adjustRightInd w:val="0"/>
                    <w:snapToGrid w:val="0"/>
                    <w:spacing w:line="240" w:lineRule="auto"/>
                    <w:ind w:firstLine="0" w:firstLineChars="0"/>
                    <w:jc w:val="center"/>
                    <w:rPr>
                      <w:sz w:val="21"/>
                    </w:rPr>
                  </w:pPr>
                  <w:r>
                    <w:rPr>
                      <w:sz w:val="21"/>
                    </w:rPr>
                    <w:t>0.68</w:t>
                  </w:r>
                </w:p>
              </w:tc>
              <w:tc>
                <w:tcPr>
                  <w:tcW w:w="552" w:type="pct"/>
                  <w:vAlign w:val="center"/>
                </w:tcPr>
                <w:p>
                  <w:pPr>
                    <w:adjustRightInd w:val="0"/>
                    <w:snapToGrid w:val="0"/>
                    <w:spacing w:line="240" w:lineRule="auto"/>
                    <w:ind w:firstLine="0" w:firstLineChars="0"/>
                    <w:jc w:val="center"/>
                    <w:rPr>
                      <w:sz w:val="21"/>
                    </w:rPr>
                  </w:pPr>
                  <w:r>
                    <w:rPr>
                      <w:sz w:val="21"/>
                    </w:rPr>
                    <w:t>0.30</w:t>
                  </w:r>
                </w:p>
              </w:tc>
              <w:tc>
                <w:tcPr>
                  <w:tcW w:w="708" w:type="pct"/>
                  <w:vAlign w:val="center"/>
                </w:tcPr>
                <w:p>
                  <w:pPr>
                    <w:adjustRightInd w:val="0"/>
                    <w:snapToGrid w:val="0"/>
                    <w:spacing w:line="240" w:lineRule="auto"/>
                    <w:ind w:firstLine="0" w:firstLineChars="0"/>
                    <w:jc w:val="center"/>
                    <w:rPr>
                      <w:sz w:val="21"/>
                    </w:rPr>
                  </w:pPr>
                  <w:r>
                    <w:rPr>
                      <w:sz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SO</w:t>
                  </w:r>
                  <w:r>
                    <w:rPr>
                      <w:snapToGrid w:val="0"/>
                      <w:kern w:val="0"/>
                      <w:sz w:val="21"/>
                      <w:szCs w:val="21"/>
                      <w:vertAlign w:val="subscript"/>
                    </w:rPr>
                    <w:t>4</w:t>
                  </w:r>
                  <w:r>
                    <w:rPr>
                      <w:snapToGrid w:val="0"/>
                      <w:kern w:val="0"/>
                      <w:sz w:val="21"/>
                      <w:szCs w:val="21"/>
                      <w:vertAlign w:val="superscript"/>
                    </w:rPr>
                    <w:t>2-</w:t>
                  </w:r>
                </w:p>
              </w:tc>
              <w:tc>
                <w:tcPr>
                  <w:tcW w:w="793" w:type="pct"/>
                  <w:vAlign w:val="center"/>
                </w:tcPr>
                <w:p>
                  <w:pPr>
                    <w:adjustRightInd w:val="0"/>
                    <w:snapToGrid w:val="0"/>
                    <w:spacing w:line="240" w:lineRule="auto"/>
                    <w:ind w:firstLine="0" w:firstLineChars="0"/>
                    <w:jc w:val="center"/>
                    <w:rPr>
                      <w:sz w:val="21"/>
                    </w:rPr>
                  </w:pPr>
                  <w:r>
                    <w:rPr>
                      <w:sz w:val="21"/>
                    </w:rPr>
                    <w:t>0.16</w:t>
                  </w:r>
                </w:p>
              </w:tc>
              <w:tc>
                <w:tcPr>
                  <w:tcW w:w="636" w:type="pct"/>
                  <w:vAlign w:val="center"/>
                </w:tcPr>
                <w:p>
                  <w:pPr>
                    <w:adjustRightInd w:val="0"/>
                    <w:snapToGrid w:val="0"/>
                    <w:spacing w:line="240" w:lineRule="auto"/>
                    <w:ind w:firstLine="0" w:firstLineChars="0"/>
                    <w:jc w:val="center"/>
                    <w:rPr>
                      <w:sz w:val="21"/>
                    </w:rPr>
                  </w:pPr>
                  <w:r>
                    <w:rPr>
                      <w:sz w:val="21"/>
                    </w:rPr>
                    <w:t>0.38</w:t>
                  </w:r>
                </w:p>
              </w:tc>
              <w:tc>
                <w:tcPr>
                  <w:tcW w:w="554" w:type="pct"/>
                  <w:vAlign w:val="center"/>
                </w:tcPr>
                <w:p>
                  <w:pPr>
                    <w:adjustRightInd w:val="0"/>
                    <w:snapToGrid w:val="0"/>
                    <w:spacing w:line="240" w:lineRule="auto"/>
                    <w:ind w:firstLine="0" w:firstLineChars="0"/>
                    <w:jc w:val="center"/>
                    <w:rPr>
                      <w:sz w:val="21"/>
                    </w:rPr>
                  </w:pPr>
                  <w:r>
                    <w:rPr>
                      <w:sz w:val="21"/>
                    </w:rPr>
                    <w:t>0.29</w:t>
                  </w:r>
                </w:p>
              </w:tc>
              <w:tc>
                <w:tcPr>
                  <w:tcW w:w="552" w:type="pct"/>
                  <w:vAlign w:val="center"/>
                </w:tcPr>
                <w:p>
                  <w:pPr>
                    <w:adjustRightInd w:val="0"/>
                    <w:snapToGrid w:val="0"/>
                    <w:spacing w:line="240" w:lineRule="auto"/>
                    <w:ind w:firstLine="0" w:firstLineChars="0"/>
                    <w:jc w:val="center"/>
                    <w:rPr>
                      <w:sz w:val="21"/>
                    </w:rPr>
                  </w:pPr>
                  <w:r>
                    <w:rPr>
                      <w:sz w:val="21"/>
                    </w:rPr>
                    <w:t>0.16</w:t>
                  </w:r>
                </w:p>
              </w:tc>
              <w:tc>
                <w:tcPr>
                  <w:tcW w:w="708" w:type="pct"/>
                  <w:vAlign w:val="center"/>
                </w:tcPr>
                <w:p>
                  <w:pPr>
                    <w:adjustRightInd w:val="0"/>
                    <w:snapToGrid w:val="0"/>
                    <w:spacing w:line="240" w:lineRule="auto"/>
                    <w:ind w:firstLine="0" w:firstLineChars="0"/>
                    <w:jc w:val="center"/>
                    <w:rPr>
                      <w:sz w:val="21"/>
                    </w:rPr>
                  </w:pPr>
                  <w:r>
                    <w:rPr>
                      <w:sz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rFonts w:hint="eastAsia" w:ascii="宋体" w:hAnsi="宋体" w:cs="宋体"/>
                      <w:snapToGrid w:val="0"/>
                      <w:kern w:val="0"/>
                      <w:sz w:val="21"/>
                      <w:szCs w:val="21"/>
                    </w:rPr>
                    <w:t>阳离子和</w:t>
                  </w:r>
                </w:p>
              </w:tc>
              <w:tc>
                <w:tcPr>
                  <w:tcW w:w="793" w:type="pct"/>
                  <w:vAlign w:val="center"/>
                </w:tcPr>
                <w:p>
                  <w:pPr>
                    <w:adjustRightInd w:val="0"/>
                    <w:snapToGrid w:val="0"/>
                    <w:spacing w:line="240" w:lineRule="auto"/>
                    <w:ind w:firstLine="0" w:firstLineChars="0"/>
                    <w:jc w:val="center"/>
                    <w:rPr>
                      <w:sz w:val="21"/>
                    </w:rPr>
                  </w:pPr>
                  <w:r>
                    <w:rPr>
                      <w:sz w:val="21"/>
                    </w:rPr>
                    <w:t>3.48</w:t>
                  </w:r>
                </w:p>
              </w:tc>
              <w:tc>
                <w:tcPr>
                  <w:tcW w:w="636" w:type="pct"/>
                  <w:vAlign w:val="center"/>
                </w:tcPr>
                <w:p>
                  <w:pPr>
                    <w:adjustRightInd w:val="0"/>
                    <w:snapToGrid w:val="0"/>
                    <w:spacing w:line="240" w:lineRule="auto"/>
                    <w:ind w:firstLine="0" w:firstLineChars="0"/>
                    <w:jc w:val="center"/>
                    <w:rPr>
                      <w:sz w:val="21"/>
                    </w:rPr>
                  </w:pPr>
                  <w:r>
                    <w:rPr>
                      <w:sz w:val="21"/>
                    </w:rPr>
                    <w:t>6.47</w:t>
                  </w:r>
                </w:p>
              </w:tc>
              <w:tc>
                <w:tcPr>
                  <w:tcW w:w="554" w:type="pct"/>
                  <w:vAlign w:val="center"/>
                </w:tcPr>
                <w:p>
                  <w:pPr>
                    <w:adjustRightInd w:val="0"/>
                    <w:snapToGrid w:val="0"/>
                    <w:spacing w:line="240" w:lineRule="auto"/>
                    <w:ind w:firstLine="0" w:firstLineChars="0"/>
                    <w:jc w:val="center"/>
                    <w:rPr>
                      <w:sz w:val="21"/>
                    </w:rPr>
                  </w:pPr>
                  <w:r>
                    <w:rPr>
                      <w:sz w:val="21"/>
                    </w:rPr>
                    <w:t>4.29</w:t>
                  </w:r>
                </w:p>
              </w:tc>
              <w:tc>
                <w:tcPr>
                  <w:tcW w:w="552" w:type="pct"/>
                  <w:vAlign w:val="center"/>
                </w:tcPr>
                <w:p>
                  <w:pPr>
                    <w:adjustRightInd w:val="0"/>
                    <w:snapToGrid w:val="0"/>
                    <w:spacing w:line="240" w:lineRule="auto"/>
                    <w:ind w:firstLine="0" w:firstLineChars="0"/>
                    <w:jc w:val="center"/>
                    <w:rPr>
                      <w:sz w:val="21"/>
                    </w:rPr>
                  </w:pPr>
                  <w:r>
                    <w:rPr>
                      <w:sz w:val="21"/>
                    </w:rPr>
                    <w:t>3.79</w:t>
                  </w:r>
                </w:p>
              </w:tc>
              <w:tc>
                <w:tcPr>
                  <w:tcW w:w="708" w:type="pct"/>
                  <w:vAlign w:val="center"/>
                </w:tcPr>
                <w:p>
                  <w:pPr>
                    <w:adjustRightInd w:val="0"/>
                    <w:snapToGrid w:val="0"/>
                    <w:spacing w:line="240" w:lineRule="auto"/>
                    <w:ind w:firstLine="0" w:firstLineChars="0"/>
                    <w:jc w:val="center"/>
                    <w:rPr>
                      <w:sz w:val="21"/>
                    </w:rPr>
                  </w:pPr>
                  <w:r>
                    <w:rPr>
                      <w:sz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阴离子和</w:t>
                  </w:r>
                </w:p>
              </w:tc>
              <w:tc>
                <w:tcPr>
                  <w:tcW w:w="793" w:type="pct"/>
                  <w:vAlign w:val="center"/>
                </w:tcPr>
                <w:p>
                  <w:pPr>
                    <w:adjustRightInd w:val="0"/>
                    <w:snapToGrid w:val="0"/>
                    <w:spacing w:line="240" w:lineRule="auto"/>
                    <w:ind w:firstLine="0" w:firstLineChars="0"/>
                    <w:jc w:val="center"/>
                    <w:rPr>
                      <w:sz w:val="21"/>
                    </w:rPr>
                  </w:pPr>
                  <w:r>
                    <w:rPr>
                      <w:sz w:val="21"/>
                    </w:rPr>
                    <w:t>3.71</w:t>
                  </w:r>
                </w:p>
              </w:tc>
              <w:tc>
                <w:tcPr>
                  <w:tcW w:w="636" w:type="pct"/>
                  <w:vAlign w:val="center"/>
                </w:tcPr>
                <w:p>
                  <w:pPr>
                    <w:adjustRightInd w:val="0"/>
                    <w:snapToGrid w:val="0"/>
                    <w:spacing w:line="240" w:lineRule="auto"/>
                    <w:ind w:firstLine="0" w:firstLineChars="0"/>
                    <w:jc w:val="center"/>
                    <w:rPr>
                      <w:sz w:val="21"/>
                    </w:rPr>
                  </w:pPr>
                  <w:r>
                    <w:rPr>
                      <w:sz w:val="21"/>
                    </w:rPr>
                    <w:t>6.00</w:t>
                  </w:r>
                </w:p>
              </w:tc>
              <w:tc>
                <w:tcPr>
                  <w:tcW w:w="554" w:type="pct"/>
                  <w:vAlign w:val="center"/>
                </w:tcPr>
                <w:p>
                  <w:pPr>
                    <w:adjustRightInd w:val="0"/>
                    <w:snapToGrid w:val="0"/>
                    <w:spacing w:line="240" w:lineRule="auto"/>
                    <w:ind w:firstLine="0" w:firstLineChars="0"/>
                    <w:jc w:val="center"/>
                    <w:rPr>
                      <w:sz w:val="21"/>
                    </w:rPr>
                  </w:pPr>
                  <w:r>
                    <w:rPr>
                      <w:sz w:val="21"/>
                    </w:rPr>
                    <w:t>4.61</w:t>
                  </w:r>
                </w:p>
              </w:tc>
              <w:tc>
                <w:tcPr>
                  <w:tcW w:w="552" w:type="pct"/>
                  <w:vAlign w:val="center"/>
                </w:tcPr>
                <w:p>
                  <w:pPr>
                    <w:adjustRightInd w:val="0"/>
                    <w:snapToGrid w:val="0"/>
                    <w:spacing w:line="240" w:lineRule="auto"/>
                    <w:ind w:firstLine="0" w:firstLineChars="0"/>
                    <w:jc w:val="center"/>
                    <w:rPr>
                      <w:sz w:val="21"/>
                    </w:rPr>
                  </w:pPr>
                  <w:r>
                    <w:rPr>
                      <w:sz w:val="21"/>
                    </w:rPr>
                    <w:t>3.76</w:t>
                  </w:r>
                </w:p>
              </w:tc>
              <w:tc>
                <w:tcPr>
                  <w:tcW w:w="708" w:type="pct"/>
                  <w:vAlign w:val="center"/>
                </w:tcPr>
                <w:p>
                  <w:pPr>
                    <w:adjustRightInd w:val="0"/>
                    <w:snapToGrid w:val="0"/>
                    <w:spacing w:line="240" w:lineRule="auto"/>
                    <w:ind w:firstLine="0" w:firstLineChars="0"/>
                    <w:jc w:val="center"/>
                    <w:rPr>
                      <w:sz w:val="21"/>
                    </w:rPr>
                  </w:pPr>
                  <w:r>
                    <w:rPr>
                      <w:sz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rFonts w:hint="eastAsia" w:ascii="宋体" w:hAnsi="宋体" w:cs="宋体"/>
                      <w:snapToGrid w:val="0"/>
                      <w:kern w:val="0"/>
                      <w:sz w:val="21"/>
                      <w:szCs w:val="21"/>
                    </w:rPr>
                    <w:t>阴离子</w:t>
                  </w:r>
                  <w:r>
                    <w:rPr>
                      <w:rFonts w:hint="eastAsia" w:ascii="宋体" w:hAnsi="宋体"/>
                      <w:snapToGrid w:val="0"/>
                      <w:kern w:val="0"/>
                      <w:sz w:val="21"/>
                      <w:szCs w:val="21"/>
                    </w:rPr>
                    <w:t>-</w:t>
                  </w:r>
                  <w:r>
                    <w:rPr>
                      <w:rFonts w:hint="eastAsia" w:ascii="宋体" w:hAnsi="宋体" w:cs="宋体"/>
                      <w:snapToGrid w:val="0"/>
                      <w:kern w:val="0"/>
                      <w:sz w:val="21"/>
                      <w:szCs w:val="21"/>
                    </w:rPr>
                    <w:t>阳离子</w:t>
                  </w:r>
                </w:p>
              </w:tc>
              <w:tc>
                <w:tcPr>
                  <w:tcW w:w="793" w:type="pct"/>
                  <w:vAlign w:val="center"/>
                </w:tcPr>
                <w:p>
                  <w:pPr>
                    <w:adjustRightInd w:val="0"/>
                    <w:snapToGrid w:val="0"/>
                    <w:spacing w:line="240" w:lineRule="auto"/>
                    <w:ind w:firstLine="0" w:firstLineChars="0"/>
                    <w:jc w:val="center"/>
                    <w:rPr>
                      <w:sz w:val="21"/>
                    </w:rPr>
                  </w:pPr>
                  <w:r>
                    <w:rPr>
                      <w:sz w:val="21"/>
                    </w:rPr>
                    <w:t>0.23</w:t>
                  </w:r>
                </w:p>
              </w:tc>
              <w:tc>
                <w:tcPr>
                  <w:tcW w:w="636" w:type="pct"/>
                  <w:vAlign w:val="center"/>
                </w:tcPr>
                <w:p>
                  <w:pPr>
                    <w:adjustRightInd w:val="0"/>
                    <w:snapToGrid w:val="0"/>
                    <w:spacing w:line="240" w:lineRule="auto"/>
                    <w:ind w:firstLine="0" w:firstLineChars="0"/>
                    <w:jc w:val="center"/>
                    <w:rPr>
                      <w:sz w:val="21"/>
                    </w:rPr>
                  </w:pPr>
                  <w:r>
                    <w:rPr>
                      <w:sz w:val="21"/>
                    </w:rPr>
                    <w:t>-0.47</w:t>
                  </w:r>
                </w:p>
              </w:tc>
              <w:tc>
                <w:tcPr>
                  <w:tcW w:w="554" w:type="pct"/>
                  <w:vAlign w:val="center"/>
                </w:tcPr>
                <w:p>
                  <w:pPr>
                    <w:adjustRightInd w:val="0"/>
                    <w:snapToGrid w:val="0"/>
                    <w:spacing w:line="240" w:lineRule="auto"/>
                    <w:ind w:firstLine="0" w:firstLineChars="0"/>
                    <w:jc w:val="center"/>
                    <w:rPr>
                      <w:sz w:val="21"/>
                    </w:rPr>
                  </w:pPr>
                  <w:r>
                    <w:rPr>
                      <w:sz w:val="21"/>
                    </w:rPr>
                    <w:t>0.32</w:t>
                  </w:r>
                </w:p>
              </w:tc>
              <w:tc>
                <w:tcPr>
                  <w:tcW w:w="552" w:type="pct"/>
                  <w:vAlign w:val="center"/>
                </w:tcPr>
                <w:p>
                  <w:pPr>
                    <w:adjustRightInd w:val="0"/>
                    <w:snapToGrid w:val="0"/>
                    <w:spacing w:line="240" w:lineRule="auto"/>
                    <w:ind w:firstLine="0" w:firstLineChars="0"/>
                    <w:jc w:val="center"/>
                    <w:rPr>
                      <w:sz w:val="21"/>
                    </w:rPr>
                  </w:pPr>
                  <w:r>
                    <w:rPr>
                      <w:sz w:val="21"/>
                    </w:rPr>
                    <w:t>-0.03</w:t>
                  </w:r>
                </w:p>
              </w:tc>
              <w:tc>
                <w:tcPr>
                  <w:tcW w:w="708" w:type="pct"/>
                  <w:vAlign w:val="center"/>
                </w:tcPr>
                <w:p>
                  <w:pPr>
                    <w:adjustRightInd w:val="0"/>
                    <w:snapToGrid w:val="0"/>
                    <w:spacing w:line="240" w:lineRule="auto"/>
                    <w:ind w:firstLine="0" w:firstLineChars="0"/>
                    <w:jc w:val="center"/>
                    <w:rPr>
                      <w:sz w:val="21"/>
                    </w:rPr>
                  </w:pPr>
                  <w:r>
                    <w:rPr>
                      <w:sz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rFonts w:hint="eastAsia" w:ascii="宋体" w:hAnsi="宋体" w:cs="宋体"/>
                      <w:snapToGrid w:val="0"/>
                      <w:kern w:val="0"/>
                      <w:sz w:val="21"/>
                      <w:szCs w:val="21"/>
                    </w:rPr>
                    <w:t>阴离子</w:t>
                  </w:r>
                  <w:r>
                    <w:rPr>
                      <w:rFonts w:hint="eastAsia" w:ascii="宋体" w:hAnsi="宋体"/>
                      <w:snapToGrid w:val="0"/>
                      <w:kern w:val="0"/>
                      <w:sz w:val="21"/>
                      <w:szCs w:val="21"/>
                    </w:rPr>
                    <w:t>+</w:t>
                  </w:r>
                  <w:r>
                    <w:rPr>
                      <w:rFonts w:hint="eastAsia" w:ascii="宋体" w:hAnsi="宋体" w:cs="宋体"/>
                      <w:snapToGrid w:val="0"/>
                      <w:kern w:val="0"/>
                      <w:sz w:val="21"/>
                      <w:szCs w:val="21"/>
                    </w:rPr>
                    <w:t>阳离子</w:t>
                  </w:r>
                </w:p>
              </w:tc>
              <w:tc>
                <w:tcPr>
                  <w:tcW w:w="793" w:type="pct"/>
                  <w:vAlign w:val="center"/>
                </w:tcPr>
                <w:p>
                  <w:pPr>
                    <w:adjustRightInd w:val="0"/>
                    <w:snapToGrid w:val="0"/>
                    <w:spacing w:line="240" w:lineRule="auto"/>
                    <w:ind w:firstLine="0" w:firstLineChars="0"/>
                    <w:jc w:val="center"/>
                    <w:rPr>
                      <w:sz w:val="21"/>
                    </w:rPr>
                  </w:pPr>
                  <w:r>
                    <w:rPr>
                      <w:sz w:val="21"/>
                    </w:rPr>
                    <w:t>7.19</w:t>
                  </w:r>
                </w:p>
              </w:tc>
              <w:tc>
                <w:tcPr>
                  <w:tcW w:w="636" w:type="pct"/>
                  <w:vAlign w:val="center"/>
                </w:tcPr>
                <w:p>
                  <w:pPr>
                    <w:adjustRightInd w:val="0"/>
                    <w:snapToGrid w:val="0"/>
                    <w:spacing w:line="240" w:lineRule="auto"/>
                    <w:ind w:firstLine="0" w:firstLineChars="0"/>
                    <w:jc w:val="center"/>
                    <w:rPr>
                      <w:sz w:val="21"/>
                    </w:rPr>
                  </w:pPr>
                  <w:r>
                    <w:rPr>
                      <w:sz w:val="21"/>
                    </w:rPr>
                    <w:t>12.47</w:t>
                  </w:r>
                </w:p>
              </w:tc>
              <w:tc>
                <w:tcPr>
                  <w:tcW w:w="554" w:type="pct"/>
                  <w:vAlign w:val="center"/>
                </w:tcPr>
                <w:p>
                  <w:pPr>
                    <w:adjustRightInd w:val="0"/>
                    <w:snapToGrid w:val="0"/>
                    <w:spacing w:line="240" w:lineRule="auto"/>
                    <w:ind w:firstLine="0" w:firstLineChars="0"/>
                    <w:jc w:val="center"/>
                    <w:rPr>
                      <w:sz w:val="21"/>
                    </w:rPr>
                  </w:pPr>
                  <w:r>
                    <w:rPr>
                      <w:sz w:val="21"/>
                    </w:rPr>
                    <w:t>8.90</w:t>
                  </w:r>
                </w:p>
              </w:tc>
              <w:tc>
                <w:tcPr>
                  <w:tcW w:w="552" w:type="pct"/>
                  <w:vAlign w:val="center"/>
                </w:tcPr>
                <w:p>
                  <w:pPr>
                    <w:adjustRightInd w:val="0"/>
                    <w:snapToGrid w:val="0"/>
                    <w:spacing w:line="240" w:lineRule="auto"/>
                    <w:ind w:firstLine="0" w:firstLineChars="0"/>
                    <w:jc w:val="center"/>
                    <w:rPr>
                      <w:sz w:val="21"/>
                    </w:rPr>
                  </w:pPr>
                  <w:r>
                    <w:rPr>
                      <w:sz w:val="21"/>
                    </w:rPr>
                    <w:t>7.55</w:t>
                  </w:r>
                </w:p>
              </w:tc>
              <w:tc>
                <w:tcPr>
                  <w:tcW w:w="708" w:type="pct"/>
                  <w:vAlign w:val="center"/>
                </w:tcPr>
                <w:p>
                  <w:pPr>
                    <w:adjustRightInd w:val="0"/>
                    <w:snapToGrid w:val="0"/>
                    <w:spacing w:line="240" w:lineRule="auto"/>
                    <w:ind w:firstLine="0" w:firstLineChars="0"/>
                    <w:jc w:val="center"/>
                    <w:rPr>
                      <w:sz w:val="21"/>
                    </w:rPr>
                  </w:pPr>
                  <w:r>
                    <w:rPr>
                      <w:sz w:val="21"/>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57" w:type="pct"/>
                  <w:vAlign w:val="center"/>
                </w:tcPr>
                <w:p>
                  <w:pPr>
                    <w:adjustRightInd w:val="0"/>
                    <w:snapToGrid w:val="0"/>
                    <w:spacing w:line="240" w:lineRule="auto"/>
                    <w:ind w:firstLine="0" w:firstLineChars="0"/>
                    <w:jc w:val="center"/>
                    <w:rPr>
                      <w:snapToGrid w:val="0"/>
                      <w:kern w:val="0"/>
                      <w:sz w:val="21"/>
                      <w:szCs w:val="21"/>
                    </w:rPr>
                  </w:pPr>
                  <w:r>
                    <w:rPr>
                      <w:rFonts w:ascii="宋体" w:hAnsi="宋体"/>
                      <w:snapToGrid w:val="0"/>
                      <w:kern w:val="0"/>
                      <w:sz w:val="21"/>
                      <w:szCs w:val="21"/>
                    </w:rPr>
                    <w:t>|</w:t>
                  </w:r>
                  <w:r>
                    <w:rPr>
                      <w:rFonts w:hint="eastAsia" w:ascii="宋体" w:hAnsi="宋体"/>
                      <w:snapToGrid w:val="0"/>
                      <w:kern w:val="0"/>
                      <w:sz w:val="21"/>
                      <w:szCs w:val="21"/>
                    </w:rPr>
                    <w:t>（</w:t>
                  </w:r>
                  <w:r>
                    <w:rPr>
                      <w:rFonts w:hint="eastAsia" w:ascii="宋体" w:hAnsi="宋体" w:cs="宋体"/>
                      <w:snapToGrid w:val="0"/>
                      <w:kern w:val="0"/>
                      <w:sz w:val="21"/>
                      <w:szCs w:val="21"/>
                    </w:rPr>
                    <w:t>阴离子</w:t>
                  </w:r>
                  <w:r>
                    <w:rPr>
                      <w:rFonts w:hint="eastAsia" w:ascii="宋体" w:hAnsi="宋体"/>
                      <w:snapToGrid w:val="0"/>
                      <w:kern w:val="0"/>
                      <w:sz w:val="21"/>
                      <w:szCs w:val="21"/>
                    </w:rPr>
                    <w:t>-</w:t>
                  </w:r>
                  <w:r>
                    <w:rPr>
                      <w:rFonts w:hint="eastAsia" w:ascii="宋体" w:hAnsi="宋体" w:cs="宋体"/>
                      <w:snapToGrid w:val="0"/>
                      <w:kern w:val="0"/>
                      <w:sz w:val="21"/>
                      <w:szCs w:val="21"/>
                    </w:rPr>
                    <w:t>阳离子</w:t>
                  </w:r>
                  <w:r>
                    <w:rPr>
                      <w:rFonts w:hint="eastAsia" w:ascii="宋体" w:hAnsi="宋体"/>
                      <w:snapToGrid w:val="0"/>
                      <w:kern w:val="0"/>
                      <w:sz w:val="21"/>
                      <w:szCs w:val="21"/>
                    </w:rPr>
                    <w:t>）</w:t>
                  </w:r>
                  <w:r>
                    <w:rPr>
                      <w:rFonts w:ascii="宋体" w:hAnsi="宋体"/>
                      <w:snapToGrid w:val="0"/>
                      <w:kern w:val="0"/>
                      <w:sz w:val="21"/>
                      <w:szCs w:val="21"/>
                    </w:rPr>
                    <w:t>|</w:t>
                  </w:r>
                  <w:r>
                    <w:rPr>
                      <w:rFonts w:hint="eastAsia" w:ascii="宋体" w:hAnsi="宋体"/>
                      <w:snapToGrid w:val="0"/>
                      <w:kern w:val="0"/>
                      <w:sz w:val="21"/>
                      <w:szCs w:val="21"/>
                    </w:rPr>
                    <w:t>/（</w:t>
                  </w:r>
                  <w:r>
                    <w:rPr>
                      <w:rFonts w:hint="eastAsia" w:ascii="宋体" w:hAnsi="宋体" w:cs="宋体"/>
                      <w:snapToGrid w:val="0"/>
                      <w:kern w:val="0"/>
                      <w:sz w:val="21"/>
                      <w:szCs w:val="21"/>
                    </w:rPr>
                    <w:t>阴离子</w:t>
                  </w:r>
                  <w:r>
                    <w:rPr>
                      <w:rFonts w:hint="eastAsia" w:ascii="宋体" w:hAnsi="宋体"/>
                      <w:snapToGrid w:val="0"/>
                      <w:kern w:val="0"/>
                      <w:sz w:val="21"/>
                      <w:szCs w:val="21"/>
                    </w:rPr>
                    <w:t>+</w:t>
                  </w:r>
                  <w:r>
                    <w:rPr>
                      <w:rFonts w:hint="eastAsia" w:ascii="宋体" w:hAnsi="宋体" w:cs="宋体"/>
                      <w:snapToGrid w:val="0"/>
                      <w:kern w:val="0"/>
                      <w:sz w:val="21"/>
                      <w:szCs w:val="21"/>
                    </w:rPr>
                    <w:t>阳离子</w:t>
                  </w:r>
                  <w:r>
                    <w:rPr>
                      <w:rFonts w:hint="eastAsia" w:ascii="宋体" w:hAnsi="宋体"/>
                      <w:snapToGrid w:val="0"/>
                      <w:kern w:val="0"/>
                      <w:sz w:val="21"/>
                      <w:szCs w:val="21"/>
                    </w:rPr>
                    <w:t>）</w:t>
                  </w:r>
                </w:p>
              </w:tc>
              <w:tc>
                <w:tcPr>
                  <w:tcW w:w="793"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3.20%</w:t>
                  </w:r>
                </w:p>
              </w:tc>
              <w:tc>
                <w:tcPr>
                  <w:tcW w:w="636"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3.77%</w:t>
                  </w:r>
                </w:p>
              </w:tc>
              <w:tc>
                <w:tcPr>
                  <w:tcW w:w="554"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3.60%</w:t>
                  </w:r>
                </w:p>
              </w:tc>
              <w:tc>
                <w:tcPr>
                  <w:tcW w:w="552"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0.40%</w:t>
                  </w:r>
                </w:p>
              </w:tc>
              <w:tc>
                <w:tcPr>
                  <w:tcW w:w="708" w:type="pct"/>
                  <w:vAlign w:val="center"/>
                </w:tcPr>
                <w:p>
                  <w:pPr>
                    <w:widowControl/>
                    <w:adjustRightInd w:val="0"/>
                    <w:snapToGrid w:val="0"/>
                    <w:spacing w:line="240" w:lineRule="auto"/>
                    <w:ind w:firstLine="0" w:firstLineChars="0"/>
                    <w:jc w:val="center"/>
                    <w:rPr>
                      <w:bCs/>
                      <w:snapToGrid w:val="0"/>
                      <w:kern w:val="0"/>
                      <w:sz w:val="21"/>
                      <w:szCs w:val="21"/>
                    </w:rPr>
                  </w:pPr>
                  <w:r>
                    <w:rPr>
                      <w:bCs/>
                      <w:snapToGrid w:val="0"/>
                      <w:kern w:val="0"/>
                      <w:sz w:val="21"/>
                      <w:szCs w:val="21"/>
                    </w:rPr>
                    <w:t>4.35%</w:t>
                  </w:r>
                </w:p>
              </w:tc>
            </w:tr>
          </w:tbl>
          <w:p>
            <w:pPr>
              <w:widowControl/>
              <w:ind w:firstLine="420"/>
              <w:rPr>
                <w:snapToGrid w:val="0"/>
                <w:kern w:val="0"/>
                <w:sz w:val="21"/>
                <w:szCs w:val="21"/>
              </w:rPr>
            </w:pPr>
            <w:r>
              <w:rPr>
                <w:snapToGrid w:val="0"/>
                <w:kern w:val="0"/>
                <w:sz w:val="21"/>
                <w:szCs w:val="21"/>
              </w:rPr>
              <w:t>由上表可知，本工程所在区域周边水井监测指标均满足《地下水质量标准》（GB/T14848-2017）中的III类标准要求；石油类满足《地表水环境质量标准》（GB3838-2002）III类标准要求。地下水化学类型阳离子以</w:t>
            </w:r>
            <w:r>
              <w:rPr>
                <w:rFonts w:hint="eastAsia"/>
                <w:snapToGrid w:val="0"/>
                <w:kern w:val="0"/>
                <w:sz w:val="21"/>
                <w:szCs w:val="21"/>
              </w:rPr>
              <w:t>钙</w:t>
            </w:r>
            <w:r>
              <w:rPr>
                <w:snapToGrid w:val="0"/>
                <w:kern w:val="0"/>
                <w:sz w:val="21"/>
                <w:szCs w:val="21"/>
              </w:rPr>
              <w:t>离子为主，阴离子以</w:t>
            </w:r>
            <w:r>
              <w:rPr>
                <w:rFonts w:hint="eastAsia"/>
                <w:snapToGrid w:val="0"/>
                <w:kern w:val="0"/>
                <w:sz w:val="21"/>
                <w:szCs w:val="21"/>
              </w:rPr>
              <w:t>碳酸</w:t>
            </w:r>
            <w:r>
              <w:rPr>
                <w:snapToGrid w:val="0"/>
                <w:kern w:val="0"/>
                <w:sz w:val="21"/>
                <w:szCs w:val="21"/>
              </w:rPr>
              <w:t>氢根离子为主。经计算，地下水中阴阳离子差与和的比值0.4~4.35%，满足《生活饮用水标准检验方法水质分析质量控制》（GB/T5750.3-2006）规范中小于10%限值的要求。</w:t>
            </w:r>
          </w:p>
          <w:p>
            <w:pPr>
              <w:widowControl/>
              <w:ind w:firstLine="0" w:firstLineChars="0"/>
              <w:rPr>
                <w:b/>
                <w:snapToGrid w:val="0"/>
                <w:kern w:val="0"/>
                <w:sz w:val="21"/>
                <w:szCs w:val="21"/>
              </w:rPr>
            </w:pPr>
            <w:r>
              <w:rPr>
                <w:rFonts w:hint="eastAsia"/>
                <w:b/>
                <w:snapToGrid w:val="0"/>
                <w:kern w:val="0"/>
                <w:sz w:val="21"/>
                <w:szCs w:val="21"/>
              </w:rPr>
              <w:t>3.1.4声环境质量</w:t>
            </w:r>
          </w:p>
          <w:p>
            <w:pPr>
              <w:widowControl/>
              <w:ind w:firstLine="420"/>
              <w:jc w:val="left"/>
              <w:rPr>
                <w:snapToGrid w:val="0"/>
                <w:kern w:val="0"/>
                <w:sz w:val="21"/>
                <w:szCs w:val="21"/>
              </w:rPr>
            </w:pPr>
            <w:r>
              <w:rPr>
                <w:rFonts w:hint="eastAsia"/>
                <w:snapToGrid w:val="0"/>
                <w:kern w:val="0"/>
                <w:sz w:val="21"/>
                <w:szCs w:val="21"/>
              </w:rPr>
              <w:t>为了解项目所在地声环境质量，评价委托四川省工业环境监测研究院于20</w:t>
            </w:r>
            <w:r>
              <w:rPr>
                <w:snapToGrid w:val="0"/>
                <w:kern w:val="0"/>
                <w:sz w:val="21"/>
                <w:szCs w:val="21"/>
              </w:rPr>
              <w:t>24</w:t>
            </w:r>
            <w:r>
              <w:rPr>
                <w:rFonts w:hint="eastAsia"/>
                <w:snapToGrid w:val="0"/>
                <w:kern w:val="0"/>
                <w:sz w:val="21"/>
                <w:szCs w:val="21"/>
              </w:rPr>
              <w:t>年</w:t>
            </w:r>
            <w:r>
              <w:rPr>
                <w:snapToGrid w:val="0"/>
                <w:kern w:val="0"/>
                <w:sz w:val="21"/>
                <w:szCs w:val="21"/>
              </w:rPr>
              <w:t>2月28~29日</w:t>
            </w:r>
            <w:r>
              <w:rPr>
                <w:rFonts w:hint="eastAsia"/>
                <w:snapToGrid w:val="0"/>
                <w:kern w:val="0"/>
                <w:sz w:val="21"/>
                <w:szCs w:val="21"/>
              </w:rPr>
              <w:t>所在地声环境质量进行了现状监测，连续监测两天，昼、夜各一次。</w:t>
            </w:r>
          </w:p>
          <w:p>
            <w:pPr>
              <w:widowControl/>
              <w:ind w:firstLine="420"/>
              <w:rPr>
                <w:snapToGrid w:val="0"/>
                <w:kern w:val="0"/>
                <w:sz w:val="21"/>
                <w:szCs w:val="21"/>
              </w:rPr>
            </w:pPr>
            <w:r>
              <w:rPr>
                <w:rFonts w:hint="eastAsia"/>
                <w:snapToGrid w:val="0"/>
                <w:kern w:val="0"/>
                <w:sz w:val="21"/>
                <w:szCs w:val="21"/>
              </w:rPr>
              <w:t>（1）监测方案</w:t>
            </w:r>
          </w:p>
          <w:p>
            <w:pPr>
              <w:widowControl/>
              <w:ind w:firstLine="420"/>
              <w:rPr>
                <w:snapToGrid w:val="0"/>
                <w:kern w:val="0"/>
                <w:sz w:val="21"/>
                <w:szCs w:val="21"/>
              </w:rPr>
            </w:pPr>
            <w:r>
              <w:rPr>
                <w:rFonts w:hint="eastAsia"/>
                <w:snapToGrid w:val="0"/>
                <w:kern w:val="0"/>
                <w:sz w:val="21"/>
                <w:szCs w:val="21"/>
              </w:rPr>
              <w:t>监测布点：</w:t>
            </w:r>
            <w:r>
              <w:rPr>
                <w:snapToGrid w:val="0"/>
                <w:kern w:val="0"/>
                <w:sz w:val="21"/>
                <w:szCs w:val="21"/>
              </w:rPr>
              <w:t>2</w:t>
            </w:r>
            <w:r>
              <w:rPr>
                <w:rFonts w:hint="eastAsia"/>
                <w:snapToGrid w:val="0"/>
                <w:kern w:val="0"/>
                <w:sz w:val="21"/>
                <w:szCs w:val="21"/>
              </w:rPr>
              <w:t>个监测点，1#监测点位于平安7井井口处；2#监测点位于</w:t>
            </w:r>
            <w:r>
              <w:rPr>
                <w:rFonts w:hint="eastAsia"/>
                <w:sz w:val="21"/>
                <w:szCs w:val="21"/>
              </w:rPr>
              <w:t>平安7井井场西南侧最近居民处</w:t>
            </w:r>
          </w:p>
          <w:p>
            <w:pPr>
              <w:widowControl/>
              <w:ind w:firstLine="420"/>
              <w:jc w:val="left"/>
              <w:rPr>
                <w:snapToGrid w:val="0"/>
                <w:kern w:val="0"/>
                <w:sz w:val="21"/>
                <w:szCs w:val="21"/>
              </w:rPr>
            </w:pPr>
            <w:r>
              <w:rPr>
                <w:rFonts w:hint="eastAsia"/>
                <w:snapToGrid w:val="0"/>
                <w:kern w:val="0"/>
                <w:sz w:val="21"/>
                <w:szCs w:val="21"/>
              </w:rPr>
              <w:t>监测因子：连续等效A声级；</w:t>
            </w:r>
          </w:p>
          <w:p>
            <w:pPr>
              <w:widowControl/>
              <w:ind w:firstLine="420"/>
              <w:jc w:val="left"/>
              <w:rPr>
                <w:snapToGrid w:val="0"/>
                <w:kern w:val="0"/>
                <w:sz w:val="21"/>
                <w:szCs w:val="21"/>
              </w:rPr>
            </w:pPr>
            <w:r>
              <w:rPr>
                <w:rFonts w:hint="eastAsia"/>
                <w:snapToGrid w:val="0"/>
                <w:kern w:val="0"/>
                <w:sz w:val="21"/>
                <w:szCs w:val="21"/>
              </w:rPr>
              <w:t>监测时间及频率：20</w:t>
            </w:r>
            <w:r>
              <w:rPr>
                <w:snapToGrid w:val="0"/>
                <w:kern w:val="0"/>
                <w:sz w:val="21"/>
                <w:szCs w:val="21"/>
              </w:rPr>
              <w:t>24</w:t>
            </w:r>
            <w:r>
              <w:rPr>
                <w:rFonts w:hint="eastAsia"/>
                <w:snapToGrid w:val="0"/>
                <w:kern w:val="0"/>
                <w:sz w:val="21"/>
                <w:szCs w:val="21"/>
              </w:rPr>
              <w:t>年</w:t>
            </w:r>
            <w:r>
              <w:rPr>
                <w:snapToGrid w:val="0"/>
                <w:kern w:val="0"/>
                <w:sz w:val="21"/>
                <w:szCs w:val="21"/>
              </w:rPr>
              <w:t>2月28~29日</w:t>
            </w:r>
            <w:r>
              <w:rPr>
                <w:rFonts w:hint="eastAsia"/>
                <w:snapToGrid w:val="0"/>
                <w:kern w:val="0"/>
                <w:sz w:val="21"/>
                <w:szCs w:val="21"/>
              </w:rPr>
              <w:t>；连续2天，昼、夜间各一次。</w:t>
            </w:r>
          </w:p>
          <w:p>
            <w:pPr>
              <w:widowControl/>
              <w:ind w:firstLine="420"/>
              <w:jc w:val="left"/>
              <w:rPr>
                <w:snapToGrid w:val="0"/>
                <w:kern w:val="0"/>
                <w:sz w:val="21"/>
                <w:szCs w:val="21"/>
              </w:rPr>
            </w:pPr>
            <w:r>
              <w:rPr>
                <w:rFonts w:hint="eastAsia"/>
                <w:snapToGrid w:val="0"/>
                <w:kern w:val="0"/>
                <w:sz w:val="21"/>
                <w:szCs w:val="21"/>
              </w:rPr>
              <w:t>（2）评价标准与方法：</w:t>
            </w:r>
          </w:p>
          <w:p>
            <w:pPr>
              <w:widowControl/>
              <w:ind w:firstLine="420"/>
              <w:jc w:val="left"/>
              <w:rPr>
                <w:snapToGrid w:val="0"/>
                <w:kern w:val="0"/>
                <w:sz w:val="21"/>
                <w:szCs w:val="21"/>
              </w:rPr>
            </w:pPr>
            <w:r>
              <w:rPr>
                <w:rFonts w:hint="eastAsia"/>
                <w:snapToGrid w:val="0"/>
                <w:kern w:val="0"/>
                <w:sz w:val="21"/>
                <w:szCs w:val="21"/>
              </w:rPr>
              <w:t>拟建项目所在地环境声功能区为2类区域，执行《声环境质量标准》（GB3096-2008）2类标准。</w:t>
            </w:r>
          </w:p>
          <w:p>
            <w:pPr>
              <w:widowControl/>
              <w:ind w:firstLine="420"/>
              <w:jc w:val="left"/>
              <w:rPr>
                <w:snapToGrid w:val="0"/>
                <w:kern w:val="0"/>
                <w:sz w:val="21"/>
                <w:szCs w:val="21"/>
              </w:rPr>
            </w:pPr>
            <w:r>
              <w:rPr>
                <w:rFonts w:hint="eastAsia"/>
                <w:snapToGrid w:val="0"/>
                <w:kern w:val="0"/>
                <w:sz w:val="21"/>
                <w:szCs w:val="21"/>
              </w:rPr>
              <w:t>（3）监测结果及评价：</w:t>
            </w:r>
          </w:p>
          <w:p>
            <w:pPr>
              <w:widowControl/>
              <w:ind w:firstLine="420"/>
              <w:jc w:val="left"/>
              <w:rPr>
                <w:snapToGrid w:val="0"/>
                <w:kern w:val="0"/>
                <w:sz w:val="21"/>
                <w:szCs w:val="21"/>
              </w:rPr>
            </w:pPr>
            <w:r>
              <w:rPr>
                <w:rFonts w:hint="eastAsia"/>
                <w:snapToGrid w:val="0"/>
                <w:kern w:val="0"/>
                <w:sz w:val="21"/>
                <w:szCs w:val="21"/>
              </w:rPr>
              <w:t>声环境质量现状监测结果统计及评价见表3-</w:t>
            </w:r>
            <w:r>
              <w:rPr>
                <w:snapToGrid w:val="0"/>
                <w:kern w:val="0"/>
                <w:sz w:val="21"/>
                <w:szCs w:val="21"/>
              </w:rPr>
              <w:t>10</w:t>
            </w:r>
            <w:r>
              <w:rPr>
                <w:rFonts w:hint="eastAsia"/>
                <w:snapToGrid w:val="0"/>
                <w:kern w:val="0"/>
                <w:sz w:val="21"/>
                <w:szCs w:val="21"/>
              </w:rPr>
              <w:t>。</w:t>
            </w:r>
          </w:p>
          <w:p>
            <w:pPr>
              <w:widowControl/>
              <w:ind w:firstLine="0" w:firstLineChars="0"/>
              <w:jc w:val="center"/>
              <w:rPr>
                <w:b/>
                <w:snapToGrid w:val="0"/>
                <w:kern w:val="0"/>
                <w:sz w:val="21"/>
                <w:szCs w:val="21"/>
              </w:rPr>
            </w:pPr>
          </w:p>
          <w:p>
            <w:pPr>
              <w:widowControl/>
              <w:ind w:firstLine="0" w:firstLineChars="0"/>
              <w:jc w:val="center"/>
              <w:rPr>
                <w:b/>
                <w:snapToGrid w:val="0"/>
                <w:kern w:val="0"/>
                <w:sz w:val="21"/>
                <w:szCs w:val="21"/>
              </w:rPr>
            </w:pPr>
            <w:r>
              <w:rPr>
                <w:rFonts w:hint="eastAsia"/>
                <w:b/>
                <w:snapToGrid w:val="0"/>
                <w:kern w:val="0"/>
                <w:sz w:val="21"/>
                <w:szCs w:val="21"/>
              </w:rPr>
              <w:t>表3-</w:t>
            </w:r>
            <w:r>
              <w:rPr>
                <w:b/>
                <w:snapToGrid w:val="0"/>
                <w:kern w:val="0"/>
                <w:sz w:val="21"/>
                <w:szCs w:val="21"/>
              </w:rPr>
              <w:t>10</w:t>
            </w:r>
            <w:r>
              <w:rPr>
                <w:rFonts w:hint="eastAsia"/>
                <w:b/>
                <w:snapToGrid w:val="0"/>
                <w:kern w:val="0"/>
                <w:sz w:val="21"/>
                <w:szCs w:val="21"/>
              </w:rPr>
              <w:t>项目噪声现状监测结果表  LAeq 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5"/>
              <w:gridCol w:w="5012"/>
              <w:gridCol w:w="1676"/>
              <w:gridCol w:w="1676"/>
              <w:gridCol w:w="167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35" w:type="pct"/>
                  <w:vMerge w:val="restar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监测项目</w:t>
                  </w:r>
                </w:p>
              </w:tc>
              <w:tc>
                <w:tcPr>
                  <w:tcW w:w="1908" w:type="pct"/>
                  <w:vMerge w:val="restar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监测点位</w:t>
                  </w:r>
                </w:p>
              </w:tc>
              <w:tc>
                <w:tcPr>
                  <w:tcW w:w="2556" w:type="pct"/>
                  <w:gridSpan w:val="4"/>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监测时间、时段及结果[单位：dB(A)]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35" w:type="pct"/>
                  <w:vMerge w:val="continue"/>
                  <w:vAlign w:val="center"/>
                </w:tcPr>
                <w:p>
                  <w:pPr>
                    <w:adjustRightInd w:val="0"/>
                    <w:snapToGrid w:val="0"/>
                    <w:spacing w:line="240" w:lineRule="auto"/>
                    <w:ind w:firstLine="0" w:firstLineChars="0"/>
                    <w:jc w:val="center"/>
                    <w:rPr>
                      <w:snapToGrid w:val="0"/>
                      <w:kern w:val="0"/>
                      <w:sz w:val="21"/>
                      <w:szCs w:val="21"/>
                    </w:rPr>
                  </w:pPr>
                </w:p>
              </w:tc>
              <w:tc>
                <w:tcPr>
                  <w:tcW w:w="1908" w:type="pct"/>
                  <w:vMerge w:val="continue"/>
                  <w:vAlign w:val="center"/>
                </w:tcPr>
                <w:p>
                  <w:pPr>
                    <w:adjustRightInd w:val="0"/>
                    <w:snapToGrid w:val="0"/>
                    <w:spacing w:line="240" w:lineRule="auto"/>
                    <w:ind w:firstLine="0" w:firstLineChars="0"/>
                    <w:jc w:val="center"/>
                    <w:rPr>
                      <w:snapToGrid w:val="0"/>
                      <w:kern w:val="0"/>
                      <w:sz w:val="21"/>
                      <w:szCs w:val="21"/>
                    </w:rPr>
                  </w:pPr>
                </w:p>
              </w:tc>
              <w:tc>
                <w:tcPr>
                  <w:tcW w:w="1276"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2024年2月28日</w:t>
                  </w:r>
                </w:p>
              </w:tc>
              <w:tc>
                <w:tcPr>
                  <w:tcW w:w="1280" w:type="pct"/>
                  <w:gridSpan w:val="2"/>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2024年2月29日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35" w:type="pct"/>
                  <w:vMerge w:val="continue"/>
                  <w:vAlign w:val="center"/>
                </w:tcPr>
                <w:p>
                  <w:pPr>
                    <w:adjustRightInd w:val="0"/>
                    <w:snapToGrid w:val="0"/>
                    <w:spacing w:line="240" w:lineRule="auto"/>
                    <w:ind w:firstLine="0" w:firstLineChars="0"/>
                    <w:jc w:val="center"/>
                    <w:rPr>
                      <w:snapToGrid w:val="0"/>
                      <w:kern w:val="0"/>
                      <w:sz w:val="21"/>
                      <w:szCs w:val="21"/>
                    </w:rPr>
                  </w:pPr>
                </w:p>
              </w:tc>
              <w:tc>
                <w:tcPr>
                  <w:tcW w:w="1908" w:type="pct"/>
                  <w:vMerge w:val="continue"/>
                  <w:vAlign w:val="center"/>
                </w:tcPr>
                <w:p>
                  <w:pPr>
                    <w:adjustRightInd w:val="0"/>
                    <w:snapToGrid w:val="0"/>
                    <w:spacing w:line="240" w:lineRule="auto"/>
                    <w:ind w:firstLine="0" w:firstLineChars="0"/>
                    <w:jc w:val="center"/>
                    <w:rPr>
                      <w:snapToGrid w:val="0"/>
                      <w:kern w:val="0"/>
                      <w:sz w:val="21"/>
                      <w:szCs w:val="21"/>
                    </w:rPr>
                  </w:pP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昼间</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夜间</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昼间</w:t>
                  </w:r>
                </w:p>
              </w:tc>
              <w:tc>
                <w:tcPr>
                  <w:tcW w:w="641"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vMerge w:val="restar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环境噪声</w:t>
                  </w:r>
                </w:p>
              </w:tc>
              <w:tc>
                <w:tcPr>
                  <w:tcW w:w="190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平安7井井场内中部1#</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47</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43</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44</w:t>
                  </w:r>
                </w:p>
              </w:tc>
              <w:tc>
                <w:tcPr>
                  <w:tcW w:w="641"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pct"/>
                  <w:vMerge w:val="continue"/>
                  <w:vAlign w:val="center"/>
                </w:tcPr>
                <w:p>
                  <w:pPr>
                    <w:adjustRightInd w:val="0"/>
                    <w:snapToGrid w:val="0"/>
                    <w:spacing w:line="240" w:lineRule="auto"/>
                    <w:ind w:firstLine="0" w:firstLineChars="0"/>
                    <w:jc w:val="center"/>
                    <w:rPr>
                      <w:snapToGrid w:val="0"/>
                      <w:kern w:val="0"/>
                      <w:sz w:val="21"/>
                      <w:szCs w:val="21"/>
                    </w:rPr>
                  </w:pPr>
                </w:p>
              </w:tc>
              <w:tc>
                <w:tcPr>
                  <w:tcW w:w="190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平安7井井场西南侧最近居民处2#</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45</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42</w:t>
                  </w:r>
                </w:p>
              </w:tc>
              <w:tc>
                <w:tcPr>
                  <w:tcW w:w="638"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45</w:t>
                  </w:r>
                </w:p>
              </w:tc>
              <w:tc>
                <w:tcPr>
                  <w:tcW w:w="641" w:type="pct"/>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41</w:t>
                  </w:r>
                </w:p>
              </w:tc>
            </w:tr>
          </w:tbl>
          <w:p>
            <w:pPr>
              <w:widowControl/>
              <w:ind w:firstLine="420"/>
              <w:rPr>
                <w:snapToGrid w:val="0"/>
                <w:kern w:val="0"/>
                <w:sz w:val="21"/>
                <w:szCs w:val="21"/>
              </w:rPr>
            </w:pPr>
            <w:r>
              <w:rPr>
                <w:rFonts w:hint="eastAsia"/>
                <w:snapToGrid w:val="0"/>
                <w:kern w:val="0"/>
                <w:sz w:val="21"/>
                <w:szCs w:val="21"/>
              </w:rPr>
              <w:t>监测结果表明：工程所在区域昼、夜间环境噪声值均能满足《声环境质量标准》（GB3096-2008）中的</w:t>
            </w:r>
            <w:r>
              <w:rPr>
                <w:snapToGrid w:val="0"/>
                <w:kern w:val="0"/>
                <w:sz w:val="21"/>
                <w:szCs w:val="21"/>
              </w:rPr>
              <w:t>2</w:t>
            </w:r>
            <w:r>
              <w:rPr>
                <w:rFonts w:hint="eastAsia"/>
                <w:snapToGrid w:val="0"/>
                <w:kern w:val="0"/>
                <w:sz w:val="21"/>
                <w:szCs w:val="21"/>
              </w:rPr>
              <w:t>类标准要求。</w:t>
            </w:r>
          </w:p>
          <w:p>
            <w:pPr>
              <w:widowControl/>
              <w:ind w:firstLine="0" w:firstLineChars="0"/>
              <w:rPr>
                <w:b/>
                <w:snapToGrid w:val="0"/>
                <w:kern w:val="0"/>
                <w:sz w:val="21"/>
                <w:szCs w:val="21"/>
              </w:rPr>
            </w:pPr>
            <w:r>
              <w:rPr>
                <w:rFonts w:hint="eastAsia"/>
                <w:b/>
                <w:snapToGrid w:val="0"/>
                <w:kern w:val="0"/>
                <w:sz w:val="21"/>
                <w:szCs w:val="21"/>
              </w:rPr>
              <w:t>3.1.5土壤环境质量</w:t>
            </w:r>
          </w:p>
          <w:p>
            <w:pPr>
              <w:autoSpaceDE w:val="0"/>
              <w:autoSpaceDN w:val="0"/>
              <w:adjustRightInd w:val="0"/>
              <w:ind w:firstLine="420"/>
              <w:rPr>
                <w:rFonts w:hAnsi="宋体"/>
                <w:snapToGrid w:val="0"/>
                <w:kern w:val="0"/>
                <w:sz w:val="21"/>
                <w:szCs w:val="21"/>
              </w:rPr>
            </w:pPr>
            <w:r>
              <w:rPr>
                <w:rFonts w:hAnsi="宋体"/>
                <w:snapToGrid w:val="0"/>
                <w:kern w:val="0"/>
                <w:sz w:val="21"/>
                <w:szCs w:val="21"/>
              </w:rPr>
              <w:t>为了解项目所在地土壤环境质量现状，评价委托</w:t>
            </w:r>
            <w:r>
              <w:rPr>
                <w:rFonts w:hint="eastAsia"/>
                <w:snapToGrid w:val="0"/>
                <w:kern w:val="0"/>
                <w:sz w:val="21"/>
                <w:szCs w:val="21"/>
              </w:rPr>
              <w:t>四川省工业环境监测研究院</w:t>
            </w:r>
            <w:r>
              <w:rPr>
                <w:rFonts w:hAnsi="宋体"/>
                <w:snapToGrid w:val="0"/>
                <w:kern w:val="0"/>
                <w:sz w:val="21"/>
                <w:szCs w:val="21"/>
              </w:rPr>
              <w:t>于</w:t>
            </w:r>
            <w:r>
              <w:rPr>
                <w:snapToGrid w:val="0"/>
                <w:kern w:val="0"/>
                <w:sz w:val="21"/>
                <w:szCs w:val="21"/>
              </w:rPr>
              <w:t>2024</w:t>
            </w:r>
            <w:r>
              <w:rPr>
                <w:rFonts w:hAnsi="宋体"/>
                <w:snapToGrid w:val="0"/>
                <w:kern w:val="0"/>
                <w:sz w:val="21"/>
                <w:szCs w:val="21"/>
              </w:rPr>
              <w:t>年</w:t>
            </w:r>
            <w:r>
              <w:rPr>
                <w:snapToGrid w:val="0"/>
                <w:kern w:val="0"/>
                <w:sz w:val="21"/>
                <w:szCs w:val="21"/>
              </w:rPr>
              <w:t>2</w:t>
            </w:r>
            <w:r>
              <w:rPr>
                <w:rFonts w:hAnsi="宋体"/>
                <w:snapToGrid w:val="0"/>
                <w:kern w:val="0"/>
                <w:sz w:val="21"/>
                <w:szCs w:val="21"/>
              </w:rPr>
              <w:t>月28日对项目所在地土壤环境质量进行了现状监测。</w:t>
            </w:r>
          </w:p>
          <w:p>
            <w:pPr>
              <w:autoSpaceDE w:val="0"/>
              <w:autoSpaceDN w:val="0"/>
              <w:adjustRightInd w:val="0"/>
              <w:ind w:firstLine="420"/>
              <w:rPr>
                <w:snapToGrid w:val="0"/>
                <w:kern w:val="0"/>
                <w:sz w:val="21"/>
                <w:szCs w:val="21"/>
              </w:rPr>
            </w:pPr>
            <w:r>
              <w:rPr>
                <w:rFonts w:hAnsi="宋体"/>
                <w:snapToGrid w:val="0"/>
                <w:kern w:val="0"/>
                <w:sz w:val="21"/>
                <w:szCs w:val="21"/>
              </w:rPr>
              <w:t>（</w:t>
            </w:r>
            <w:r>
              <w:rPr>
                <w:snapToGrid w:val="0"/>
                <w:kern w:val="0"/>
                <w:sz w:val="21"/>
                <w:szCs w:val="21"/>
              </w:rPr>
              <w:t>1</w:t>
            </w:r>
            <w:r>
              <w:rPr>
                <w:rFonts w:hAnsi="宋体"/>
                <w:snapToGrid w:val="0"/>
                <w:kern w:val="0"/>
                <w:sz w:val="21"/>
                <w:szCs w:val="21"/>
              </w:rPr>
              <w:t>）监测方案</w:t>
            </w:r>
          </w:p>
          <w:p>
            <w:pPr>
              <w:autoSpaceDE w:val="0"/>
              <w:autoSpaceDN w:val="0"/>
              <w:adjustRightInd w:val="0"/>
              <w:ind w:firstLine="420"/>
              <w:rPr>
                <w:snapToGrid w:val="0"/>
                <w:kern w:val="0"/>
                <w:sz w:val="21"/>
                <w:szCs w:val="21"/>
              </w:rPr>
            </w:pPr>
            <w:r>
              <w:rPr>
                <w:rFonts w:hAnsi="宋体"/>
                <w:snapToGrid w:val="0"/>
                <w:kern w:val="0"/>
                <w:sz w:val="21"/>
                <w:szCs w:val="21"/>
              </w:rPr>
              <w:t>监测布点：</w:t>
            </w:r>
          </w:p>
          <w:p>
            <w:pPr>
              <w:autoSpaceDE w:val="0"/>
              <w:autoSpaceDN w:val="0"/>
              <w:adjustRightInd w:val="0"/>
              <w:ind w:firstLine="420"/>
              <w:rPr>
                <w:bCs/>
                <w:snapToGrid w:val="0"/>
                <w:kern w:val="0"/>
                <w:sz w:val="21"/>
                <w:szCs w:val="21"/>
              </w:rPr>
            </w:pPr>
            <w:r>
              <w:rPr>
                <w:snapToGrid w:val="0"/>
                <w:kern w:val="0"/>
                <w:sz w:val="21"/>
                <w:szCs w:val="21"/>
              </w:rPr>
              <w:fldChar w:fldCharType="begin"/>
            </w:r>
            <w:r>
              <w:rPr>
                <w:snapToGrid w:val="0"/>
                <w:kern w:val="0"/>
                <w:sz w:val="21"/>
                <w:szCs w:val="21"/>
              </w:rPr>
              <w:instrText xml:space="preserve"> = 1 \* GB3 </w:instrText>
            </w:r>
            <w:r>
              <w:rPr>
                <w:snapToGrid w:val="0"/>
                <w:kern w:val="0"/>
                <w:sz w:val="21"/>
                <w:szCs w:val="21"/>
              </w:rPr>
              <w:fldChar w:fldCharType="separate"/>
            </w:r>
            <w:r>
              <w:rPr>
                <w:rFonts w:hAnsi="宋体"/>
                <w:snapToGrid w:val="0"/>
                <w:kern w:val="0"/>
                <w:sz w:val="21"/>
                <w:szCs w:val="21"/>
              </w:rPr>
              <w:t>①</w:t>
            </w:r>
            <w:r>
              <w:rPr>
                <w:snapToGrid w:val="0"/>
                <w:kern w:val="0"/>
                <w:sz w:val="21"/>
                <w:szCs w:val="21"/>
              </w:rPr>
              <w:fldChar w:fldCharType="end"/>
            </w:r>
            <w:r>
              <w:rPr>
                <w:rFonts w:hAnsi="宋体"/>
                <w:snapToGrid w:val="0"/>
                <w:kern w:val="0"/>
                <w:sz w:val="21"/>
                <w:szCs w:val="21"/>
              </w:rPr>
              <w:t>占地范围内：</w:t>
            </w:r>
            <w:r>
              <w:rPr>
                <w:rFonts w:hint="eastAsia"/>
                <w:snapToGrid w:val="0"/>
                <w:kern w:val="0"/>
                <w:sz w:val="21"/>
                <w:szCs w:val="21"/>
              </w:rPr>
              <w:t>设3个柱状样，1个表层样；T1表层样位于井场内井口处，T2柱状样位于</w:t>
            </w:r>
            <w:r>
              <w:rPr>
                <w:snapToGrid w:val="0"/>
                <w:kern w:val="0"/>
                <w:sz w:val="21"/>
                <w:szCs w:val="21"/>
              </w:rPr>
              <w:t>井场内</w:t>
            </w:r>
            <w:r>
              <w:rPr>
                <w:rFonts w:hint="eastAsia"/>
                <w:snapToGrid w:val="0"/>
                <w:kern w:val="0"/>
                <w:sz w:val="21"/>
                <w:szCs w:val="21"/>
              </w:rPr>
              <w:t>东</w:t>
            </w:r>
            <w:r>
              <w:rPr>
                <w:snapToGrid w:val="0"/>
                <w:kern w:val="0"/>
                <w:sz w:val="21"/>
                <w:szCs w:val="21"/>
              </w:rPr>
              <w:t>侧</w:t>
            </w:r>
            <w:r>
              <w:rPr>
                <w:rFonts w:hint="eastAsia"/>
                <w:snapToGrid w:val="0"/>
                <w:kern w:val="0"/>
                <w:sz w:val="21"/>
                <w:szCs w:val="21"/>
              </w:rPr>
              <w:t>，T3柱状样位于</w:t>
            </w:r>
            <w:r>
              <w:rPr>
                <w:snapToGrid w:val="0"/>
                <w:kern w:val="0"/>
                <w:sz w:val="21"/>
                <w:szCs w:val="21"/>
              </w:rPr>
              <w:t>井场内</w:t>
            </w:r>
            <w:r>
              <w:rPr>
                <w:rFonts w:hint="eastAsia"/>
                <w:snapToGrid w:val="0"/>
                <w:kern w:val="0"/>
                <w:sz w:val="21"/>
                <w:szCs w:val="21"/>
              </w:rPr>
              <w:t>东南</w:t>
            </w:r>
            <w:r>
              <w:rPr>
                <w:snapToGrid w:val="0"/>
                <w:kern w:val="0"/>
                <w:sz w:val="21"/>
                <w:szCs w:val="21"/>
              </w:rPr>
              <w:t>侧</w:t>
            </w:r>
            <w:r>
              <w:rPr>
                <w:rFonts w:hint="eastAsia"/>
                <w:snapToGrid w:val="0"/>
                <w:kern w:val="0"/>
                <w:sz w:val="21"/>
                <w:szCs w:val="21"/>
              </w:rPr>
              <w:t>，T4柱状样位于</w:t>
            </w:r>
            <w:r>
              <w:rPr>
                <w:snapToGrid w:val="0"/>
                <w:kern w:val="0"/>
                <w:sz w:val="21"/>
                <w:szCs w:val="21"/>
              </w:rPr>
              <w:t>井场内</w:t>
            </w:r>
            <w:r>
              <w:rPr>
                <w:rFonts w:hint="eastAsia"/>
                <w:snapToGrid w:val="0"/>
                <w:kern w:val="0"/>
                <w:sz w:val="21"/>
                <w:szCs w:val="21"/>
              </w:rPr>
              <w:t>西南</w:t>
            </w:r>
            <w:r>
              <w:rPr>
                <w:snapToGrid w:val="0"/>
                <w:kern w:val="0"/>
                <w:sz w:val="21"/>
                <w:szCs w:val="21"/>
              </w:rPr>
              <w:t>侧</w:t>
            </w:r>
            <w:r>
              <w:rPr>
                <w:rFonts w:hint="eastAsia"/>
                <w:snapToGrid w:val="0"/>
                <w:kern w:val="0"/>
                <w:sz w:val="21"/>
                <w:szCs w:val="21"/>
              </w:rPr>
              <w:t>；</w:t>
            </w:r>
          </w:p>
          <w:p>
            <w:pPr>
              <w:autoSpaceDE w:val="0"/>
              <w:autoSpaceDN w:val="0"/>
              <w:adjustRightInd w:val="0"/>
              <w:ind w:firstLine="420"/>
              <w:rPr>
                <w:bCs/>
                <w:snapToGrid w:val="0"/>
                <w:kern w:val="0"/>
                <w:sz w:val="21"/>
                <w:szCs w:val="21"/>
              </w:rPr>
            </w:pPr>
            <w:r>
              <w:rPr>
                <w:bCs/>
                <w:snapToGrid w:val="0"/>
                <w:kern w:val="0"/>
                <w:sz w:val="21"/>
                <w:szCs w:val="21"/>
              </w:rPr>
              <w:fldChar w:fldCharType="begin"/>
            </w:r>
            <w:r>
              <w:rPr>
                <w:bCs/>
                <w:snapToGrid w:val="0"/>
                <w:kern w:val="0"/>
                <w:sz w:val="21"/>
                <w:szCs w:val="21"/>
              </w:rPr>
              <w:instrText xml:space="preserve"> = 2 \* GB3 </w:instrText>
            </w:r>
            <w:r>
              <w:rPr>
                <w:bCs/>
                <w:snapToGrid w:val="0"/>
                <w:kern w:val="0"/>
                <w:sz w:val="21"/>
                <w:szCs w:val="21"/>
              </w:rPr>
              <w:fldChar w:fldCharType="separate"/>
            </w:r>
            <w:r>
              <w:rPr>
                <w:rFonts w:hAnsi="宋体"/>
                <w:bCs/>
                <w:snapToGrid w:val="0"/>
                <w:kern w:val="0"/>
                <w:sz w:val="21"/>
                <w:szCs w:val="21"/>
              </w:rPr>
              <w:t>②</w:t>
            </w:r>
            <w:r>
              <w:rPr>
                <w:bCs/>
                <w:snapToGrid w:val="0"/>
                <w:kern w:val="0"/>
                <w:sz w:val="21"/>
                <w:szCs w:val="21"/>
              </w:rPr>
              <w:fldChar w:fldCharType="end"/>
            </w:r>
            <w:r>
              <w:rPr>
                <w:rFonts w:hAnsi="宋体"/>
                <w:bCs/>
                <w:snapToGrid w:val="0"/>
                <w:kern w:val="0"/>
                <w:sz w:val="21"/>
                <w:szCs w:val="21"/>
              </w:rPr>
              <w:t>占地范围外：</w:t>
            </w:r>
            <w:r>
              <w:rPr>
                <w:rFonts w:hint="eastAsia" w:hAnsi="宋体"/>
                <w:bCs/>
                <w:snapToGrid w:val="0"/>
                <w:kern w:val="0"/>
                <w:sz w:val="21"/>
                <w:szCs w:val="21"/>
              </w:rPr>
              <w:t>设2个表层样，T5表层样位于</w:t>
            </w:r>
            <w:r>
              <w:rPr>
                <w:snapToGrid w:val="0"/>
                <w:kern w:val="0"/>
                <w:sz w:val="21"/>
                <w:szCs w:val="21"/>
              </w:rPr>
              <w:t>井场外</w:t>
            </w:r>
            <w:r>
              <w:rPr>
                <w:rFonts w:hint="eastAsia"/>
                <w:snapToGrid w:val="0"/>
                <w:kern w:val="0"/>
                <w:sz w:val="21"/>
                <w:szCs w:val="21"/>
              </w:rPr>
              <w:t>东北侧旱地</w:t>
            </w:r>
            <w:r>
              <w:rPr>
                <w:snapToGrid w:val="0"/>
                <w:kern w:val="0"/>
                <w:sz w:val="21"/>
                <w:szCs w:val="21"/>
              </w:rPr>
              <w:t>内</w:t>
            </w:r>
            <w:r>
              <w:rPr>
                <w:rFonts w:hint="eastAsia" w:hAnsi="宋体"/>
                <w:bCs/>
                <w:snapToGrid w:val="0"/>
                <w:kern w:val="0"/>
                <w:sz w:val="21"/>
                <w:szCs w:val="21"/>
              </w:rPr>
              <w:t>，T6表层样位于井场外西南侧水田内</w:t>
            </w:r>
            <w:r>
              <w:rPr>
                <w:rFonts w:hAnsi="宋体"/>
                <w:bCs/>
                <w:snapToGrid w:val="0"/>
                <w:kern w:val="0"/>
                <w:sz w:val="21"/>
                <w:szCs w:val="21"/>
              </w:rPr>
              <w:t>，详见监测布点图</w:t>
            </w:r>
            <w:r>
              <w:rPr>
                <w:rFonts w:hAnsi="宋体"/>
                <w:snapToGrid w:val="0"/>
                <w:kern w:val="0"/>
                <w:sz w:val="21"/>
                <w:szCs w:val="21"/>
              </w:rPr>
              <w:t>；</w:t>
            </w:r>
          </w:p>
          <w:p>
            <w:pPr>
              <w:autoSpaceDE w:val="0"/>
              <w:autoSpaceDN w:val="0"/>
              <w:adjustRightInd w:val="0"/>
              <w:ind w:firstLine="420"/>
              <w:rPr>
                <w:snapToGrid w:val="0"/>
                <w:kern w:val="0"/>
                <w:sz w:val="21"/>
                <w:szCs w:val="21"/>
              </w:rPr>
            </w:pPr>
            <w:r>
              <w:rPr>
                <w:rFonts w:hAnsi="宋体"/>
                <w:snapToGrid w:val="0"/>
                <w:kern w:val="0"/>
                <w:sz w:val="21"/>
                <w:szCs w:val="21"/>
              </w:rPr>
              <w:t>监测因子：</w:t>
            </w:r>
          </w:p>
          <w:p>
            <w:pPr>
              <w:tabs>
                <w:tab w:val="left" w:pos="8908"/>
                <w:tab w:val="left" w:pos="10395"/>
              </w:tabs>
              <w:ind w:firstLine="420"/>
              <w:rPr>
                <w:snapToGrid w:val="0"/>
                <w:kern w:val="0"/>
                <w:sz w:val="21"/>
                <w:szCs w:val="21"/>
              </w:rPr>
            </w:pPr>
            <w:r>
              <w:rPr>
                <w:snapToGrid w:val="0"/>
                <w:kern w:val="0"/>
                <w:sz w:val="21"/>
                <w:szCs w:val="21"/>
              </w:rPr>
              <w:t>T1</w:t>
            </w:r>
            <w:r>
              <w:rPr>
                <w:rFonts w:hint="eastAsia"/>
                <w:snapToGrid w:val="0"/>
                <w:kern w:val="0"/>
                <w:sz w:val="21"/>
                <w:szCs w:val="21"/>
              </w:rPr>
              <w:t>表层样监测因子：</w:t>
            </w:r>
            <w:r>
              <w:rPr>
                <w:bCs/>
                <w:sz w:val="21"/>
                <w:szCs w:val="21"/>
              </w:rPr>
              <w:t>pH、</w:t>
            </w:r>
            <w:r>
              <w:rPr>
                <w:rFonts w:hint="eastAsia"/>
                <w:bCs/>
                <w:sz w:val="21"/>
                <w:szCs w:val="21"/>
              </w:rPr>
              <w:t>全盐量</w:t>
            </w:r>
            <w:r>
              <w:rPr>
                <w:rFonts w:hint="eastAsia"/>
                <w:sz w:val="21"/>
                <w:szCs w:val="21"/>
              </w:rPr>
              <w:t>、</w:t>
            </w:r>
            <w:r>
              <w:rPr>
                <w:bCs/>
                <w:sz w:val="21"/>
                <w:szCs w:val="21"/>
              </w:rPr>
              <w:t>石油烃（C</w:t>
            </w:r>
            <w:r>
              <w:rPr>
                <w:bCs/>
                <w:sz w:val="21"/>
                <w:szCs w:val="21"/>
                <w:vertAlign w:val="subscript"/>
              </w:rPr>
              <w:t>10</w:t>
            </w:r>
            <w:r>
              <w:rPr>
                <w:bCs/>
                <w:sz w:val="21"/>
                <w:szCs w:val="21"/>
              </w:rPr>
              <w:t>-C</w:t>
            </w:r>
            <w:r>
              <w:rPr>
                <w:bCs/>
                <w:sz w:val="21"/>
                <w:szCs w:val="21"/>
                <w:vertAlign w:val="subscript"/>
              </w:rPr>
              <w:t>40</w:t>
            </w:r>
            <w:r>
              <w:rPr>
                <w:bCs/>
                <w:sz w:val="21"/>
                <w:szCs w:val="21"/>
              </w:rPr>
              <w:t>）</w:t>
            </w:r>
            <w:r>
              <w:rPr>
                <w:rFonts w:hint="eastAsia"/>
                <w:bCs/>
                <w:sz w:val="21"/>
                <w:szCs w:val="21"/>
              </w:rPr>
              <w:t>、石油烃（C</w:t>
            </w:r>
            <w:r>
              <w:rPr>
                <w:rFonts w:hint="eastAsia"/>
                <w:bCs/>
                <w:sz w:val="21"/>
                <w:szCs w:val="21"/>
                <w:vertAlign w:val="subscript"/>
              </w:rPr>
              <w:t>6</w:t>
            </w:r>
            <w:r>
              <w:rPr>
                <w:rFonts w:hint="eastAsia"/>
                <w:bCs/>
                <w:sz w:val="21"/>
                <w:szCs w:val="21"/>
              </w:rPr>
              <w:t>-C</w:t>
            </w:r>
            <w:r>
              <w:rPr>
                <w:rFonts w:hint="eastAsia"/>
                <w:bCs/>
                <w:sz w:val="21"/>
                <w:szCs w:val="21"/>
                <w:vertAlign w:val="subscript"/>
              </w:rPr>
              <w:t>9</w:t>
            </w:r>
            <w:r>
              <w:rPr>
                <w:rFonts w:hint="eastAsia"/>
                <w:bCs/>
                <w:sz w:val="21"/>
                <w:szCs w:val="21"/>
              </w:rPr>
              <w:t>）、石油类</w:t>
            </w:r>
            <w:r>
              <w:rPr>
                <w:sz w:val="21"/>
                <w:szCs w:val="21"/>
              </w:rPr>
              <w:t>、</w:t>
            </w:r>
            <w:r>
              <w:rPr>
                <w:rFonts w:hint="eastAsia"/>
                <w:sz w:val="21"/>
                <w:szCs w:val="21"/>
              </w:rPr>
              <w:t>氯离子、硫化物、钡、</w:t>
            </w:r>
            <w:r>
              <w:rPr>
                <w:bCs/>
                <w:sz w:val="21"/>
                <w:szCs w:val="21"/>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w:t>
            </w:r>
            <w:r>
              <w:rPr>
                <w:rFonts w:hint="eastAsia"/>
                <w:bCs/>
                <w:sz w:val="21"/>
                <w:szCs w:val="21"/>
              </w:rPr>
              <w:t>、</w:t>
            </w:r>
            <w:r>
              <w:rPr>
                <w:bCs/>
                <w:sz w:val="21"/>
                <w:szCs w:val="21"/>
              </w:rPr>
              <w:t>硝基苯、苯胺、2-氯酚、苯并[a]蒽、苯并[a]芘、苯并[b]荧蒽、苯并[k]荧蒽、䓛、二苯并[a,h]蒽、茚并[1,2,3-cd]芘、萘</w:t>
            </w:r>
            <w:r>
              <w:rPr>
                <w:rFonts w:hint="eastAsia"/>
                <w:snapToGrid w:val="0"/>
                <w:kern w:val="0"/>
                <w:sz w:val="21"/>
                <w:szCs w:val="21"/>
              </w:rPr>
              <w:t>共</w:t>
            </w:r>
            <w:r>
              <w:rPr>
                <w:snapToGrid w:val="0"/>
                <w:kern w:val="0"/>
                <w:sz w:val="21"/>
                <w:szCs w:val="21"/>
              </w:rPr>
              <w:t>53</w:t>
            </w:r>
            <w:r>
              <w:rPr>
                <w:rFonts w:hint="eastAsia"/>
                <w:snapToGrid w:val="0"/>
                <w:kern w:val="0"/>
                <w:sz w:val="21"/>
                <w:szCs w:val="21"/>
              </w:rPr>
              <w:t>项。</w:t>
            </w:r>
          </w:p>
          <w:p>
            <w:pPr>
              <w:tabs>
                <w:tab w:val="left" w:pos="8908"/>
                <w:tab w:val="left" w:pos="10395"/>
              </w:tabs>
              <w:ind w:firstLine="420"/>
              <w:rPr>
                <w:snapToGrid w:val="0"/>
                <w:kern w:val="0"/>
                <w:sz w:val="21"/>
                <w:szCs w:val="21"/>
                <w:highlight w:val="yellow"/>
              </w:rPr>
            </w:pPr>
            <w:r>
              <w:rPr>
                <w:snapToGrid w:val="0"/>
                <w:kern w:val="0"/>
                <w:sz w:val="21"/>
                <w:szCs w:val="21"/>
              </w:rPr>
              <w:t>T2</w:t>
            </w:r>
            <w:r>
              <w:rPr>
                <w:rFonts w:hint="eastAsia"/>
                <w:snapToGrid w:val="0"/>
                <w:kern w:val="0"/>
                <w:sz w:val="21"/>
                <w:szCs w:val="21"/>
              </w:rPr>
              <w:t>、</w:t>
            </w:r>
            <w:r>
              <w:rPr>
                <w:snapToGrid w:val="0"/>
                <w:kern w:val="0"/>
                <w:sz w:val="21"/>
                <w:szCs w:val="21"/>
              </w:rPr>
              <w:t>T3</w:t>
            </w:r>
            <w:r>
              <w:rPr>
                <w:rFonts w:hint="eastAsia"/>
                <w:snapToGrid w:val="0"/>
                <w:kern w:val="0"/>
                <w:sz w:val="21"/>
                <w:szCs w:val="21"/>
              </w:rPr>
              <w:t>、</w:t>
            </w:r>
            <w:r>
              <w:rPr>
                <w:snapToGrid w:val="0"/>
                <w:kern w:val="0"/>
                <w:sz w:val="21"/>
                <w:szCs w:val="21"/>
              </w:rPr>
              <w:t>T4</w:t>
            </w:r>
            <w:r>
              <w:rPr>
                <w:rFonts w:hint="eastAsia"/>
                <w:snapToGrid w:val="0"/>
                <w:kern w:val="0"/>
                <w:sz w:val="21"/>
                <w:szCs w:val="21"/>
              </w:rPr>
              <w:t>柱状样监测因子：</w:t>
            </w:r>
            <w:r>
              <w:rPr>
                <w:bCs/>
                <w:sz w:val="21"/>
                <w:szCs w:val="21"/>
              </w:rPr>
              <w:t>pH、</w:t>
            </w:r>
            <w:r>
              <w:rPr>
                <w:rFonts w:hint="eastAsia"/>
                <w:bCs/>
                <w:sz w:val="21"/>
                <w:szCs w:val="21"/>
              </w:rPr>
              <w:t>全盐量</w:t>
            </w:r>
            <w:r>
              <w:rPr>
                <w:rFonts w:hint="eastAsia"/>
                <w:sz w:val="21"/>
                <w:szCs w:val="21"/>
              </w:rPr>
              <w:t>、</w:t>
            </w:r>
            <w:r>
              <w:rPr>
                <w:bCs/>
                <w:sz w:val="21"/>
                <w:szCs w:val="21"/>
              </w:rPr>
              <w:t>石油烃（C</w:t>
            </w:r>
            <w:r>
              <w:rPr>
                <w:bCs/>
                <w:sz w:val="21"/>
                <w:szCs w:val="21"/>
                <w:vertAlign w:val="subscript"/>
              </w:rPr>
              <w:t>10</w:t>
            </w:r>
            <w:r>
              <w:rPr>
                <w:bCs/>
                <w:sz w:val="21"/>
                <w:szCs w:val="21"/>
              </w:rPr>
              <w:t>-C</w:t>
            </w:r>
            <w:r>
              <w:rPr>
                <w:bCs/>
                <w:sz w:val="21"/>
                <w:szCs w:val="21"/>
                <w:vertAlign w:val="subscript"/>
              </w:rPr>
              <w:t>40</w:t>
            </w:r>
            <w:r>
              <w:rPr>
                <w:bCs/>
                <w:sz w:val="21"/>
                <w:szCs w:val="21"/>
              </w:rPr>
              <w:t>）</w:t>
            </w:r>
            <w:r>
              <w:rPr>
                <w:rFonts w:hint="eastAsia"/>
                <w:bCs/>
                <w:sz w:val="21"/>
                <w:szCs w:val="21"/>
              </w:rPr>
              <w:t>、石油烃（C</w:t>
            </w:r>
            <w:r>
              <w:rPr>
                <w:rFonts w:hint="eastAsia"/>
                <w:bCs/>
                <w:sz w:val="21"/>
                <w:szCs w:val="21"/>
                <w:vertAlign w:val="subscript"/>
              </w:rPr>
              <w:t>6</w:t>
            </w:r>
            <w:r>
              <w:rPr>
                <w:rFonts w:hint="eastAsia"/>
                <w:bCs/>
                <w:sz w:val="21"/>
                <w:szCs w:val="21"/>
              </w:rPr>
              <w:t>-C</w:t>
            </w:r>
            <w:r>
              <w:rPr>
                <w:rFonts w:hint="eastAsia"/>
                <w:bCs/>
                <w:sz w:val="21"/>
                <w:szCs w:val="21"/>
                <w:vertAlign w:val="subscript"/>
              </w:rPr>
              <w:t>9</w:t>
            </w:r>
            <w:r>
              <w:rPr>
                <w:rFonts w:hint="eastAsia"/>
                <w:bCs/>
                <w:sz w:val="21"/>
                <w:szCs w:val="21"/>
              </w:rPr>
              <w:t>）、石油类</w:t>
            </w:r>
            <w:r>
              <w:rPr>
                <w:sz w:val="21"/>
                <w:szCs w:val="21"/>
              </w:rPr>
              <w:t>、</w:t>
            </w:r>
            <w:r>
              <w:rPr>
                <w:rFonts w:hint="eastAsia"/>
                <w:sz w:val="21"/>
                <w:szCs w:val="21"/>
              </w:rPr>
              <w:t>氯离子、硫化物、钡</w:t>
            </w:r>
            <w:r>
              <w:rPr>
                <w:rFonts w:hint="eastAsia"/>
                <w:snapToGrid w:val="0"/>
                <w:kern w:val="0"/>
                <w:sz w:val="21"/>
                <w:szCs w:val="21"/>
              </w:rPr>
              <w:t>。</w:t>
            </w:r>
          </w:p>
          <w:p>
            <w:pPr>
              <w:autoSpaceDE w:val="0"/>
              <w:autoSpaceDN w:val="0"/>
              <w:adjustRightInd w:val="0"/>
              <w:ind w:firstLine="420"/>
              <w:rPr>
                <w:snapToGrid w:val="0"/>
                <w:kern w:val="0"/>
                <w:sz w:val="21"/>
                <w:szCs w:val="21"/>
              </w:rPr>
            </w:pPr>
            <w:r>
              <w:rPr>
                <w:snapToGrid w:val="0"/>
                <w:kern w:val="0"/>
                <w:sz w:val="21"/>
                <w:szCs w:val="21"/>
              </w:rPr>
              <w:t>T5</w:t>
            </w:r>
            <w:r>
              <w:rPr>
                <w:rFonts w:hint="eastAsia"/>
                <w:snapToGrid w:val="0"/>
                <w:kern w:val="0"/>
                <w:sz w:val="21"/>
                <w:szCs w:val="21"/>
              </w:rPr>
              <w:t>、</w:t>
            </w:r>
            <w:r>
              <w:rPr>
                <w:snapToGrid w:val="0"/>
                <w:kern w:val="0"/>
                <w:sz w:val="21"/>
                <w:szCs w:val="21"/>
              </w:rPr>
              <w:t>T6</w:t>
            </w:r>
            <w:r>
              <w:rPr>
                <w:rFonts w:hint="eastAsia"/>
                <w:snapToGrid w:val="0"/>
                <w:kern w:val="0"/>
                <w:sz w:val="21"/>
                <w:szCs w:val="21"/>
              </w:rPr>
              <w:t>表层样监测因子：</w:t>
            </w:r>
            <w:r>
              <w:rPr>
                <w:bCs/>
                <w:sz w:val="21"/>
                <w:szCs w:val="21"/>
              </w:rPr>
              <w:t>pH、</w:t>
            </w:r>
            <w:r>
              <w:rPr>
                <w:rFonts w:hint="eastAsia"/>
                <w:bCs/>
                <w:sz w:val="21"/>
                <w:szCs w:val="21"/>
              </w:rPr>
              <w:t>全盐量</w:t>
            </w:r>
            <w:r>
              <w:rPr>
                <w:rFonts w:hint="eastAsia"/>
                <w:sz w:val="21"/>
                <w:szCs w:val="21"/>
              </w:rPr>
              <w:t>、</w:t>
            </w:r>
            <w:r>
              <w:rPr>
                <w:bCs/>
                <w:sz w:val="21"/>
                <w:szCs w:val="21"/>
              </w:rPr>
              <w:t>石油烃（C</w:t>
            </w:r>
            <w:r>
              <w:rPr>
                <w:bCs/>
                <w:sz w:val="21"/>
                <w:szCs w:val="21"/>
                <w:vertAlign w:val="subscript"/>
              </w:rPr>
              <w:t>10</w:t>
            </w:r>
            <w:r>
              <w:rPr>
                <w:bCs/>
                <w:sz w:val="21"/>
                <w:szCs w:val="21"/>
              </w:rPr>
              <w:t>-C</w:t>
            </w:r>
            <w:r>
              <w:rPr>
                <w:bCs/>
                <w:sz w:val="21"/>
                <w:szCs w:val="21"/>
                <w:vertAlign w:val="subscript"/>
              </w:rPr>
              <w:t>40</w:t>
            </w:r>
            <w:r>
              <w:rPr>
                <w:bCs/>
                <w:sz w:val="21"/>
                <w:szCs w:val="21"/>
              </w:rPr>
              <w:t>）</w:t>
            </w:r>
            <w:r>
              <w:rPr>
                <w:rFonts w:hint="eastAsia"/>
                <w:bCs/>
                <w:sz w:val="21"/>
                <w:szCs w:val="21"/>
              </w:rPr>
              <w:t>、石油烃（C</w:t>
            </w:r>
            <w:r>
              <w:rPr>
                <w:rFonts w:hint="eastAsia"/>
                <w:bCs/>
                <w:sz w:val="21"/>
                <w:szCs w:val="21"/>
                <w:vertAlign w:val="subscript"/>
              </w:rPr>
              <w:t>6</w:t>
            </w:r>
            <w:r>
              <w:rPr>
                <w:rFonts w:hint="eastAsia"/>
                <w:bCs/>
                <w:sz w:val="21"/>
                <w:szCs w:val="21"/>
              </w:rPr>
              <w:t>-C</w:t>
            </w:r>
            <w:r>
              <w:rPr>
                <w:rFonts w:hint="eastAsia"/>
                <w:bCs/>
                <w:sz w:val="21"/>
                <w:szCs w:val="21"/>
                <w:vertAlign w:val="subscript"/>
              </w:rPr>
              <w:t>9</w:t>
            </w:r>
            <w:r>
              <w:rPr>
                <w:rFonts w:hint="eastAsia"/>
                <w:bCs/>
                <w:sz w:val="21"/>
                <w:szCs w:val="21"/>
              </w:rPr>
              <w:t>）、石油类</w:t>
            </w:r>
            <w:r>
              <w:rPr>
                <w:sz w:val="21"/>
                <w:szCs w:val="21"/>
              </w:rPr>
              <w:t>、</w:t>
            </w:r>
            <w:r>
              <w:rPr>
                <w:rFonts w:hint="eastAsia"/>
                <w:sz w:val="21"/>
                <w:szCs w:val="21"/>
              </w:rPr>
              <w:t>氯离子、硫化物、钡、</w:t>
            </w:r>
            <w:r>
              <w:rPr>
                <w:rFonts w:hint="eastAsia"/>
                <w:bCs/>
                <w:sz w:val="21"/>
                <w:szCs w:val="21"/>
              </w:rPr>
              <w:t>镉、汞、砷、铅、铬、铜、镍、锌</w:t>
            </w:r>
            <w:r>
              <w:rPr>
                <w:rFonts w:hint="eastAsia"/>
                <w:snapToGrid w:val="0"/>
                <w:kern w:val="0"/>
                <w:sz w:val="21"/>
                <w:szCs w:val="21"/>
              </w:rPr>
              <w:t>共1</w:t>
            </w:r>
            <w:r>
              <w:rPr>
                <w:snapToGrid w:val="0"/>
                <w:kern w:val="0"/>
                <w:sz w:val="21"/>
                <w:szCs w:val="21"/>
              </w:rPr>
              <w:t>6</w:t>
            </w:r>
            <w:r>
              <w:rPr>
                <w:rFonts w:hint="eastAsia"/>
                <w:snapToGrid w:val="0"/>
                <w:kern w:val="0"/>
                <w:sz w:val="21"/>
                <w:szCs w:val="21"/>
              </w:rPr>
              <w:t>项因子。</w:t>
            </w:r>
          </w:p>
          <w:p>
            <w:pPr>
              <w:autoSpaceDE w:val="0"/>
              <w:autoSpaceDN w:val="0"/>
              <w:adjustRightInd w:val="0"/>
              <w:ind w:firstLine="420"/>
              <w:rPr>
                <w:snapToGrid w:val="0"/>
                <w:kern w:val="0"/>
                <w:sz w:val="21"/>
                <w:szCs w:val="21"/>
              </w:rPr>
            </w:pPr>
            <w:r>
              <w:rPr>
                <w:rFonts w:hAnsi="宋体"/>
                <w:snapToGrid w:val="0"/>
                <w:kern w:val="0"/>
                <w:sz w:val="21"/>
                <w:szCs w:val="21"/>
              </w:rPr>
              <w:t>监测时间及频率：</w:t>
            </w:r>
            <w:r>
              <w:rPr>
                <w:snapToGrid w:val="0"/>
                <w:kern w:val="0"/>
                <w:sz w:val="21"/>
                <w:szCs w:val="21"/>
              </w:rPr>
              <w:t>2024</w:t>
            </w:r>
            <w:r>
              <w:rPr>
                <w:rFonts w:hAnsi="宋体"/>
                <w:snapToGrid w:val="0"/>
                <w:kern w:val="0"/>
                <w:sz w:val="21"/>
                <w:szCs w:val="21"/>
              </w:rPr>
              <w:t>年</w:t>
            </w:r>
            <w:r>
              <w:rPr>
                <w:snapToGrid w:val="0"/>
                <w:kern w:val="0"/>
                <w:sz w:val="21"/>
                <w:szCs w:val="21"/>
              </w:rPr>
              <w:t>2</w:t>
            </w:r>
            <w:r>
              <w:rPr>
                <w:rFonts w:hAnsi="宋体"/>
                <w:snapToGrid w:val="0"/>
                <w:kern w:val="0"/>
                <w:sz w:val="21"/>
                <w:szCs w:val="21"/>
              </w:rPr>
              <w:t>月28日；监测</w:t>
            </w:r>
            <w:r>
              <w:rPr>
                <w:snapToGrid w:val="0"/>
                <w:kern w:val="0"/>
                <w:sz w:val="21"/>
                <w:szCs w:val="21"/>
              </w:rPr>
              <w:t>1</w:t>
            </w:r>
            <w:r>
              <w:rPr>
                <w:rFonts w:hAnsi="宋体"/>
                <w:snapToGrid w:val="0"/>
                <w:kern w:val="0"/>
                <w:sz w:val="21"/>
                <w:szCs w:val="21"/>
              </w:rPr>
              <w:t>天，每天采样</w:t>
            </w:r>
            <w:r>
              <w:rPr>
                <w:snapToGrid w:val="0"/>
                <w:kern w:val="0"/>
                <w:sz w:val="21"/>
                <w:szCs w:val="21"/>
              </w:rPr>
              <w:t>1</w:t>
            </w:r>
            <w:r>
              <w:rPr>
                <w:rFonts w:hAnsi="宋体"/>
                <w:snapToGrid w:val="0"/>
                <w:kern w:val="0"/>
                <w:sz w:val="21"/>
                <w:szCs w:val="21"/>
              </w:rPr>
              <w:t>次。</w:t>
            </w:r>
          </w:p>
          <w:p>
            <w:pPr>
              <w:autoSpaceDE w:val="0"/>
              <w:autoSpaceDN w:val="0"/>
              <w:adjustRightInd w:val="0"/>
              <w:ind w:firstLine="420"/>
              <w:rPr>
                <w:snapToGrid w:val="0"/>
                <w:kern w:val="0"/>
                <w:sz w:val="21"/>
                <w:szCs w:val="21"/>
              </w:rPr>
            </w:pPr>
            <w:r>
              <w:rPr>
                <w:rFonts w:hAnsi="宋体"/>
                <w:snapToGrid w:val="0"/>
                <w:kern w:val="0"/>
                <w:sz w:val="21"/>
                <w:szCs w:val="21"/>
              </w:rPr>
              <w:t>（</w:t>
            </w:r>
            <w:r>
              <w:rPr>
                <w:snapToGrid w:val="0"/>
                <w:kern w:val="0"/>
                <w:sz w:val="21"/>
                <w:szCs w:val="21"/>
              </w:rPr>
              <w:t>2</w:t>
            </w:r>
            <w:r>
              <w:rPr>
                <w:rFonts w:hAnsi="宋体"/>
                <w:snapToGrid w:val="0"/>
                <w:kern w:val="0"/>
                <w:sz w:val="21"/>
                <w:szCs w:val="21"/>
              </w:rPr>
              <w:t>）评价标准与方法：</w:t>
            </w:r>
          </w:p>
          <w:p>
            <w:pPr>
              <w:autoSpaceDE w:val="0"/>
              <w:autoSpaceDN w:val="0"/>
              <w:adjustRightInd w:val="0"/>
              <w:ind w:firstLine="420"/>
              <w:rPr>
                <w:snapToGrid w:val="0"/>
                <w:kern w:val="0"/>
                <w:sz w:val="21"/>
                <w:szCs w:val="21"/>
              </w:rPr>
            </w:pPr>
            <w:r>
              <w:rPr>
                <w:rFonts w:hint="eastAsia"/>
                <w:snapToGrid w:val="0"/>
                <w:kern w:val="0"/>
                <w:sz w:val="21"/>
                <w:szCs w:val="21"/>
              </w:rPr>
              <w:t>T</w:t>
            </w:r>
            <w:r>
              <w:rPr>
                <w:snapToGrid w:val="0"/>
                <w:kern w:val="0"/>
                <w:sz w:val="21"/>
                <w:szCs w:val="21"/>
              </w:rPr>
              <w:t>1</w:t>
            </w:r>
            <w:r>
              <w:rPr>
                <w:rFonts w:hAnsi="宋体"/>
                <w:snapToGrid w:val="0"/>
                <w:kern w:val="0"/>
                <w:sz w:val="21"/>
                <w:szCs w:val="21"/>
              </w:rPr>
              <w:t>分别按照《土壤环境质量农用地土壤污染风险管控标准（试行）》（</w:t>
            </w:r>
            <w:r>
              <w:rPr>
                <w:snapToGrid w:val="0"/>
                <w:kern w:val="0"/>
                <w:sz w:val="21"/>
                <w:szCs w:val="21"/>
              </w:rPr>
              <w:t>GB15618-2018</w:t>
            </w:r>
            <w:r>
              <w:rPr>
                <w:rFonts w:hAnsi="宋体"/>
                <w:snapToGrid w:val="0"/>
                <w:kern w:val="0"/>
                <w:sz w:val="21"/>
                <w:szCs w:val="21"/>
              </w:rPr>
              <w:t>）和《土壤环境质量建设用地土壤污染风险管控标准（试行）》（</w:t>
            </w:r>
            <w:r>
              <w:rPr>
                <w:snapToGrid w:val="0"/>
                <w:kern w:val="0"/>
                <w:sz w:val="21"/>
                <w:szCs w:val="21"/>
              </w:rPr>
              <w:t>GB36600-2018</w:t>
            </w:r>
            <w:r>
              <w:rPr>
                <w:rFonts w:hAnsi="宋体"/>
                <w:snapToGrid w:val="0"/>
                <w:kern w:val="0"/>
                <w:sz w:val="21"/>
                <w:szCs w:val="21"/>
              </w:rPr>
              <w:t>）进行评价；</w:t>
            </w:r>
            <w:r>
              <w:rPr>
                <w:rFonts w:hint="eastAsia"/>
                <w:snapToGrid w:val="0"/>
                <w:kern w:val="0"/>
                <w:sz w:val="21"/>
                <w:szCs w:val="21"/>
              </w:rPr>
              <w:t>T</w:t>
            </w:r>
            <w:r>
              <w:rPr>
                <w:snapToGrid w:val="0"/>
                <w:kern w:val="0"/>
                <w:sz w:val="21"/>
                <w:szCs w:val="21"/>
              </w:rPr>
              <w:t>2</w:t>
            </w:r>
            <w:r>
              <w:rPr>
                <w:rFonts w:hint="eastAsia"/>
                <w:snapToGrid w:val="0"/>
                <w:kern w:val="0"/>
                <w:sz w:val="21"/>
                <w:szCs w:val="21"/>
              </w:rPr>
              <w:t>、T</w:t>
            </w:r>
            <w:r>
              <w:rPr>
                <w:snapToGrid w:val="0"/>
                <w:kern w:val="0"/>
                <w:sz w:val="21"/>
                <w:szCs w:val="21"/>
              </w:rPr>
              <w:t>3</w:t>
            </w:r>
            <w:r>
              <w:rPr>
                <w:rFonts w:hint="eastAsia"/>
                <w:snapToGrid w:val="0"/>
                <w:kern w:val="0"/>
                <w:sz w:val="21"/>
                <w:szCs w:val="21"/>
              </w:rPr>
              <w:t>、T</w:t>
            </w:r>
            <w:r>
              <w:rPr>
                <w:snapToGrid w:val="0"/>
                <w:kern w:val="0"/>
                <w:sz w:val="21"/>
                <w:szCs w:val="21"/>
              </w:rPr>
              <w:t>4</w:t>
            </w:r>
            <w:r>
              <w:rPr>
                <w:rFonts w:hAnsi="宋体"/>
                <w:snapToGrid w:val="0"/>
                <w:kern w:val="0"/>
                <w:sz w:val="21"/>
                <w:szCs w:val="21"/>
              </w:rPr>
              <w:t>按照《土壤环境质量建设用地土壤污染风险管控标准（试行）》（</w:t>
            </w:r>
            <w:r>
              <w:rPr>
                <w:snapToGrid w:val="0"/>
                <w:kern w:val="0"/>
                <w:sz w:val="21"/>
                <w:szCs w:val="21"/>
              </w:rPr>
              <w:t>GB36600-2018</w:t>
            </w:r>
            <w:r>
              <w:rPr>
                <w:rFonts w:hAnsi="宋体"/>
                <w:snapToGrid w:val="0"/>
                <w:kern w:val="0"/>
                <w:sz w:val="21"/>
                <w:szCs w:val="21"/>
              </w:rPr>
              <w:t>）进行评价；</w:t>
            </w:r>
            <w:r>
              <w:rPr>
                <w:snapToGrid w:val="0"/>
                <w:kern w:val="0"/>
                <w:sz w:val="21"/>
                <w:szCs w:val="21"/>
              </w:rPr>
              <w:t>T5</w:t>
            </w:r>
            <w:r>
              <w:rPr>
                <w:rFonts w:hAnsi="宋体"/>
                <w:snapToGrid w:val="0"/>
                <w:kern w:val="0"/>
                <w:sz w:val="21"/>
                <w:szCs w:val="21"/>
              </w:rPr>
              <w:t>和</w:t>
            </w:r>
            <w:r>
              <w:rPr>
                <w:snapToGrid w:val="0"/>
                <w:kern w:val="0"/>
                <w:sz w:val="21"/>
                <w:szCs w:val="21"/>
              </w:rPr>
              <w:t>T6</w:t>
            </w:r>
            <w:r>
              <w:rPr>
                <w:rFonts w:hAnsi="宋体"/>
                <w:snapToGrid w:val="0"/>
                <w:kern w:val="0"/>
                <w:sz w:val="21"/>
                <w:szCs w:val="21"/>
              </w:rPr>
              <w:t>按照《土壤环境质量农用地土壤污染风险管控标准（试行）》（</w:t>
            </w:r>
            <w:r>
              <w:rPr>
                <w:snapToGrid w:val="0"/>
                <w:kern w:val="0"/>
                <w:sz w:val="21"/>
                <w:szCs w:val="21"/>
              </w:rPr>
              <w:t>GB15618-2018</w:t>
            </w:r>
            <w:r>
              <w:rPr>
                <w:rFonts w:hAnsi="宋体"/>
                <w:snapToGrid w:val="0"/>
                <w:kern w:val="0"/>
                <w:sz w:val="21"/>
                <w:szCs w:val="21"/>
              </w:rPr>
              <w:t>）进行评价。土壤环境质量现状评价方法采用标准指数法，根据现状监测数据进行超标率的分析</w:t>
            </w:r>
          </w:p>
          <w:p>
            <w:pPr>
              <w:autoSpaceDE w:val="0"/>
              <w:autoSpaceDN w:val="0"/>
              <w:adjustRightInd w:val="0"/>
              <w:ind w:firstLine="420"/>
              <w:rPr>
                <w:rFonts w:hAnsi="宋体"/>
                <w:snapToGrid w:val="0"/>
                <w:kern w:val="0"/>
                <w:sz w:val="21"/>
                <w:szCs w:val="21"/>
              </w:rPr>
            </w:pPr>
            <w:r>
              <w:rPr>
                <w:rFonts w:hAnsi="宋体"/>
                <w:snapToGrid w:val="0"/>
                <w:kern w:val="0"/>
                <w:sz w:val="21"/>
                <w:szCs w:val="21"/>
              </w:rPr>
              <w:t>选用《土壤环境质量建设用地土壤污染风险管控标准》评价拟建项目土壤符合性分析：拟建项目井场范围内按照该标准评价主要原因：拟建项目为</w:t>
            </w:r>
            <w:r>
              <w:rPr>
                <w:rFonts w:hint="eastAsia" w:hAnsi="宋体"/>
                <w:snapToGrid w:val="0"/>
                <w:kern w:val="0"/>
                <w:sz w:val="21"/>
                <w:szCs w:val="21"/>
              </w:rPr>
              <w:t>油气资源勘探项目</w:t>
            </w:r>
            <w:r>
              <w:rPr>
                <w:rFonts w:hAnsi="宋体"/>
                <w:snapToGrid w:val="0"/>
                <w:kern w:val="0"/>
                <w:sz w:val="21"/>
                <w:szCs w:val="21"/>
              </w:rPr>
              <w:t>，用地主要为</w:t>
            </w:r>
            <w:r>
              <w:rPr>
                <w:rFonts w:hint="eastAsia" w:hAnsi="宋体"/>
                <w:snapToGrid w:val="0"/>
                <w:kern w:val="0"/>
                <w:sz w:val="21"/>
                <w:szCs w:val="21"/>
              </w:rPr>
              <w:t>农用地</w:t>
            </w:r>
            <w:r>
              <w:rPr>
                <w:rFonts w:hAnsi="宋体"/>
                <w:snapToGrid w:val="0"/>
                <w:kern w:val="0"/>
                <w:sz w:val="21"/>
                <w:szCs w:val="21"/>
              </w:rPr>
              <w:t>，项目占地为临时用地，没有调规成建设用地，但</w:t>
            </w:r>
            <w:r>
              <w:rPr>
                <w:rFonts w:hint="eastAsia" w:hAnsi="宋体"/>
                <w:snapToGrid w:val="0"/>
                <w:kern w:val="0"/>
                <w:sz w:val="21"/>
                <w:szCs w:val="21"/>
              </w:rPr>
              <w:t>项目占地</w:t>
            </w:r>
            <w:r>
              <w:rPr>
                <w:rFonts w:hAnsi="宋体"/>
                <w:snapToGrid w:val="0"/>
                <w:kern w:val="0"/>
                <w:sz w:val="21"/>
                <w:szCs w:val="21"/>
              </w:rPr>
              <w:t>为既成事实的工程占地和工矿企业占地，且项目钻井过程中钻井泥浆、钻井岩屑等物料深入地下，为便于后期对该地块土壤的评估，本次按照建设用地的标准监测较全面的因子，从而表征现状为后期土壤修复评估提供较准确的背景值依据；加之建设用地的标准值中包含了农用地的大部分指标，在一定程度上有一定的代表性；同时为了更好</w:t>
            </w:r>
            <w:r>
              <w:rPr>
                <w:rFonts w:hint="eastAsia" w:hAnsi="宋体"/>
                <w:snapToGrid w:val="0"/>
                <w:kern w:val="0"/>
                <w:sz w:val="21"/>
                <w:szCs w:val="21"/>
                <w:lang w:val="en-US" w:eastAsia="zh-CN"/>
              </w:rPr>
              <w:t>地</w:t>
            </w:r>
            <w:r>
              <w:rPr>
                <w:rFonts w:hAnsi="宋体"/>
                <w:snapToGrid w:val="0"/>
                <w:kern w:val="0"/>
                <w:sz w:val="21"/>
                <w:szCs w:val="21"/>
              </w:rPr>
              <w:t>反应区域农用地土壤现状，因此在场地内外的耕地均同时按照农用地进行评价，作为区域农用地的背景依据。</w:t>
            </w:r>
          </w:p>
          <w:p>
            <w:pPr>
              <w:autoSpaceDE w:val="0"/>
              <w:autoSpaceDN w:val="0"/>
              <w:adjustRightInd w:val="0"/>
              <w:ind w:firstLine="420"/>
              <w:rPr>
                <w:snapToGrid w:val="0"/>
                <w:kern w:val="0"/>
                <w:sz w:val="21"/>
                <w:szCs w:val="21"/>
              </w:rPr>
            </w:pPr>
            <w:r>
              <w:rPr>
                <w:rFonts w:hAnsi="宋体"/>
                <w:snapToGrid w:val="0"/>
                <w:kern w:val="0"/>
                <w:sz w:val="21"/>
                <w:szCs w:val="21"/>
              </w:rPr>
              <w:t>（</w:t>
            </w:r>
            <w:r>
              <w:rPr>
                <w:snapToGrid w:val="0"/>
                <w:kern w:val="0"/>
                <w:sz w:val="21"/>
                <w:szCs w:val="21"/>
              </w:rPr>
              <w:t>3</w:t>
            </w:r>
            <w:r>
              <w:rPr>
                <w:rFonts w:hAnsi="宋体"/>
                <w:snapToGrid w:val="0"/>
                <w:kern w:val="0"/>
                <w:sz w:val="21"/>
                <w:szCs w:val="21"/>
              </w:rPr>
              <w:t>）监测结果及评价：</w:t>
            </w:r>
          </w:p>
          <w:p>
            <w:pPr>
              <w:adjustRightInd w:val="0"/>
              <w:snapToGrid w:val="0"/>
              <w:ind w:firstLine="420"/>
              <w:jc w:val="left"/>
              <w:rPr>
                <w:snapToGrid w:val="0"/>
                <w:kern w:val="0"/>
                <w:sz w:val="21"/>
                <w:szCs w:val="21"/>
              </w:rPr>
            </w:pPr>
            <w:r>
              <w:rPr>
                <w:rFonts w:hAnsi="宋体"/>
                <w:snapToGrid w:val="0"/>
                <w:kern w:val="0"/>
                <w:sz w:val="21"/>
                <w:szCs w:val="21"/>
              </w:rPr>
              <w:t>土壤环境质量现状监测结果统计及评价见表</w:t>
            </w:r>
            <w:r>
              <w:rPr>
                <w:snapToGrid w:val="0"/>
                <w:kern w:val="0"/>
                <w:sz w:val="21"/>
                <w:szCs w:val="21"/>
              </w:rPr>
              <w:t>3-</w:t>
            </w:r>
            <w:r>
              <w:rPr>
                <w:rFonts w:hint="eastAsia"/>
                <w:snapToGrid w:val="0"/>
                <w:kern w:val="0"/>
                <w:sz w:val="21"/>
                <w:szCs w:val="21"/>
              </w:rPr>
              <w:t>1</w:t>
            </w:r>
            <w:r>
              <w:rPr>
                <w:snapToGrid w:val="0"/>
                <w:kern w:val="0"/>
                <w:sz w:val="21"/>
                <w:szCs w:val="21"/>
              </w:rPr>
              <w:t>1~3-14</w:t>
            </w:r>
            <w:r>
              <w:rPr>
                <w:rFonts w:hAnsi="宋体"/>
                <w:snapToGrid w:val="0"/>
                <w:kern w:val="0"/>
                <w:sz w:val="21"/>
                <w:szCs w:val="21"/>
              </w:rPr>
              <w:t>。</w:t>
            </w:r>
          </w:p>
          <w:p>
            <w:pPr>
              <w:ind w:firstLine="0" w:firstLineChars="0"/>
              <w:jc w:val="center"/>
              <w:rPr>
                <w:b/>
                <w:snapToGrid w:val="0"/>
                <w:kern w:val="0"/>
                <w:sz w:val="21"/>
                <w:szCs w:val="21"/>
              </w:rPr>
            </w:pPr>
            <w:r>
              <w:rPr>
                <w:rFonts w:hint="eastAsia"/>
                <w:b/>
                <w:snapToGrid w:val="0"/>
                <w:kern w:val="0"/>
                <w:sz w:val="21"/>
                <w:szCs w:val="21"/>
              </w:rPr>
              <w:t>表</w:t>
            </w:r>
            <w:r>
              <w:rPr>
                <w:b/>
                <w:snapToGrid w:val="0"/>
                <w:kern w:val="0"/>
                <w:sz w:val="21"/>
                <w:szCs w:val="21"/>
              </w:rPr>
              <w:t>3-</w:t>
            </w:r>
            <w:r>
              <w:rPr>
                <w:rFonts w:hint="eastAsia"/>
                <w:b/>
                <w:snapToGrid w:val="0"/>
                <w:kern w:val="0"/>
                <w:sz w:val="21"/>
                <w:szCs w:val="21"/>
              </w:rPr>
              <w:t>1</w:t>
            </w:r>
            <w:r>
              <w:rPr>
                <w:b/>
                <w:snapToGrid w:val="0"/>
                <w:kern w:val="0"/>
                <w:sz w:val="21"/>
                <w:szCs w:val="21"/>
              </w:rPr>
              <w:t xml:space="preserve">1  </w:t>
            </w:r>
            <w:r>
              <w:rPr>
                <w:rFonts w:hint="eastAsia"/>
                <w:b/>
                <w:snapToGrid w:val="0"/>
                <w:kern w:val="0"/>
                <w:sz w:val="21"/>
                <w:szCs w:val="21"/>
              </w:rPr>
              <w:t>特征因子现状监测统计表单位：</w:t>
            </w:r>
            <w:r>
              <w:rPr>
                <w:b/>
                <w:snapToGrid w:val="0"/>
                <w:kern w:val="0"/>
                <w:sz w:val="21"/>
                <w:szCs w:val="21"/>
              </w:rPr>
              <w:t>mg/kg</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631"/>
              <w:gridCol w:w="767"/>
              <w:gridCol w:w="767"/>
              <w:gridCol w:w="968"/>
              <w:gridCol w:w="1073"/>
              <w:gridCol w:w="767"/>
              <w:gridCol w:w="968"/>
              <w:gridCol w:w="1073"/>
              <w:gridCol w:w="767"/>
              <w:gridCol w:w="968"/>
              <w:gridCol w:w="1073"/>
              <w:gridCol w:w="767"/>
              <w:gridCol w:w="767"/>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gridSpan w:val="2"/>
                  <w:vMerge w:val="restart"/>
                  <w:tcBorders>
                    <w:tl2br w:val="single" w:color="auto" w:sz="4" w:space="0"/>
                  </w:tcBorders>
                  <w:vAlign w:val="center"/>
                </w:tcPr>
                <w:p>
                  <w:pPr>
                    <w:widowControl/>
                    <w:spacing w:line="240" w:lineRule="auto"/>
                    <w:ind w:left="-72" w:leftChars="-30" w:right="-72" w:rightChars="-30" w:firstLine="0" w:firstLineChars="0"/>
                    <w:jc w:val="right"/>
                    <w:rPr>
                      <w:kern w:val="0"/>
                      <w:sz w:val="21"/>
                      <w:szCs w:val="21"/>
                    </w:rPr>
                  </w:pPr>
                  <w:r>
                    <w:rPr>
                      <w:kern w:val="0"/>
                      <w:sz w:val="21"/>
                      <w:szCs w:val="21"/>
                    </w:rPr>
                    <w:t>监测点位</w:t>
                  </w:r>
                </w:p>
                <w:p>
                  <w:pPr>
                    <w:ind w:firstLine="0" w:firstLineChars="0"/>
                    <w:jc w:val="left"/>
                    <w:rPr>
                      <w:kern w:val="0"/>
                      <w:sz w:val="21"/>
                      <w:szCs w:val="21"/>
                    </w:rPr>
                  </w:pPr>
                </w:p>
                <w:p>
                  <w:pPr>
                    <w:ind w:firstLine="0" w:firstLineChars="0"/>
                    <w:jc w:val="left"/>
                    <w:rPr>
                      <w:b/>
                      <w:snapToGrid w:val="0"/>
                      <w:kern w:val="0"/>
                      <w:sz w:val="21"/>
                      <w:szCs w:val="21"/>
                    </w:rPr>
                  </w:pPr>
                  <w:r>
                    <w:rPr>
                      <w:kern w:val="0"/>
                      <w:sz w:val="21"/>
                      <w:szCs w:val="21"/>
                    </w:rPr>
                    <w:t>监测因子</w:t>
                  </w:r>
                </w:p>
              </w:tc>
              <w:tc>
                <w:tcPr>
                  <w:tcW w:w="7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1#</w:t>
                  </w:r>
                  <w:r>
                    <w:rPr>
                      <w:rFonts w:hint="eastAsia" w:ascii="宋体" w:hAnsi="宋体" w:cs="宋体"/>
                      <w:kern w:val="0"/>
                      <w:sz w:val="21"/>
                      <w:szCs w:val="21"/>
                    </w:rPr>
                    <w:t>井场内井口处</w:t>
                  </w:r>
                </w:p>
              </w:tc>
              <w:tc>
                <w:tcPr>
                  <w:tcW w:w="2808" w:type="dxa"/>
                  <w:gridSpan w:val="3"/>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2#</w:t>
                  </w:r>
                  <w:r>
                    <w:rPr>
                      <w:rFonts w:hint="eastAsia" w:ascii="宋体" w:hAnsi="宋体" w:cs="宋体"/>
                      <w:kern w:val="0"/>
                      <w:sz w:val="21"/>
                      <w:szCs w:val="21"/>
                    </w:rPr>
                    <w:t>井场内东侧</w:t>
                  </w:r>
                </w:p>
              </w:tc>
              <w:tc>
                <w:tcPr>
                  <w:tcW w:w="2808" w:type="dxa"/>
                  <w:gridSpan w:val="3"/>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3#</w:t>
                  </w:r>
                  <w:r>
                    <w:rPr>
                      <w:rFonts w:hint="eastAsia" w:ascii="宋体" w:hAnsi="宋体" w:cs="宋体"/>
                      <w:kern w:val="0"/>
                      <w:sz w:val="21"/>
                      <w:szCs w:val="21"/>
                    </w:rPr>
                    <w:t>井场内东南侧</w:t>
                  </w:r>
                </w:p>
              </w:tc>
              <w:tc>
                <w:tcPr>
                  <w:tcW w:w="2808" w:type="dxa"/>
                  <w:gridSpan w:val="3"/>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4#</w:t>
                  </w:r>
                  <w:r>
                    <w:rPr>
                      <w:rFonts w:hint="eastAsia" w:ascii="宋体" w:hAnsi="宋体" w:cs="宋体"/>
                      <w:kern w:val="0"/>
                      <w:sz w:val="21"/>
                      <w:szCs w:val="21"/>
                    </w:rPr>
                    <w:t>井场内西南侧</w:t>
                  </w:r>
                </w:p>
              </w:tc>
              <w:tc>
                <w:tcPr>
                  <w:tcW w:w="7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5#</w:t>
                  </w:r>
                  <w:r>
                    <w:rPr>
                      <w:rFonts w:hint="eastAsia" w:ascii="宋体" w:hAnsi="宋体" w:cs="宋体"/>
                      <w:kern w:val="0"/>
                      <w:sz w:val="21"/>
                      <w:szCs w:val="21"/>
                    </w:rPr>
                    <w:t>项目东北侧旱地</w:t>
                  </w:r>
                </w:p>
              </w:tc>
              <w:tc>
                <w:tcPr>
                  <w:tcW w:w="7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kern w:val="0"/>
                      <w:sz w:val="21"/>
                      <w:szCs w:val="21"/>
                    </w:rPr>
                    <w:t>6#</w:t>
                  </w:r>
                  <w:r>
                    <w:rPr>
                      <w:rFonts w:hint="eastAsia" w:ascii="宋体" w:hAnsi="宋体" w:cs="宋体"/>
                      <w:kern w:val="0"/>
                      <w:sz w:val="21"/>
                      <w:szCs w:val="21"/>
                    </w:rPr>
                    <w:t>项目西南侧水田内</w:t>
                  </w:r>
                </w:p>
              </w:tc>
              <w:tc>
                <w:tcPr>
                  <w:tcW w:w="609" w:type="dxa"/>
                  <w:vMerge w:val="restart"/>
                  <w:vAlign w:val="center"/>
                </w:tcPr>
                <w:p>
                  <w:pPr>
                    <w:widowControl/>
                    <w:spacing w:line="240" w:lineRule="auto"/>
                    <w:ind w:left="-72" w:leftChars="-30" w:right="-72" w:rightChars="-30" w:firstLine="0" w:firstLineChars="0"/>
                    <w:jc w:val="center"/>
                    <w:rPr>
                      <w:kern w:val="0"/>
                      <w:sz w:val="21"/>
                      <w:szCs w:val="21"/>
                    </w:rPr>
                  </w:pPr>
                  <w:r>
                    <w:rPr>
                      <w:rFonts w:hint="eastAsia"/>
                      <w:kern w:val="0"/>
                      <w:sz w:val="21"/>
                      <w:szCs w:val="21"/>
                    </w:rPr>
                    <w:t>标准值</w:t>
                  </w:r>
                  <w:r>
                    <w:rPr>
                      <w:kern w:val="0"/>
                      <w:sz w:val="21"/>
                      <w:szCs w:val="21"/>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gridSpan w:val="2"/>
                  <w:vMerge w:val="continue"/>
                  <w:tcBorders>
                    <w:tl2br w:val="single" w:color="auto" w:sz="4" w:space="0"/>
                  </w:tcBorders>
                  <w:vAlign w:val="center"/>
                </w:tcPr>
                <w:p>
                  <w:pPr>
                    <w:ind w:firstLine="0" w:firstLineChars="0"/>
                    <w:jc w:val="center"/>
                    <w:rPr>
                      <w:b/>
                      <w:snapToGrid w:val="0"/>
                      <w:kern w:val="0"/>
                      <w:sz w:val="21"/>
                      <w:szCs w:val="21"/>
                    </w:rPr>
                  </w:pP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0~20cm</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0~50cm</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50~150cm</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150~200cm</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0~50cm</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50~150cm</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150~200cm</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0~50cm</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50~150cm</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150~200cm</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0~20cm</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0~20cm</w:t>
                  </w:r>
                </w:p>
              </w:tc>
              <w:tc>
                <w:tcPr>
                  <w:tcW w:w="609" w:type="dxa"/>
                  <w:vMerge w:val="continue"/>
                  <w:vAlign w:val="center"/>
                </w:tcPr>
                <w:p>
                  <w:pPr>
                    <w:ind w:firstLine="0" w:firstLineChars="0"/>
                    <w:jc w:val="center"/>
                    <w:rPr>
                      <w:b/>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pH</w:t>
                  </w:r>
                </w:p>
              </w:tc>
              <w:tc>
                <w:tcPr>
                  <w:tcW w:w="631"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无量纲</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7.23</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7.27</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7.48</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7.49</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7.15</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7.36</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7.31</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7.35</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7.15</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7.12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7.76</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7.45</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全盐量</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0.62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0.79</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0.75</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0.92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0.22</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0.28</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0.35</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0.65</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0.68</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0.62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0.62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1.05</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石油烃（</w:t>
                  </w:r>
                  <w:r>
                    <w:rPr>
                      <w:kern w:val="0"/>
                      <w:sz w:val="21"/>
                      <w:szCs w:val="21"/>
                    </w:rPr>
                    <w:t>C</w:t>
                  </w:r>
                  <w:r>
                    <w:rPr>
                      <w:kern w:val="0"/>
                      <w:sz w:val="21"/>
                      <w:szCs w:val="21"/>
                      <w:vertAlign w:val="subscript"/>
                    </w:rPr>
                    <w:t>10</w:t>
                  </w:r>
                  <w:r>
                    <w:rPr>
                      <w:kern w:val="0"/>
                      <w:sz w:val="21"/>
                      <w:szCs w:val="21"/>
                    </w:rPr>
                    <w:t>~C</w:t>
                  </w:r>
                  <w:r>
                    <w:rPr>
                      <w:kern w:val="0"/>
                      <w:sz w:val="21"/>
                      <w:szCs w:val="21"/>
                      <w:vertAlign w:val="subscript"/>
                    </w:rPr>
                    <w:t>40</w:t>
                  </w:r>
                  <w:r>
                    <w:rPr>
                      <w:rFonts w:hint="eastAsia" w:ascii="宋体" w:hAnsi="宋体" w:cs="宋体"/>
                      <w:kern w:val="0"/>
                      <w:sz w:val="21"/>
                      <w:szCs w:val="21"/>
                    </w:rPr>
                    <w:t>）</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mg/kg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31</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22</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21</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34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23</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23</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26</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26</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27</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25</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26</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石油烃</w:t>
                  </w:r>
                </w:p>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r>
                    <w:rPr>
                      <w:kern w:val="0"/>
                      <w:sz w:val="21"/>
                      <w:szCs w:val="21"/>
                    </w:rPr>
                    <w:t>C</w:t>
                  </w:r>
                  <w:r>
                    <w:rPr>
                      <w:kern w:val="0"/>
                      <w:sz w:val="21"/>
                      <w:szCs w:val="21"/>
                      <w:vertAlign w:val="subscript"/>
                    </w:rPr>
                    <w:t>6</w:t>
                  </w:r>
                  <w:r>
                    <w:rPr>
                      <w:kern w:val="0"/>
                      <w:sz w:val="21"/>
                      <w:szCs w:val="21"/>
                    </w:rPr>
                    <w:t>-C</w:t>
                  </w:r>
                  <w:r>
                    <w:rPr>
                      <w:kern w:val="0"/>
                      <w:sz w:val="21"/>
                      <w:szCs w:val="21"/>
                      <w:vertAlign w:val="subscript"/>
                    </w:rPr>
                    <w:t>9</w:t>
                  </w:r>
                  <w:r>
                    <w:rPr>
                      <w:rFonts w:hint="eastAsia" w:ascii="宋体" w:hAnsi="宋体" w:cs="宋体"/>
                      <w:kern w:val="0"/>
                      <w:sz w:val="21"/>
                      <w:szCs w:val="21"/>
                    </w:rPr>
                    <w:t>）</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mg/kg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石油类</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mg/kg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29</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6</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47</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46</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45</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30</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7</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6</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21</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34</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氯离子</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&lt;0.014</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硫化物</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mg/kg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0.38</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0.13</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0.02</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0.06</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&lt;0.04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0.46</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0.38</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0.29</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0.42</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钡</w:t>
                  </w:r>
                </w:p>
              </w:tc>
              <w:tc>
                <w:tcPr>
                  <w:tcW w:w="631"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mg/kg</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164</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220</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198</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158</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168</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162</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48</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38</w:t>
                  </w:r>
                </w:p>
              </w:tc>
              <w:tc>
                <w:tcPr>
                  <w:tcW w:w="968"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46</w:t>
                  </w:r>
                </w:p>
              </w:tc>
              <w:tc>
                <w:tcPr>
                  <w:tcW w:w="1073"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150</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142</w:t>
                  </w:r>
                </w:p>
              </w:tc>
              <w:tc>
                <w:tcPr>
                  <w:tcW w:w="767" w:type="dxa"/>
                  <w:vAlign w:val="center"/>
                </w:tcPr>
                <w:p>
                  <w:pPr>
                    <w:widowControl/>
                    <w:spacing w:line="240" w:lineRule="auto"/>
                    <w:ind w:left="-72" w:leftChars="-30" w:right="-72" w:rightChars="-30" w:firstLine="0" w:firstLineChars="0"/>
                    <w:jc w:val="center"/>
                    <w:rPr>
                      <w:kern w:val="0"/>
                      <w:sz w:val="21"/>
                      <w:szCs w:val="21"/>
                    </w:rPr>
                  </w:pPr>
                  <w:r>
                    <w:rPr>
                      <w:kern w:val="0"/>
                      <w:sz w:val="21"/>
                      <w:szCs w:val="21"/>
                    </w:rPr>
                    <w:t>139</w:t>
                  </w:r>
                </w:p>
              </w:tc>
              <w:tc>
                <w:tcPr>
                  <w:tcW w:w="609" w:type="dxa"/>
                  <w:vAlign w:val="center"/>
                </w:tcPr>
                <w:p>
                  <w:pPr>
                    <w:widowControl/>
                    <w:spacing w:line="240" w:lineRule="auto"/>
                    <w:ind w:left="-72" w:leftChars="-30" w:right="-72" w:rightChars="-30" w:firstLine="0" w:firstLineChars="0"/>
                    <w:jc w:val="center"/>
                    <w:rPr>
                      <w:rFonts w:ascii="宋体" w:hAnsi="宋体" w:cs="宋体"/>
                      <w:kern w:val="0"/>
                      <w:sz w:val="21"/>
                      <w:szCs w:val="21"/>
                    </w:rPr>
                  </w:pPr>
                  <w:r>
                    <w:rPr>
                      <w:rFonts w:hint="eastAsia" w:ascii="宋体" w:hAnsi="宋体" w:cs="宋体"/>
                      <w:kern w:val="0"/>
                      <w:sz w:val="21"/>
                      <w:szCs w:val="21"/>
                    </w:rPr>
                    <w:t>/</w:t>
                  </w:r>
                </w:p>
              </w:tc>
            </w:tr>
          </w:tbl>
          <w:p>
            <w:pPr>
              <w:ind w:firstLine="0" w:firstLineChars="0"/>
              <w:jc w:val="center"/>
              <w:rPr>
                <w:b/>
                <w:bCs/>
                <w:snapToGrid w:val="0"/>
                <w:kern w:val="0"/>
                <w:sz w:val="21"/>
                <w:szCs w:val="21"/>
              </w:rPr>
            </w:pPr>
            <w:r>
              <w:rPr>
                <w:rFonts w:hint="eastAsia"/>
                <w:b/>
                <w:snapToGrid w:val="0"/>
                <w:kern w:val="0"/>
                <w:sz w:val="21"/>
                <w:szCs w:val="21"/>
              </w:rPr>
              <w:t>表</w:t>
            </w:r>
            <w:r>
              <w:rPr>
                <w:b/>
                <w:snapToGrid w:val="0"/>
                <w:kern w:val="0"/>
                <w:sz w:val="21"/>
                <w:szCs w:val="21"/>
              </w:rPr>
              <w:t>3-</w:t>
            </w:r>
            <w:r>
              <w:rPr>
                <w:rFonts w:hint="eastAsia"/>
                <w:b/>
                <w:snapToGrid w:val="0"/>
                <w:kern w:val="0"/>
                <w:sz w:val="21"/>
                <w:szCs w:val="21"/>
              </w:rPr>
              <w:t>1</w:t>
            </w:r>
            <w:r>
              <w:rPr>
                <w:b/>
                <w:snapToGrid w:val="0"/>
                <w:kern w:val="0"/>
                <w:sz w:val="21"/>
                <w:szCs w:val="21"/>
              </w:rPr>
              <w:t xml:space="preserve">2   </w:t>
            </w:r>
            <w:r>
              <w:rPr>
                <w:rFonts w:hint="eastAsia"/>
                <w:b/>
                <w:snapToGrid w:val="0"/>
                <w:kern w:val="0"/>
                <w:sz w:val="21"/>
                <w:szCs w:val="21"/>
              </w:rPr>
              <w:t>场地内土壤现状监测统计表</w:t>
            </w:r>
            <w:r>
              <w:rPr>
                <w:rFonts w:hint="eastAsia"/>
                <w:b/>
                <w:bCs/>
                <w:snapToGrid w:val="0"/>
                <w:kern w:val="0"/>
                <w:sz w:val="21"/>
                <w:szCs w:val="21"/>
              </w:rPr>
              <w:t>单位：</w:t>
            </w:r>
            <w:r>
              <w:rPr>
                <w:b/>
                <w:bCs/>
                <w:snapToGrid w:val="0"/>
                <w:kern w:val="0"/>
                <w:sz w:val="21"/>
                <w:szCs w:val="21"/>
              </w:rPr>
              <w:t>mg/kg</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148"/>
              <w:gridCol w:w="2813"/>
              <w:gridCol w:w="2012"/>
              <w:gridCol w:w="1631"/>
              <w:gridCol w:w="1631"/>
              <w:gridCol w:w="1678"/>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716" w:type="pct"/>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autoSpaceDE w:val="0"/>
                    <w:autoSpaceDN w:val="0"/>
                    <w:adjustRightInd w:val="0"/>
                    <w:snapToGrid w:val="0"/>
                    <w:spacing w:line="240" w:lineRule="auto"/>
                    <w:ind w:firstLine="0" w:firstLineChars="0"/>
                    <w:jc w:val="right"/>
                    <w:rPr>
                      <w:snapToGrid w:val="0"/>
                      <w:kern w:val="0"/>
                      <w:sz w:val="21"/>
                      <w:szCs w:val="21"/>
                    </w:rPr>
                  </w:pPr>
                  <w:r>
                    <w:rPr>
                      <w:rFonts w:hint="eastAsia"/>
                      <w:snapToGrid w:val="0"/>
                      <w:kern w:val="0"/>
                      <w:sz w:val="21"/>
                      <w:szCs w:val="21"/>
                    </w:rPr>
                    <w:t>监测点位</w:t>
                  </w:r>
                </w:p>
                <w:p>
                  <w:pPr>
                    <w:autoSpaceDE w:val="0"/>
                    <w:autoSpaceDN w:val="0"/>
                    <w:adjustRightInd w:val="0"/>
                    <w:snapToGrid w:val="0"/>
                    <w:spacing w:line="240" w:lineRule="auto"/>
                    <w:ind w:firstLine="0" w:firstLineChars="0"/>
                    <w:rPr>
                      <w:snapToGrid w:val="0"/>
                      <w:kern w:val="0"/>
                      <w:sz w:val="21"/>
                      <w:szCs w:val="21"/>
                    </w:rPr>
                  </w:pPr>
                  <w:r>
                    <w:rPr>
                      <w:rFonts w:hint="eastAsia"/>
                      <w:snapToGrid w:val="0"/>
                      <w:kern w:val="0"/>
                      <w:sz w:val="21"/>
                      <w:szCs w:val="21"/>
                    </w:rPr>
                    <w:t>监测项目</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监测结果</w:t>
                  </w:r>
                </w:p>
              </w:tc>
              <w:tc>
                <w:tcPr>
                  <w:tcW w:w="1242"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《土壤环境质量建设用地土壤污染风险管控标准（试行）》（</w:t>
                  </w:r>
                  <w:r>
                    <w:rPr>
                      <w:snapToGrid w:val="0"/>
                      <w:kern w:val="0"/>
                      <w:sz w:val="21"/>
                      <w:szCs w:val="21"/>
                    </w:rPr>
                    <w:t>GB36600-2018</w:t>
                  </w:r>
                  <w:r>
                    <w:rPr>
                      <w:rFonts w:hint="eastAsia"/>
                      <w:snapToGrid w:val="0"/>
                      <w:kern w:val="0"/>
                      <w:sz w:val="21"/>
                      <w:szCs w:val="21"/>
                    </w:rPr>
                    <w:t>）</w:t>
                  </w:r>
                </w:p>
              </w:tc>
              <w:tc>
                <w:tcPr>
                  <w:tcW w:w="1276"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《土壤环境质量农用地土壤污染风险管控标准（试行）》（</w:t>
                  </w:r>
                  <w:r>
                    <w:rPr>
                      <w:snapToGrid w:val="0"/>
                      <w:kern w:val="0"/>
                      <w:sz w:val="21"/>
                      <w:szCs w:val="21"/>
                    </w:rPr>
                    <w:t>GB15618-2018</w:t>
                  </w:r>
                  <w:r>
                    <w:rPr>
                      <w:rFonts w:hint="eastAsia"/>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716" w:type="pct"/>
                  <w:gridSpan w:val="3"/>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76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w:t>
                  </w:r>
                  <w:r>
                    <w:rPr>
                      <w:rFonts w:hint="eastAsia"/>
                      <w:snapToGrid w:val="0"/>
                      <w:kern w:val="0"/>
                      <w:sz w:val="21"/>
                      <w:szCs w:val="21"/>
                    </w:rPr>
                    <w:t>井场井口处</w:t>
                  </w:r>
                </w:p>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mg/kg</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标准值</w:t>
                  </w:r>
                </w:p>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mg/kg</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Sij</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标准值（水田）</w:t>
                  </w:r>
                </w:p>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mg/kg</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Sij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43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重金属和无机物</w:t>
                  </w: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sz w:val="21"/>
                      <w:szCs w:val="21"/>
                    </w:rPr>
                    <w:t>2.34</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60</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0.0390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sz w:val="21"/>
                      <w:szCs w:val="21"/>
                    </w:rPr>
                    <w:t>25</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0.0936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镉</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65</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0.0015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0.6</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0.1667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六价铬</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5.7</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0.2105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铜</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18000</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0.0006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100</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5</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铅</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17</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800</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0.0213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140</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0.1214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6</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汞</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0.012</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38</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0.0003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0.6</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7</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镍</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18</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900</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0.0200 </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100</w:t>
                  </w:r>
                </w:p>
              </w:tc>
              <w:tc>
                <w:tcPr>
                  <w:tcW w:w="63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sz w:val="21"/>
                      <w:szCs w:val="21"/>
                    </w:rPr>
                    <w:t xml:space="preserve">0.1800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8</w:t>
                  </w:r>
                </w:p>
              </w:tc>
              <w:tc>
                <w:tcPr>
                  <w:tcW w:w="43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半挥发性有机物</w:t>
                  </w: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氯甲烷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sz w:val="21"/>
                      <w:szCs w:val="21"/>
                    </w:rPr>
                    <w:t>&lt;1.0×10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37</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9</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&lt;1.0×10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0.43</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10</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w:t>
                  </w:r>
                  <w:r>
                    <w:rPr>
                      <w:rFonts w:hint="eastAsia"/>
                      <w:sz w:val="21"/>
                      <w:szCs w:val="21"/>
                    </w:rPr>
                    <w:t>二氯乙烯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&lt;1.0×10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66</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11</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二氯甲烷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&lt;1.5×10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616</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12</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反</w:t>
                  </w:r>
                  <w:r>
                    <w:rPr>
                      <w:sz w:val="21"/>
                      <w:szCs w:val="21"/>
                    </w:rPr>
                    <w:t>-1,2-</w:t>
                  </w:r>
                  <w:r>
                    <w:rPr>
                      <w:rFonts w:hint="eastAsia"/>
                      <w:sz w:val="21"/>
                      <w:szCs w:val="21"/>
                    </w:rPr>
                    <w:t>二氯乙烯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&lt;1.4×10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54</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13</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w:t>
                  </w:r>
                  <w:r>
                    <w:rPr>
                      <w:rFonts w:hint="eastAsia"/>
                      <w:sz w:val="21"/>
                      <w:szCs w:val="21"/>
                    </w:rPr>
                    <w:t>二氯乙烷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9</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14</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顺</w:t>
                  </w:r>
                  <w:r>
                    <w:rPr>
                      <w:sz w:val="21"/>
                      <w:szCs w:val="21"/>
                    </w:rPr>
                    <w:t>-1,2-</w:t>
                  </w:r>
                  <w:r>
                    <w:rPr>
                      <w:rFonts w:hint="eastAsia"/>
                      <w:sz w:val="21"/>
                      <w:szCs w:val="21"/>
                    </w:rPr>
                    <w:t>二氯乙烯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&lt;1.3×10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596</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15</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氯仿</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&lt;1.1×10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0.9</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16</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1,1,1-</w:t>
                  </w:r>
                  <w:r>
                    <w:rPr>
                      <w:rFonts w:hint="eastAsia"/>
                      <w:sz w:val="21"/>
                      <w:szCs w:val="21"/>
                    </w:rPr>
                    <w:t>三氯乙烷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&lt;1.3×10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840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17</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四氯化碳</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&lt;1.3×10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2.8</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18</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&lt;1.9×10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4</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19</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&lt;1.3×10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20</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三氯乙烯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2.8</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21</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&lt;1.1×10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22</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甲苯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&lt;1.3×10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1200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23</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1,1,2-</w:t>
                  </w:r>
                  <w:r>
                    <w:rPr>
                      <w:rFonts w:hint="eastAsia"/>
                      <w:sz w:val="21"/>
                      <w:szCs w:val="21"/>
                    </w:rPr>
                    <w:t>三氯乙烷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2.8</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24</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四氯乙烯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&lt;1.4×10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53</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25</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氯苯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270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26</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1,1,1,2-</w:t>
                  </w:r>
                  <w:r>
                    <w:rPr>
                      <w:rFonts w:hint="eastAsia"/>
                      <w:sz w:val="21"/>
                      <w:szCs w:val="21"/>
                    </w:rPr>
                    <w:t>四氯乙烷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27</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乙苯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28</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28</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间</w:t>
                  </w:r>
                  <w:r>
                    <w:rPr>
                      <w:sz w:val="21"/>
                      <w:szCs w:val="21"/>
                    </w:rPr>
                    <w:t>,</w:t>
                  </w:r>
                  <w:r>
                    <w:rPr>
                      <w:rFonts w:hint="eastAsia"/>
                      <w:sz w:val="21"/>
                      <w:szCs w:val="21"/>
                    </w:rPr>
                    <w:t>对</w:t>
                  </w:r>
                  <w:r>
                    <w:rPr>
                      <w:sz w:val="21"/>
                      <w:szCs w:val="21"/>
                    </w:rPr>
                    <w:t>-</w:t>
                  </w:r>
                  <w:r>
                    <w:rPr>
                      <w:rFonts w:hint="eastAsia"/>
                      <w:sz w:val="21"/>
                      <w:szCs w:val="21"/>
                    </w:rPr>
                    <w:t>二甲苯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570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29</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邻</w:t>
                  </w:r>
                  <w:r>
                    <w:rPr>
                      <w:sz w:val="21"/>
                      <w:szCs w:val="21"/>
                    </w:rPr>
                    <w:t>-</w:t>
                  </w:r>
                  <w:r>
                    <w:rPr>
                      <w:rFonts w:hint="eastAsia"/>
                      <w:sz w:val="21"/>
                      <w:szCs w:val="21"/>
                    </w:rPr>
                    <w:t>二甲苯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640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30</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苯乙烯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&lt;1.1×10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1290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31</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1,1,2,2-</w:t>
                  </w:r>
                  <w:r>
                    <w:rPr>
                      <w:rFonts w:hint="eastAsia"/>
                      <w:sz w:val="21"/>
                      <w:szCs w:val="21"/>
                    </w:rPr>
                    <w:t>四氯乙烷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6.8</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32</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1,2,3-</w:t>
                  </w:r>
                  <w:r>
                    <w:rPr>
                      <w:rFonts w:hint="eastAsia"/>
                      <w:sz w:val="21"/>
                      <w:szCs w:val="21"/>
                    </w:rPr>
                    <w:t>三氯丙烷</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&lt;1.2×10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33</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1,4-</w:t>
                  </w:r>
                  <w:r>
                    <w:rPr>
                      <w:rFonts w:hint="eastAsia"/>
                      <w:sz w:val="21"/>
                      <w:szCs w:val="21"/>
                    </w:rPr>
                    <w:t>二氯苯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&lt;1.5×10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34</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w:t>
                  </w:r>
                  <w:r>
                    <w:rPr>
                      <w:rFonts w:hint="eastAsia"/>
                      <w:sz w:val="21"/>
                      <w:szCs w:val="21"/>
                    </w:rPr>
                    <w:t>二氯苯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&lt;1.5×10</w:t>
                  </w:r>
                  <w:r>
                    <w:rPr>
                      <w:sz w:val="21"/>
                      <w:szCs w:val="21"/>
                      <w:vertAlign w:val="superscript"/>
                    </w:rPr>
                    <w:t>-3</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560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35</w:t>
                  </w:r>
                </w:p>
              </w:tc>
              <w:tc>
                <w:tcPr>
                  <w:tcW w:w="43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半挥发性有机物</w:t>
                  </w: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苯胺</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sz w:val="21"/>
                      <w:szCs w:val="21"/>
                    </w:rPr>
                    <w:t>&lt;0.04</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260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36</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w:t>
                  </w:r>
                  <w:r>
                    <w:rPr>
                      <w:rFonts w:hint="eastAsia"/>
                      <w:sz w:val="21"/>
                      <w:szCs w:val="21"/>
                    </w:rPr>
                    <w:t>氯苯酚</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&lt;0.06</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2256</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37</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sz w:val="21"/>
                      <w:szCs w:val="21"/>
                    </w:rPr>
                  </w:pPr>
                  <w:r>
                    <w:rPr>
                      <w:rFonts w:hint="eastAsia"/>
                      <w:sz w:val="21"/>
                      <w:szCs w:val="21"/>
                    </w:rPr>
                    <w:t>硝基苯</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&lt;0.09</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76</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38</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萘</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&lt;0.09</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70</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39</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苯并</w:t>
                  </w:r>
                  <w:r>
                    <w:rPr>
                      <w:sz w:val="21"/>
                      <w:szCs w:val="21"/>
                    </w:rPr>
                    <w:t>[a]</w:t>
                  </w:r>
                  <w:r>
                    <w:rPr>
                      <w:rFonts w:hint="eastAsia"/>
                      <w:sz w:val="21"/>
                      <w:szCs w:val="21"/>
                    </w:rPr>
                    <w:t>蒽</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40</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䓛</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1293</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41</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苯并</w:t>
                  </w:r>
                  <w:r>
                    <w:rPr>
                      <w:sz w:val="21"/>
                      <w:szCs w:val="21"/>
                    </w:rPr>
                    <w:t>[b]</w:t>
                  </w:r>
                  <w:r>
                    <w:rPr>
                      <w:rFonts w:hint="eastAsia"/>
                      <w:sz w:val="21"/>
                      <w:szCs w:val="21"/>
                    </w:rPr>
                    <w:t>荧蒽</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&lt;0.2</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42</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苯并</w:t>
                  </w:r>
                  <w:r>
                    <w:rPr>
                      <w:sz w:val="21"/>
                      <w:szCs w:val="21"/>
                    </w:rPr>
                    <w:t>[k]</w:t>
                  </w:r>
                  <w:r>
                    <w:rPr>
                      <w:rFonts w:hint="eastAsia"/>
                      <w:sz w:val="21"/>
                      <w:szCs w:val="21"/>
                    </w:rPr>
                    <w:t>荧蒽</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151</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43</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苯并</w:t>
                  </w:r>
                  <w:r>
                    <w:rPr>
                      <w:sz w:val="21"/>
                      <w:szCs w:val="21"/>
                    </w:rPr>
                    <w:t>[a]</w:t>
                  </w:r>
                  <w:r>
                    <w:rPr>
                      <w:rFonts w:hint="eastAsia"/>
                      <w:sz w:val="21"/>
                      <w:szCs w:val="21"/>
                    </w:rPr>
                    <w:t>芘</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44</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茚并</w:t>
                  </w:r>
                  <w:r>
                    <w:rPr>
                      <w:sz w:val="21"/>
                      <w:szCs w:val="21"/>
                    </w:rPr>
                    <w:t>[1,2,3-cd]</w:t>
                  </w:r>
                  <w:r>
                    <w:rPr>
                      <w:rFonts w:hint="eastAsia"/>
                      <w:sz w:val="21"/>
                      <w:szCs w:val="21"/>
                    </w:rPr>
                    <w:t>芘</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45</w:t>
                  </w:r>
                </w:p>
              </w:tc>
              <w:tc>
                <w:tcPr>
                  <w:tcW w:w="437"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p>
              </w:tc>
              <w:tc>
                <w:tcPr>
                  <w:tcW w:w="10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rFonts w:hint="eastAsia"/>
                      <w:sz w:val="21"/>
                      <w:szCs w:val="21"/>
                    </w:rPr>
                    <w:t>二苯并</w:t>
                  </w:r>
                  <w:r>
                    <w:rPr>
                      <w:sz w:val="21"/>
                      <w:szCs w:val="21"/>
                    </w:rPr>
                    <w:t>[a,h]</w:t>
                  </w:r>
                  <w:r>
                    <w:rPr>
                      <w:rFonts w:hint="eastAsia"/>
                      <w:sz w:val="21"/>
                      <w:szCs w:val="21"/>
                    </w:rPr>
                    <w:t>蒽</w:t>
                  </w:r>
                </w:p>
              </w:tc>
              <w:tc>
                <w:tcPr>
                  <w:tcW w:w="766"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&lt;0.1</w:t>
                  </w:r>
                </w:p>
              </w:tc>
              <w:tc>
                <w:tcPr>
                  <w:tcW w:w="62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1.5</w:t>
                  </w:r>
                </w:p>
              </w:tc>
              <w:tc>
                <w:tcPr>
                  <w:tcW w:w="6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63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snapToGrid w:val="0"/>
                      <w:kern w:val="0"/>
                      <w:sz w:val="21"/>
                      <w:szCs w:val="21"/>
                    </w:rPr>
                  </w:pPr>
                  <w:r>
                    <w:rPr>
                      <w:snapToGrid w:val="0"/>
                      <w:kern w:val="0"/>
                      <w:sz w:val="21"/>
                      <w:szCs w:val="21"/>
                    </w:rPr>
                    <w:t>/</w:t>
                  </w:r>
                </w:p>
              </w:tc>
            </w:tr>
          </w:tbl>
          <w:p>
            <w:pPr>
              <w:ind w:firstLine="0" w:firstLineChars="0"/>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3-13  </w:t>
            </w:r>
            <w:r>
              <w:rPr>
                <w:rFonts w:hint="eastAsia"/>
                <w:b/>
                <w:snapToGrid w:val="0"/>
                <w:kern w:val="0"/>
                <w:sz w:val="21"/>
                <w:szCs w:val="21"/>
              </w:rPr>
              <w:t>场地外农用地现状监测统计表单位：</w:t>
            </w:r>
            <w:r>
              <w:rPr>
                <w:b/>
                <w:snapToGrid w:val="0"/>
                <w:kern w:val="0"/>
                <w:sz w:val="21"/>
                <w:szCs w:val="21"/>
              </w:rPr>
              <w:t>mg/kg</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1920"/>
              <w:gridCol w:w="1647"/>
              <w:gridCol w:w="1439"/>
              <w:gridCol w:w="1865"/>
              <w:gridCol w:w="1917"/>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916" w:type="pct"/>
                  <w:vMerge w:val="restart"/>
                  <w:tcBorders>
                    <w:top w:val="single" w:color="auto" w:sz="4" w:space="0"/>
                    <w:left w:val="single" w:color="auto" w:sz="2" w:space="0"/>
                    <w:bottom w:val="single" w:color="auto" w:sz="4" w:space="0"/>
                    <w:right w:val="single" w:color="auto" w:sz="4" w:space="0"/>
                    <w:tl2br w:val="single" w:color="auto" w:sz="2" w:space="0"/>
                  </w:tcBorders>
                  <w:vAlign w:val="center"/>
                </w:tcPr>
                <w:p>
                  <w:pPr>
                    <w:widowControl/>
                    <w:adjustRightInd w:val="0"/>
                    <w:snapToGrid w:val="0"/>
                    <w:spacing w:line="240" w:lineRule="auto"/>
                    <w:ind w:firstLine="0" w:firstLineChars="0"/>
                    <w:jc w:val="right"/>
                    <w:textAlignment w:val="center"/>
                    <w:rPr>
                      <w:b/>
                      <w:snapToGrid w:val="0"/>
                      <w:kern w:val="0"/>
                      <w:sz w:val="21"/>
                      <w:szCs w:val="21"/>
                    </w:rPr>
                  </w:pPr>
                  <w:r>
                    <w:rPr>
                      <w:b/>
                      <w:snapToGrid w:val="0"/>
                      <w:kern w:val="0"/>
                      <w:sz w:val="21"/>
                      <w:szCs w:val="21"/>
                    </w:rPr>
                    <w:t>监测点位</w:t>
                  </w:r>
                </w:p>
                <w:p>
                  <w:pPr>
                    <w:adjustRightInd w:val="0"/>
                    <w:snapToGrid w:val="0"/>
                    <w:spacing w:line="240" w:lineRule="auto"/>
                    <w:ind w:firstLine="0" w:firstLineChars="0"/>
                    <w:jc w:val="left"/>
                    <w:textAlignment w:val="center"/>
                    <w:rPr>
                      <w:b/>
                      <w:snapToGrid w:val="0"/>
                      <w:kern w:val="0"/>
                      <w:sz w:val="21"/>
                      <w:szCs w:val="21"/>
                    </w:rPr>
                  </w:pPr>
                  <w:r>
                    <w:rPr>
                      <w:b/>
                      <w:bCs/>
                      <w:snapToGrid w:val="0"/>
                      <w:kern w:val="0"/>
                      <w:sz w:val="21"/>
                      <w:szCs w:val="21"/>
                    </w:rPr>
                    <w:t>监测项目</w:t>
                  </w:r>
                </w:p>
              </w:tc>
              <w:tc>
                <w:tcPr>
                  <w:tcW w:w="1906"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textAlignment w:val="center"/>
                    <w:rPr>
                      <w:b/>
                      <w:snapToGrid w:val="0"/>
                      <w:kern w:val="0"/>
                      <w:sz w:val="21"/>
                      <w:szCs w:val="21"/>
                    </w:rPr>
                  </w:pPr>
                  <w:r>
                    <w:rPr>
                      <w:rFonts w:hint="eastAsia"/>
                      <w:b/>
                      <w:snapToGrid w:val="0"/>
                      <w:kern w:val="0"/>
                      <w:sz w:val="21"/>
                      <w:szCs w:val="21"/>
                    </w:rPr>
                    <w:t>5#项目东北侧旱地</w:t>
                  </w:r>
                  <w:r>
                    <w:rPr>
                      <w:b/>
                      <w:snapToGrid w:val="0"/>
                      <w:kern w:val="0"/>
                      <w:sz w:val="21"/>
                      <w:szCs w:val="21"/>
                    </w:rPr>
                    <w:t>（pH=7.76）</w:t>
                  </w:r>
                </w:p>
              </w:tc>
              <w:tc>
                <w:tcPr>
                  <w:tcW w:w="2178"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
                      <w:snapToGrid w:val="0"/>
                      <w:kern w:val="0"/>
                      <w:sz w:val="21"/>
                      <w:szCs w:val="21"/>
                    </w:rPr>
                  </w:pPr>
                  <w:r>
                    <w:rPr>
                      <w:rFonts w:hint="eastAsia"/>
                      <w:b/>
                      <w:snapToGrid w:val="0"/>
                      <w:kern w:val="0"/>
                      <w:sz w:val="21"/>
                      <w:szCs w:val="21"/>
                    </w:rPr>
                    <w:t>6#项目西南侧水田内</w:t>
                  </w:r>
                  <w:r>
                    <w:rPr>
                      <w:b/>
                      <w:snapToGrid w:val="0"/>
                      <w:kern w:val="0"/>
                      <w:sz w:val="21"/>
                      <w:szCs w:val="21"/>
                    </w:rPr>
                    <w:t>（pH=</w:t>
                  </w:r>
                  <w:r>
                    <w:rPr>
                      <w:b/>
                      <w:bCs/>
                      <w:snapToGrid w:val="0"/>
                      <w:kern w:val="0"/>
                      <w:sz w:val="21"/>
                      <w:szCs w:val="21"/>
                    </w:rPr>
                    <w:t>7.45</w:t>
                  </w:r>
                  <w:r>
                    <w:rPr>
                      <w:b/>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916" w:type="pct"/>
                  <w:vMerge w:val="continue"/>
                  <w:tcBorders>
                    <w:top w:val="single" w:color="auto" w:sz="4" w:space="0"/>
                    <w:left w:val="single" w:color="auto" w:sz="2" w:space="0"/>
                    <w:bottom w:val="single" w:color="auto" w:sz="4" w:space="0"/>
                    <w:right w:val="single" w:color="auto" w:sz="4" w:space="0"/>
                    <w:tl2br w:val="single" w:color="auto" w:sz="4" w:space="0"/>
                  </w:tcBorders>
                  <w:vAlign w:val="center"/>
                </w:tcPr>
                <w:p>
                  <w:pPr>
                    <w:widowControl/>
                    <w:adjustRightInd w:val="0"/>
                    <w:snapToGrid w:val="0"/>
                    <w:spacing w:line="240" w:lineRule="auto"/>
                    <w:ind w:firstLine="0" w:firstLineChars="0"/>
                    <w:jc w:val="center"/>
                    <w:textAlignment w:val="center"/>
                    <w:rPr>
                      <w:b/>
                      <w:snapToGrid w:val="0"/>
                      <w:kern w:val="0"/>
                      <w:sz w:val="21"/>
                      <w:szCs w:val="21"/>
                    </w:rPr>
                  </w:pP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监测结果</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标准值</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Sij</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监测结果</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标准值</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textAlignment w:val="center"/>
                    <w:rPr>
                      <w:b/>
                      <w:snapToGrid w:val="0"/>
                      <w:kern w:val="0"/>
                      <w:sz w:val="21"/>
                      <w:szCs w:val="21"/>
                    </w:rPr>
                  </w:pPr>
                  <w:r>
                    <w:rPr>
                      <w:b/>
                      <w:snapToGrid w:val="0"/>
                      <w:kern w:val="0"/>
                      <w:sz w:val="21"/>
                      <w:szCs w:val="21"/>
                    </w:rPr>
                    <w:t>Sij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砷</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adjustRightInd w:val="0"/>
                    <w:snapToGrid w:val="0"/>
                    <w:spacing w:line="240" w:lineRule="auto"/>
                    <w:ind w:firstLine="0" w:firstLineChars="0"/>
                    <w:jc w:val="center"/>
                    <w:rPr>
                      <w:kern w:val="0"/>
                      <w:sz w:val="21"/>
                      <w:szCs w:val="21"/>
                    </w:rPr>
                  </w:pPr>
                  <w:r>
                    <w:rPr>
                      <w:sz w:val="21"/>
                      <w:szCs w:val="21"/>
                    </w:rPr>
                    <w:t>2.16</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25</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0.0864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2.24</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25</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镉</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0.18</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0.6</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0.3000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0.21</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0.6</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0.3500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铬</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51</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250</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0.2040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56</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300</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铜</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9.6</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100</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0.0960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10.3</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100</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铅</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17</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170</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0.1000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18</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140</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汞</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0.017</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3.4</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0.0050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0.013</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0.6</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镍</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18</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190</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0.0947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19</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100</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16" w:type="pct"/>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锌</w:t>
                  </w:r>
                </w:p>
              </w:tc>
              <w:tc>
                <w:tcPr>
                  <w:tcW w:w="73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47</w:t>
                  </w:r>
                </w:p>
              </w:tc>
              <w:tc>
                <w:tcPr>
                  <w:tcW w:w="62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300</w:t>
                  </w:r>
                </w:p>
              </w:tc>
              <w:tc>
                <w:tcPr>
                  <w:tcW w:w="54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0.1567 </w:t>
                  </w:r>
                </w:p>
              </w:tc>
              <w:tc>
                <w:tcPr>
                  <w:tcW w:w="71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47</w:t>
                  </w:r>
                </w:p>
              </w:tc>
              <w:tc>
                <w:tcPr>
                  <w:tcW w:w="7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rFonts w:ascii="宋体" w:hAnsi="宋体" w:cs="宋体"/>
                      <w:b/>
                      <w:bCs/>
                      <w:sz w:val="21"/>
                      <w:szCs w:val="21"/>
                    </w:rPr>
                  </w:pPr>
                  <w:r>
                    <w:rPr>
                      <w:rFonts w:hint="eastAsia"/>
                      <w:b/>
                      <w:bCs/>
                      <w:sz w:val="21"/>
                      <w:szCs w:val="21"/>
                    </w:rPr>
                    <w:t>250</w:t>
                  </w:r>
                </w:p>
              </w:tc>
              <w:tc>
                <w:tcPr>
                  <w:tcW w:w="7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djustRightInd w:val="0"/>
                    <w:snapToGrid w:val="0"/>
                    <w:spacing w:line="240" w:lineRule="auto"/>
                    <w:ind w:firstLine="0" w:firstLineChars="0"/>
                    <w:jc w:val="center"/>
                    <w:rPr>
                      <w:sz w:val="21"/>
                      <w:szCs w:val="21"/>
                    </w:rPr>
                  </w:pPr>
                  <w:r>
                    <w:rPr>
                      <w:sz w:val="21"/>
                      <w:szCs w:val="21"/>
                    </w:rPr>
                    <w:t xml:space="preserve">0.1880 </w:t>
                  </w:r>
                </w:p>
              </w:tc>
            </w:tr>
          </w:tbl>
          <w:p>
            <w:pPr>
              <w:ind w:firstLine="0" w:firstLineChars="0"/>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3-14  </w:t>
            </w:r>
            <w:r>
              <w:rPr>
                <w:rFonts w:hint="eastAsia"/>
                <w:b/>
                <w:snapToGrid w:val="0"/>
                <w:kern w:val="0"/>
                <w:sz w:val="21"/>
                <w:szCs w:val="21"/>
              </w:rPr>
              <w:t>土壤理化特性调查表</w:t>
            </w:r>
          </w:p>
          <w:tbl>
            <w:tblPr>
              <w:tblStyle w:val="9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81"/>
              <w:gridCol w:w="4724"/>
              <w:gridCol w:w="5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22" w:type="dxa"/>
                  <w:gridSpan w:val="2"/>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时间</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2024/2/28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22" w:type="dxa"/>
                  <w:gridSpan w:val="2"/>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点号</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1#井场内</w:t>
                  </w:r>
                  <w:r>
                    <w:rPr>
                      <w:rFonts w:hint="eastAsia" w:ascii="Times New Roman" w:hAnsi="Times New Roman" w:eastAsia="宋体" w:cs="Times New Roman"/>
                      <w:kern w:val="0"/>
                      <w:sz w:val="21"/>
                      <w:szCs w:val="21"/>
                      <w:lang w:eastAsia="zh-CN" w:bidi="ar"/>
                    </w:rPr>
                    <w:t>井口处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22" w:type="dxa"/>
                  <w:gridSpan w:val="2"/>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经度</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E：</w:t>
                  </w:r>
                  <w:r>
                    <w:rPr>
                      <w:rFonts w:hint="eastAsia" w:ascii="Times New Roman" w:hAnsi="Times New Roman" w:eastAsia="宋体" w:cs="Times New Roman"/>
                      <w:sz w:val="21"/>
                      <w:szCs w:val="21"/>
                      <w:lang w:eastAsia="zh-CN"/>
                    </w:rPr>
                    <w:t>107.331078</w:t>
                  </w:r>
                  <w:r>
                    <w:rPr>
                      <w:rFonts w:hint="eastAsia" w:ascii="Times New Roman" w:hAnsi="Times New Roman" w:eastAsia="宋体" w:cs="Times New Roman"/>
                      <w:kern w:val="0"/>
                      <w:sz w:val="21"/>
                      <w:szCs w:val="21"/>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22" w:type="dxa"/>
                  <w:gridSpan w:val="2"/>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纬度</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N：</w:t>
                  </w:r>
                  <w:r>
                    <w:rPr>
                      <w:rFonts w:hint="eastAsia" w:ascii="Times New Roman" w:hAnsi="Times New Roman" w:eastAsia="宋体" w:cs="Times New Roman"/>
                      <w:sz w:val="21"/>
                      <w:szCs w:val="21"/>
                      <w:lang w:eastAsia="zh-CN"/>
                    </w:rPr>
                    <w:t>31.482256°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22" w:type="dxa"/>
                  <w:gridSpan w:val="2"/>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层次</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0-0.2m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restart"/>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现场记录</w:t>
                  </w: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颜色</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棕色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tcBorders>
                    <w:top w:val="nil"/>
                  </w:tcBorders>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结构</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团粒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tcBorders>
                    <w:top w:val="nil"/>
                  </w:tcBorders>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质地</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壤土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tcBorders>
                    <w:top w:val="nil"/>
                  </w:tcBorders>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砂砾含量</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5</w:t>
                  </w:r>
                  <w:r>
                    <w:rPr>
                      <w:rFonts w:ascii="Times New Roman" w:hAnsi="Times New Roman" w:eastAsia="宋体" w:cs="Times New Roman"/>
                      <w:kern w:val="0"/>
                      <w:sz w:val="21"/>
                      <w:szCs w:val="21"/>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tcBorders>
                    <w:top w:val="nil"/>
                  </w:tcBorders>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其他异物</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restart"/>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实验室测定</w:t>
                  </w: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氧化还原电位（mV）</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pH值（无量纲）</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阳离子交换量（cmol</w:t>
                  </w:r>
                  <w:r>
                    <w:rPr>
                      <w:rFonts w:ascii="Times New Roman" w:hAnsi="Times New Roman" w:eastAsia="宋体" w:cs="Times New Roman"/>
                      <w:kern w:val="0"/>
                      <w:sz w:val="21"/>
                      <w:szCs w:val="21"/>
                      <w:vertAlign w:val="superscript"/>
                      <w:lang w:eastAsia="zh-CN" w:bidi="ar"/>
                    </w:rPr>
                    <w:t>+</w:t>
                  </w:r>
                  <w:r>
                    <w:rPr>
                      <w:rFonts w:ascii="Times New Roman" w:hAnsi="Times New Roman" w:eastAsia="宋体" w:cs="Times New Roman"/>
                      <w:kern w:val="0"/>
                      <w:sz w:val="21"/>
                      <w:szCs w:val="21"/>
                      <w:lang w:eastAsia="zh-CN" w:bidi="ar"/>
                    </w:rPr>
                    <w:t>/kg）</w:t>
                  </w:r>
                </w:p>
              </w:tc>
              <w:tc>
                <w:tcPr>
                  <w:tcW w:w="5367" w:type="dxa"/>
                  <w:shd w:val="clear" w:color="auto" w:fill="auto"/>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渗透性（mm/min）</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0.287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容重（g/cm</w:t>
                  </w:r>
                  <w:r>
                    <w:rPr>
                      <w:rFonts w:ascii="Times New Roman" w:hAnsi="Times New Roman" w:eastAsia="宋体" w:cs="Times New Roman"/>
                      <w:kern w:val="0"/>
                      <w:sz w:val="21"/>
                      <w:szCs w:val="21"/>
                      <w:vertAlign w:val="superscript"/>
                      <w:lang w:eastAsia="zh-CN" w:bidi="ar"/>
                    </w:rPr>
                    <w:t>3</w:t>
                  </w:r>
                  <w:r>
                    <w:rPr>
                      <w:rFonts w:ascii="Times New Roman" w:hAnsi="Times New Roman" w:eastAsia="宋体" w:cs="Times New Roman"/>
                      <w:kern w:val="0"/>
                      <w:sz w:val="21"/>
                      <w:szCs w:val="21"/>
                      <w:lang w:eastAsia="zh-CN" w:bidi="ar"/>
                    </w:rPr>
                    <w:t>）</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9" w:type="dxa"/>
                  <w:vMerge w:val="continue"/>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p>
              </w:tc>
              <w:tc>
                <w:tcPr>
                  <w:tcW w:w="4673"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ascii="Times New Roman" w:hAnsi="Times New Roman" w:eastAsia="宋体" w:cs="Times New Roman"/>
                      <w:kern w:val="0"/>
                      <w:sz w:val="21"/>
                      <w:szCs w:val="21"/>
                      <w:lang w:eastAsia="zh-CN" w:bidi="ar"/>
                    </w:rPr>
                    <w:t>孔隙度（体积%）</w:t>
                  </w:r>
                </w:p>
              </w:tc>
              <w:tc>
                <w:tcPr>
                  <w:tcW w:w="5367" w:type="dxa"/>
                  <w:vAlign w:val="center"/>
                </w:tcPr>
                <w:p>
                  <w:pPr>
                    <w:autoSpaceDE w:val="0"/>
                    <w:autoSpaceDN w:val="0"/>
                    <w:spacing w:line="240" w:lineRule="auto"/>
                    <w:ind w:firstLine="0" w:firstLineChars="0"/>
                    <w:jc w:val="center"/>
                    <w:rPr>
                      <w:rFonts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eastAsia="zh-CN" w:bidi="ar"/>
                    </w:rPr>
                    <w:t>38.7</w:t>
                  </w:r>
                </w:p>
              </w:tc>
            </w:tr>
          </w:tbl>
          <w:p>
            <w:pPr>
              <w:pStyle w:val="20"/>
              <w:spacing w:before="0" w:beforeAutospacing="0" w:after="0" w:afterAutospacing="0"/>
              <w:ind w:firstLine="420"/>
              <w:jc w:val="both"/>
              <w:rPr>
                <w:rFonts w:ascii="Times New Roman" w:hAnsi="Times New Roman"/>
                <w:snapToGrid w:val="0"/>
                <w:kern w:val="2"/>
                <w:sz w:val="21"/>
                <w:szCs w:val="21"/>
              </w:rPr>
            </w:pPr>
            <w:r>
              <w:rPr>
                <w:rFonts w:hint="eastAsia" w:ascii="Times New Roman" w:hAnsi="Times New Roman"/>
                <w:snapToGrid w:val="0"/>
                <w:kern w:val="2"/>
                <w:sz w:val="21"/>
                <w:szCs w:val="21"/>
              </w:rPr>
              <w:t>监测结果表明：平安7井各监测点中，场地外农用地（</w:t>
            </w:r>
            <w:r>
              <w:rPr>
                <w:rFonts w:ascii="Times New Roman" w:hAnsi="Times New Roman"/>
                <w:snapToGrid w:val="0"/>
                <w:kern w:val="2"/>
                <w:sz w:val="21"/>
                <w:szCs w:val="21"/>
              </w:rPr>
              <w:t>5#监测点及</w:t>
            </w:r>
            <w:r>
              <w:rPr>
                <w:rFonts w:hint="eastAsia" w:ascii="Times New Roman" w:hAnsi="Times New Roman"/>
                <w:snapToGrid w:val="0"/>
                <w:kern w:val="2"/>
                <w:sz w:val="21"/>
                <w:szCs w:val="21"/>
              </w:rPr>
              <w:t>6</w:t>
            </w:r>
            <w:r>
              <w:rPr>
                <w:rFonts w:ascii="Times New Roman" w:hAnsi="Times New Roman"/>
                <w:snapToGrid w:val="0"/>
                <w:kern w:val="2"/>
                <w:sz w:val="21"/>
                <w:szCs w:val="21"/>
              </w:rPr>
              <w:t>#监测点</w:t>
            </w:r>
            <w:r>
              <w:rPr>
                <w:rFonts w:hint="eastAsia" w:ascii="Times New Roman" w:hAnsi="Times New Roman"/>
                <w:snapToGrid w:val="0"/>
                <w:kern w:val="2"/>
                <w:sz w:val="21"/>
                <w:szCs w:val="21"/>
              </w:rPr>
              <w:t>）所测各项指标均不超过《土壤环境质量农用地土壤污染风险管控标准（试行）》（GB15618-2018）表1中风险筛选值；场地内建设用地（</w:t>
            </w:r>
            <w:r>
              <w:rPr>
                <w:rFonts w:ascii="Times New Roman" w:hAnsi="Times New Roman"/>
                <w:snapToGrid w:val="0"/>
                <w:kern w:val="2"/>
                <w:sz w:val="21"/>
                <w:szCs w:val="21"/>
              </w:rPr>
              <w:t>1#监测点</w:t>
            </w:r>
            <w:r>
              <w:rPr>
                <w:rFonts w:hint="eastAsia" w:ascii="Times New Roman" w:hAnsi="Times New Roman"/>
                <w:snapToGrid w:val="0"/>
                <w:kern w:val="2"/>
                <w:sz w:val="21"/>
                <w:szCs w:val="21"/>
              </w:rPr>
              <w:t>~</w:t>
            </w:r>
            <w:r>
              <w:rPr>
                <w:rFonts w:ascii="Times New Roman" w:hAnsi="Times New Roman"/>
                <w:snapToGrid w:val="0"/>
                <w:kern w:val="2"/>
                <w:sz w:val="21"/>
                <w:szCs w:val="21"/>
              </w:rPr>
              <w:t>4#监测点</w:t>
            </w:r>
            <w:r>
              <w:rPr>
                <w:rFonts w:hint="eastAsia" w:ascii="Times New Roman" w:hAnsi="Times New Roman"/>
                <w:snapToGrid w:val="0"/>
                <w:kern w:val="2"/>
                <w:sz w:val="21"/>
                <w:szCs w:val="21"/>
              </w:rPr>
              <w:t>）所测各项基本指标均不超过《土壤环境质量建设用地土壤污染风险管控标准（试行）》（GB36600-2018）表1中二类用地筛选值及《土壤环境质量农用地土壤污染风险管控标准（试行）》（GB15618-2018）表1中风险筛选值；石油烃</w:t>
            </w:r>
            <w:r>
              <w:rPr>
                <w:rFonts w:ascii="Times New Roman" w:hAnsi="Times New Roman"/>
                <w:snapToGrid w:val="0"/>
                <w:kern w:val="2"/>
                <w:sz w:val="21"/>
                <w:szCs w:val="21"/>
              </w:rPr>
              <w:t>（C</w:t>
            </w:r>
            <w:r>
              <w:rPr>
                <w:rFonts w:ascii="Times New Roman" w:hAnsi="Times New Roman"/>
                <w:snapToGrid w:val="0"/>
                <w:kern w:val="2"/>
                <w:sz w:val="21"/>
                <w:szCs w:val="21"/>
                <w:vertAlign w:val="subscript"/>
              </w:rPr>
              <w:t>10</w:t>
            </w:r>
            <w:r>
              <w:rPr>
                <w:rFonts w:ascii="Times New Roman" w:hAnsi="Times New Roman"/>
                <w:snapToGrid w:val="0"/>
                <w:kern w:val="2"/>
                <w:sz w:val="21"/>
                <w:szCs w:val="21"/>
              </w:rPr>
              <w:t>-C</w:t>
            </w:r>
            <w:r>
              <w:rPr>
                <w:rFonts w:ascii="Times New Roman" w:hAnsi="Times New Roman"/>
                <w:snapToGrid w:val="0"/>
                <w:kern w:val="2"/>
                <w:sz w:val="21"/>
                <w:szCs w:val="21"/>
                <w:vertAlign w:val="subscript"/>
              </w:rPr>
              <w:t>40</w:t>
            </w:r>
            <w:r>
              <w:rPr>
                <w:rFonts w:ascii="Times New Roman" w:hAnsi="Times New Roman"/>
                <w:snapToGrid w:val="0"/>
                <w:kern w:val="2"/>
                <w:sz w:val="21"/>
                <w:szCs w:val="21"/>
              </w:rPr>
              <w:t>）</w:t>
            </w:r>
            <w:r>
              <w:rPr>
                <w:rFonts w:hint="eastAsia" w:ascii="Times New Roman" w:hAnsi="Times New Roman"/>
                <w:snapToGrid w:val="0"/>
                <w:kern w:val="2"/>
                <w:sz w:val="21"/>
                <w:szCs w:val="21"/>
              </w:rPr>
              <w:t>满足《土壤环境质量建设用地土壤污染风险管控标准（试行）》（GB36600-2018）表2中二类用地筛选值。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adjustRightInd w:val="0"/>
              <w:snapToGrid w:val="0"/>
              <w:spacing w:line="240" w:lineRule="auto"/>
              <w:ind w:firstLine="0" w:firstLineChars="0"/>
              <w:jc w:val="center"/>
              <w:rPr>
                <w:kern w:val="0"/>
                <w:sz w:val="21"/>
                <w:szCs w:val="21"/>
              </w:rPr>
            </w:pPr>
            <w:r>
              <w:rPr>
                <w:bCs/>
                <w:sz w:val="21"/>
                <w:szCs w:val="21"/>
              </w:rPr>
              <w:t>与项目有关的原有环境污染和生态破坏问题</w:t>
            </w:r>
          </w:p>
        </w:tc>
        <w:tc>
          <w:tcPr>
            <w:tcW w:w="4712" w:type="pct"/>
            <w:vAlign w:val="center"/>
          </w:tcPr>
          <w:p>
            <w:pPr>
              <w:adjustRightInd w:val="0"/>
              <w:snapToGrid w:val="0"/>
              <w:ind w:firstLine="420"/>
              <w:rPr>
                <w:kern w:val="0"/>
                <w:sz w:val="21"/>
                <w:szCs w:val="21"/>
              </w:rPr>
            </w:pPr>
            <w:r>
              <w:rPr>
                <w:rFonts w:hint="eastAsia"/>
                <w:kern w:val="0"/>
                <w:sz w:val="21"/>
                <w:szCs w:val="21"/>
              </w:rPr>
              <w:t>平安</w:t>
            </w:r>
            <w:r>
              <w:rPr>
                <w:kern w:val="0"/>
                <w:sz w:val="21"/>
                <w:szCs w:val="21"/>
              </w:rPr>
              <w:t>7井</w:t>
            </w:r>
            <w:r>
              <w:rPr>
                <w:rFonts w:hint="eastAsia"/>
                <w:kern w:val="0"/>
                <w:sz w:val="21"/>
                <w:szCs w:val="21"/>
              </w:rPr>
              <w:t>钻井工程属新建项目，井场区域现状主要为水田、旱地。项目区域地处农村山区环境，井口周围没有其他工业污染源，不存在原有污染源问题。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 w:type="pct"/>
            <w:vAlign w:val="center"/>
          </w:tcPr>
          <w:p>
            <w:pPr>
              <w:adjustRightInd w:val="0"/>
              <w:snapToGrid w:val="0"/>
              <w:spacing w:line="240" w:lineRule="auto"/>
              <w:ind w:firstLine="0" w:firstLineChars="0"/>
              <w:jc w:val="center"/>
              <w:rPr>
                <w:bCs/>
                <w:sz w:val="21"/>
                <w:szCs w:val="21"/>
              </w:rPr>
            </w:pPr>
            <w:r>
              <w:rPr>
                <w:rFonts w:hint="eastAsia" w:ascii="宋体" w:hAnsi="宋体" w:cs="宋体"/>
                <w:snapToGrid w:val="0"/>
                <w:kern w:val="0"/>
                <w:sz w:val="21"/>
                <w:szCs w:val="21"/>
              </w:rPr>
              <w:t>生态环境保护目标</w:t>
            </w:r>
          </w:p>
        </w:tc>
        <w:tc>
          <w:tcPr>
            <w:tcW w:w="4712" w:type="pct"/>
            <w:vAlign w:val="center"/>
          </w:tcPr>
          <w:p>
            <w:pPr>
              <w:adjustRightInd w:val="0"/>
              <w:snapToGrid w:val="0"/>
              <w:ind w:firstLine="420"/>
              <w:rPr>
                <w:snapToGrid w:val="0"/>
                <w:kern w:val="0"/>
                <w:sz w:val="21"/>
                <w:szCs w:val="21"/>
              </w:rPr>
            </w:pPr>
            <w:r>
              <w:rPr>
                <w:rFonts w:hint="eastAsia"/>
                <w:snapToGrid w:val="0"/>
                <w:kern w:val="0"/>
                <w:sz w:val="21"/>
                <w:szCs w:val="21"/>
              </w:rPr>
              <w:t>根据实地调查，本次评价平安</w:t>
            </w:r>
            <w:r>
              <w:rPr>
                <w:snapToGrid w:val="0"/>
                <w:kern w:val="0"/>
                <w:sz w:val="21"/>
                <w:szCs w:val="21"/>
              </w:rPr>
              <w:t>7</w:t>
            </w:r>
            <w:r>
              <w:rPr>
                <w:rFonts w:hint="eastAsia"/>
                <w:snapToGrid w:val="0"/>
                <w:kern w:val="0"/>
                <w:sz w:val="21"/>
                <w:szCs w:val="21"/>
              </w:rPr>
              <w:t>井不在通川区北山镇总体规划区域内。项目5km风险评价范围内主要环境保护目标为北山镇、梓桐镇及区域内学校、医院及当地农户，项目位于江口街道东北侧，距北山镇场镇规划区约</w:t>
            </w:r>
            <w:r>
              <w:rPr>
                <w:snapToGrid w:val="0"/>
                <w:kern w:val="0"/>
                <w:sz w:val="21"/>
                <w:szCs w:val="21"/>
              </w:rPr>
              <w:t>1.94</w:t>
            </w:r>
            <w:r>
              <w:rPr>
                <w:rFonts w:hint="eastAsia"/>
                <w:snapToGrid w:val="0"/>
                <w:kern w:val="0"/>
                <w:sz w:val="21"/>
                <w:szCs w:val="21"/>
              </w:rPr>
              <w:t>km。</w:t>
            </w:r>
          </w:p>
          <w:p>
            <w:pPr>
              <w:adjustRightInd w:val="0"/>
              <w:snapToGrid w:val="0"/>
              <w:ind w:firstLine="420"/>
              <w:rPr>
                <w:snapToGrid w:val="0"/>
                <w:kern w:val="0"/>
                <w:sz w:val="21"/>
                <w:szCs w:val="21"/>
              </w:rPr>
            </w:pPr>
            <w:r>
              <w:rPr>
                <w:rFonts w:hint="eastAsia"/>
                <w:snapToGrid w:val="0"/>
                <w:kern w:val="0"/>
                <w:sz w:val="21"/>
                <w:szCs w:val="21"/>
              </w:rPr>
              <w:t>（1）平安</w:t>
            </w:r>
            <w:r>
              <w:rPr>
                <w:snapToGrid w:val="0"/>
                <w:kern w:val="0"/>
                <w:sz w:val="21"/>
                <w:szCs w:val="21"/>
              </w:rPr>
              <w:t>7</w:t>
            </w:r>
            <w:r>
              <w:rPr>
                <w:rFonts w:hint="eastAsia"/>
                <w:snapToGrid w:val="0"/>
                <w:kern w:val="0"/>
                <w:sz w:val="21"/>
                <w:szCs w:val="21"/>
              </w:rPr>
              <w:t>井外环境关系</w:t>
            </w:r>
          </w:p>
          <w:p>
            <w:pPr>
              <w:adjustRightInd w:val="0"/>
              <w:snapToGrid w:val="0"/>
              <w:ind w:firstLine="420"/>
              <w:rPr>
                <w:snapToGrid w:val="0"/>
                <w:kern w:val="0"/>
                <w:sz w:val="21"/>
                <w:szCs w:val="21"/>
              </w:rPr>
            </w:pPr>
            <w:r>
              <w:rPr>
                <w:rFonts w:hint="eastAsia"/>
                <w:snapToGrid w:val="0"/>
                <w:kern w:val="0"/>
                <w:sz w:val="21"/>
                <w:szCs w:val="21"/>
              </w:rPr>
              <w:t>按照《钻前工程及井场布置技术要求SY/T5466-2013》中“油气井井口距高压线及其他永久性设施不小于75m，距民宅不小于100m，距铁路、高速公路不小于200m，距学校、医院和大型油库等人口密集性、高危性场所不小于500m”。</w:t>
            </w:r>
          </w:p>
          <w:p>
            <w:pPr>
              <w:adjustRightInd w:val="0"/>
              <w:snapToGrid w:val="0"/>
              <w:ind w:firstLine="420"/>
              <w:rPr>
                <w:snapToGrid w:val="0"/>
                <w:kern w:val="0"/>
                <w:sz w:val="21"/>
                <w:szCs w:val="21"/>
              </w:rPr>
            </w:pPr>
            <w:r>
              <w:rPr>
                <w:rFonts w:hint="eastAsia"/>
                <w:snapToGrid w:val="0"/>
                <w:kern w:val="0"/>
                <w:sz w:val="21"/>
                <w:szCs w:val="21"/>
              </w:rPr>
              <w:t>根据现场调查，项目</w:t>
            </w:r>
            <w:r>
              <w:rPr>
                <w:snapToGrid w:val="0"/>
                <w:kern w:val="0"/>
                <w:sz w:val="21"/>
                <w:szCs w:val="21"/>
              </w:rPr>
              <w:t>井口0m~100m范围无农户</w:t>
            </w:r>
            <w:r>
              <w:rPr>
                <w:rFonts w:hint="eastAsia"/>
                <w:snapToGrid w:val="0"/>
                <w:kern w:val="0"/>
                <w:sz w:val="21"/>
                <w:szCs w:val="21"/>
              </w:rPr>
              <w:t>，100~500米内有少量农户分布。井口75m范围内无其他永久性设施；100m范围内没有居民；200m范围内无铁路、高速公路；500m范围内无煤矿、大型厂矿、大型油库，也无医院、无中学和小学、无自然保护区、饮用水水源保护区。符合《钻前工程及井场布置技术要求SY/T5466-2013》规定要求。</w:t>
            </w:r>
          </w:p>
          <w:p>
            <w:pPr>
              <w:adjustRightInd w:val="0"/>
              <w:snapToGrid w:val="0"/>
              <w:ind w:firstLine="420"/>
              <w:rPr>
                <w:snapToGrid w:val="0"/>
                <w:kern w:val="0"/>
                <w:sz w:val="21"/>
                <w:szCs w:val="21"/>
              </w:rPr>
            </w:pPr>
            <w:r>
              <w:rPr>
                <w:rFonts w:hint="eastAsia"/>
                <w:snapToGrid w:val="0"/>
                <w:kern w:val="0"/>
                <w:sz w:val="21"/>
                <w:szCs w:val="21"/>
              </w:rPr>
              <w:t>项目</w:t>
            </w:r>
            <w:r>
              <w:rPr>
                <w:snapToGrid w:val="0"/>
                <w:kern w:val="0"/>
                <w:sz w:val="21"/>
                <w:szCs w:val="21"/>
              </w:rPr>
              <w:t>井口0m~100m范围无农户</w:t>
            </w:r>
            <w:r>
              <w:rPr>
                <w:rFonts w:hint="eastAsia"/>
                <w:snapToGrid w:val="0"/>
                <w:kern w:val="0"/>
                <w:sz w:val="21"/>
                <w:szCs w:val="21"/>
              </w:rPr>
              <w:t>，100m~300m范围内</w:t>
            </w:r>
            <w:r>
              <w:rPr>
                <w:snapToGrid w:val="0"/>
                <w:kern w:val="0"/>
                <w:sz w:val="21"/>
                <w:szCs w:val="21"/>
              </w:rPr>
              <w:t>8</w:t>
            </w:r>
            <w:r>
              <w:rPr>
                <w:rFonts w:hint="eastAsia"/>
                <w:snapToGrid w:val="0"/>
                <w:kern w:val="0"/>
                <w:sz w:val="21"/>
                <w:szCs w:val="21"/>
              </w:rPr>
              <w:t>户</w:t>
            </w:r>
            <w:r>
              <w:rPr>
                <w:snapToGrid w:val="0"/>
                <w:kern w:val="0"/>
                <w:sz w:val="21"/>
                <w:szCs w:val="21"/>
              </w:rPr>
              <w:t>24</w:t>
            </w:r>
            <w:r>
              <w:rPr>
                <w:rFonts w:hint="eastAsia"/>
                <w:snapToGrid w:val="0"/>
                <w:kern w:val="0"/>
                <w:sz w:val="21"/>
                <w:szCs w:val="21"/>
              </w:rPr>
              <w:t>人，300m~500m范围</w:t>
            </w:r>
            <w:r>
              <w:rPr>
                <w:snapToGrid w:val="0"/>
                <w:kern w:val="0"/>
                <w:sz w:val="21"/>
                <w:szCs w:val="21"/>
              </w:rPr>
              <w:t>57</w:t>
            </w:r>
            <w:r>
              <w:rPr>
                <w:rFonts w:hint="eastAsia"/>
                <w:snapToGrid w:val="0"/>
                <w:kern w:val="0"/>
                <w:sz w:val="21"/>
                <w:szCs w:val="21"/>
              </w:rPr>
              <w:t>户</w:t>
            </w:r>
            <w:r>
              <w:rPr>
                <w:snapToGrid w:val="0"/>
                <w:kern w:val="0"/>
                <w:sz w:val="21"/>
                <w:szCs w:val="21"/>
              </w:rPr>
              <w:t>153</w:t>
            </w:r>
            <w:r>
              <w:rPr>
                <w:rFonts w:hint="eastAsia"/>
                <w:snapToGrid w:val="0"/>
                <w:kern w:val="0"/>
                <w:sz w:val="21"/>
                <w:szCs w:val="21"/>
              </w:rPr>
              <w:t>人，500m范围内有农户共</w:t>
            </w:r>
            <w:r>
              <w:rPr>
                <w:snapToGrid w:val="0"/>
                <w:kern w:val="0"/>
                <w:sz w:val="21"/>
                <w:szCs w:val="21"/>
              </w:rPr>
              <w:t>65</w:t>
            </w:r>
            <w:r>
              <w:rPr>
                <w:rFonts w:hint="eastAsia"/>
                <w:snapToGrid w:val="0"/>
                <w:kern w:val="0"/>
                <w:sz w:val="21"/>
                <w:szCs w:val="21"/>
              </w:rPr>
              <w:t>户</w:t>
            </w:r>
            <w:r>
              <w:rPr>
                <w:snapToGrid w:val="0"/>
                <w:kern w:val="0"/>
                <w:sz w:val="21"/>
                <w:szCs w:val="21"/>
              </w:rPr>
              <w:t>177</w:t>
            </w:r>
            <w:r>
              <w:rPr>
                <w:rFonts w:hint="eastAsia"/>
                <w:snapToGrid w:val="0"/>
                <w:kern w:val="0"/>
                <w:sz w:val="21"/>
                <w:szCs w:val="21"/>
              </w:rPr>
              <w:t>人。井口周边500m范围内农户主要为石龙村村民，其中最近农户位于平安</w:t>
            </w:r>
            <w:r>
              <w:rPr>
                <w:snapToGrid w:val="0"/>
                <w:kern w:val="0"/>
                <w:sz w:val="21"/>
                <w:szCs w:val="21"/>
              </w:rPr>
              <w:t>7井</w:t>
            </w:r>
            <w:r>
              <w:rPr>
                <w:rFonts w:hint="eastAsia"/>
                <w:snapToGrid w:val="0"/>
                <w:kern w:val="0"/>
                <w:sz w:val="21"/>
                <w:szCs w:val="21"/>
              </w:rPr>
              <w:t>井口西南侧，距离为</w:t>
            </w:r>
            <w:r>
              <w:rPr>
                <w:snapToGrid w:val="0"/>
                <w:kern w:val="0"/>
                <w:sz w:val="21"/>
                <w:szCs w:val="21"/>
              </w:rPr>
              <w:t>113m</w:t>
            </w:r>
            <w:r>
              <w:rPr>
                <w:rFonts w:hint="eastAsia"/>
                <w:snapToGrid w:val="0"/>
                <w:kern w:val="0"/>
                <w:sz w:val="21"/>
                <w:szCs w:val="21"/>
              </w:rPr>
              <w:t>。</w:t>
            </w:r>
          </w:p>
          <w:p>
            <w:pPr>
              <w:adjustRightInd w:val="0"/>
              <w:snapToGrid w:val="0"/>
              <w:ind w:firstLine="420"/>
              <w:rPr>
                <w:snapToGrid w:val="0"/>
                <w:kern w:val="0"/>
                <w:sz w:val="21"/>
                <w:szCs w:val="21"/>
              </w:rPr>
            </w:pPr>
            <w:r>
              <w:rPr>
                <w:rFonts w:hint="eastAsia"/>
                <w:snapToGrid w:val="0"/>
                <w:kern w:val="0"/>
                <w:sz w:val="21"/>
                <w:szCs w:val="21"/>
              </w:rPr>
              <w:t>（2）主要环境保护目标</w:t>
            </w:r>
          </w:p>
          <w:p>
            <w:pPr>
              <w:adjustRightInd w:val="0"/>
              <w:snapToGrid w:val="0"/>
              <w:ind w:firstLine="420"/>
              <w:rPr>
                <w:snapToGrid w:val="0"/>
                <w:kern w:val="0"/>
                <w:sz w:val="21"/>
                <w:szCs w:val="21"/>
              </w:rPr>
            </w:pPr>
            <w:r>
              <w:rPr>
                <w:rFonts w:hint="eastAsia"/>
                <w:snapToGrid w:val="0"/>
                <w:kern w:val="0"/>
                <w:sz w:val="21"/>
                <w:szCs w:val="21"/>
              </w:rPr>
              <w:t>①生态环境敏感目标</w:t>
            </w:r>
          </w:p>
          <w:p>
            <w:pPr>
              <w:adjustRightInd w:val="0"/>
              <w:snapToGrid w:val="0"/>
              <w:ind w:firstLine="420"/>
              <w:rPr>
                <w:snapToGrid w:val="0"/>
                <w:kern w:val="0"/>
                <w:sz w:val="21"/>
                <w:szCs w:val="21"/>
              </w:rPr>
            </w:pPr>
            <w:r>
              <w:rPr>
                <w:rFonts w:hint="eastAsia"/>
                <w:snapToGrid w:val="0"/>
                <w:kern w:val="0"/>
                <w:sz w:val="21"/>
                <w:szCs w:val="21"/>
              </w:rPr>
              <w:t>井场（包括附属设施）占地及周边</w:t>
            </w:r>
            <w:r>
              <w:rPr>
                <w:snapToGrid w:val="0"/>
                <w:kern w:val="0"/>
                <w:sz w:val="21"/>
                <w:szCs w:val="21"/>
              </w:rPr>
              <w:t>5</w:t>
            </w:r>
            <w:r>
              <w:rPr>
                <w:rFonts w:hint="eastAsia"/>
                <w:snapToGrid w:val="0"/>
                <w:kern w:val="0"/>
                <w:sz w:val="21"/>
                <w:szCs w:val="21"/>
              </w:rPr>
              <w:t>00m范围内的耕地。新建道路占地及周边</w:t>
            </w:r>
            <w:r>
              <w:rPr>
                <w:snapToGrid w:val="0"/>
                <w:kern w:val="0"/>
                <w:sz w:val="21"/>
                <w:szCs w:val="21"/>
              </w:rPr>
              <w:t>3</w:t>
            </w:r>
            <w:r>
              <w:rPr>
                <w:rFonts w:hint="eastAsia"/>
                <w:snapToGrid w:val="0"/>
                <w:kern w:val="0"/>
                <w:sz w:val="21"/>
                <w:szCs w:val="21"/>
              </w:rPr>
              <w:t>00m区域农业生态系统。评价范围无自然保护区、风景名胜区、文物古迹等特殊敏感区。</w:t>
            </w:r>
          </w:p>
          <w:p>
            <w:pPr>
              <w:adjustRightInd w:val="0"/>
              <w:snapToGrid w:val="0"/>
              <w:ind w:firstLine="420"/>
              <w:rPr>
                <w:snapToGrid w:val="0"/>
                <w:kern w:val="0"/>
                <w:sz w:val="21"/>
                <w:szCs w:val="21"/>
              </w:rPr>
            </w:pPr>
            <w:r>
              <w:rPr>
                <w:rFonts w:hint="eastAsia"/>
                <w:snapToGrid w:val="0"/>
                <w:kern w:val="0"/>
                <w:sz w:val="21"/>
                <w:szCs w:val="21"/>
              </w:rPr>
              <w:t>②地表水环境敏感目标</w:t>
            </w:r>
          </w:p>
          <w:p>
            <w:pPr>
              <w:adjustRightInd w:val="0"/>
              <w:snapToGrid w:val="0"/>
              <w:ind w:firstLine="420"/>
              <w:rPr>
                <w:snapToGrid w:val="0"/>
                <w:kern w:val="0"/>
                <w:sz w:val="21"/>
                <w:szCs w:val="21"/>
              </w:rPr>
            </w:pPr>
            <w:r>
              <w:rPr>
                <w:rFonts w:hint="eastAsia"/>
                <w:snapToGrid w:val="0"/>
                <w:kern w:val="0"/>
                <w:sz w:val="21"/>
                <w:szCs w:val="21"/>
              </w:rPr>
              <w:t>井口5</w:t>
            </w:r>
            <w:r>
              <w:rPr>
                <w:snapToGrid w:val="0"/>
                <w:kern w:val="0"/>
                <w:sz w:val="21"/>
                <w:szCs w:val="21"/>
              </w:rPr>
              <w:t>00m范围内无明显地表水体，</w:t>
            </w:r>
            <w:r>
              <w:rPr>
                <w:rFonts w:hint="eastAsia"/>
                <w:snapToGrid w:val="0"/>
                <w:kern w:val="0"/>
                <w:sz w:val="21"/>
                <w:szCs w:val="21"/>
              </w:rPr>
              <w:t>地表水体主要为井口西南侧1</w:t>
            </w:r>
            <w:r>
              <w:rPr>
                <w:snapToGrid w:val="0"/>
                <w:kern w:val="0"/>
                <w:sz w:val="21"/>
                <w:szCs w:val="21"/>
              </w:rPr>
              <w:t>.42km处</w:t>
            </w:r>
            <w:r>
              <w:rPr>
                <w:rFonts w:hint="eastAsia"/>
                <w:snapToGrid w:val="0"/>
                <w:kern w:val="0"/>
                <w:sz w:val="21"/>
                <w:szCs w:val="21"/>
              </w:rPr>
              <w:t>大滩沟水库及东北侧2</w:t>
            </w:r>
            <w:r>
              <w:rPr>
                <w:snapToGrid w:val="0"/>
                <w:kern w:val="0"/>
                <w:sz w:val="21"/>
                <w:szCs w:val="21"/>
              </w:rPr>
              <w:t>.58km处</w:t>
            </w:r>
            <w:r>
              <w:rPr>
                <w:rFonts w:hint="eastAsia"/>
                <w:snapToGrid w:val="0"/>
                <w:kern w:val="0"/>
                <w:sz w:val="21"/>
                <w:szCs w:val="21"/>
              </w:rPr>
              <w:t>高墩子河，高墩子河主要功能为行洪、灌溉，无饮用水水源功能。大滩沟水库为北山镇饮用水水源地，根据与主管部门核实成果及现场踏勘成果，平安7井距大滩沟水库饮用水水源保护区最近距离约1</w:t>
            </w:r>
            <w:r>
              <w:rPr>
                <w:snapToGrid w:val="0"/>
                <w:kern w:val="0"/>
                <w:sz w:val="21"/>
                <w:szCs w:val="21"/>
              </w:rPr>
              <w:t>.0km，项目不在大滩沟水库饮用水水源保护区范围内，且</w:t>
            </w:r>
            <w:r>
              <w:rPr>
                <w:rFonts w:hint="eastAsia"/>
                <w:snapToGrid w:val="0"/>
                <w:kern w:val="0"/>
                <w:sz w:val="21"/>
                <w:szCs w:val="21"/>
              </w:rPr>
              <w:t>与大滩沟水库之间存在自然分水岭，项目不在其集雨范围内，项目建设对大滩沟饮用水水源基本无影响。</w:t>
            </w:r>
          </w:p>
          <w:p>
            <w:pPr>
              <w:adjustRightInd w:val="0"/>
              <w:snapToGrid w:val="0"/>
              <w:ind w:firstLine="420"/>
              <w:rPr>
                <w:snapToGrid w:val="0"/>
                <w:kern w:val="0"/>
                <w:sz w:val="21"/>
                <w:szCs w:val="21"/>
              </w:rPr>
            </w:pPr>
            <w:r>
              <w:rPr>
                <w:rFonts w:hint="eastAsia"/>
                <w:snapToGrid w:val="0"/>
                <w:kern w:val="0"/>
                <w:sz w:val="21"/>
                <w:szCs w:val="21"/>
              </w:rPr>
              <w:t>③地下水环境敏感目标</w:t>
            </w:r>
          </w:p>
          <w:p>
            <w:pPr>
              <w:widowControl/>
              <w:ind w:firstLine="420"/>
              <w:rPr>
                <w:rFonts w:hAnsi="宋体"/>
                <w:kern w:val="0"/>
                <w:sz w:val="21"/>
                <w:szCs w:val="21"/>
              </w:rPr>
            </w:pPr>
            <w:r>
              <w:rPr>
                <w:rFonts w:hAnsi="宋体"/>
                <w:kern w:val="0"/>
                <w:sz w:val="21"/>
                <w:szCs w:val="21"/>
              </w:rPr>
              <w:t>经调查，拟建项目地下水评价范围内无</w:t>
            </w:r>
            <w:r>
              <w:rPr>
                <w:rFonts w:hint="eastAsia" w:hAnsi="宋体"/>
                <w:kern w:val="0"/>
                <w:sz w:val="21"/>
                <w:szCs w:val="21"/>
              </w:rPr>
              <w:t>乡镇地下水集中式饮用水源分布，居民主要以自打水井水和自来水作为生活饮用水，</w:t>
            </w:r>
            <w:r>
              <w:rPr>
                <w:rFonts w:hAnsi="宋体"/>
                <w:kern w:val="0"/>
                <w:sz w:val="21"/>
                <w:szCs w:val="21"/>
              </w:rPr>
              <w:t>因此，拟建项目地下水环境保护目标为评价范围内的分散式饮用</w:t>
            </w:r>
            <w:r>
              <w:rPr>
                <w:rFonts w:hint="eastAsia" w:hAnsi="宋体"/>
                <w:kern w:val="0"/>
                <w:sz w:val="21"/>
                <w:szCs w:val="21"/>
              </w:rPr>
              <w:t>水井和侏罗系上统蓬莱镇组构造裂隙水含水层。</w:t>
            </w:r>
          </w:p>
          <w:p>
            <w:pPr>
              <w:adjustRightInd w:val="0"/>
              <w:snapToGrid w:val="0"/>
              <w:ind w:firstLine="420"/>
              <w:jc w:val="left"/>
              <w:rPr>
                <w:rFonts w:hAnsi="宋体"/>
                <w:b/>
                <w:snapToGrid w:val="0"/>
                <w:kern w:val="0"/>
                <w:sz w:val="21"/>
                <w:szCs w:val="21"/>
              </w:rPr>
            </w:pPr>
            <w:r>
              <w:rPr>
                <w:rFonts w:hAnsi="宋体"/>
                <w:kern w:val="0"/>
                <w:sz w:val="21"/>
                <w:szCs w:val="21"/>
              </w:rPr>
              <w:t>根据实地踏勘，</w:t>
            </w:r>
            <w:r>
              <w:rPr>
                <w:rFonts w:hint="eastAsia" w:hAnsi="宋体"/>
                <w:kern w:val="0"/>
                <w:sz w:val="21"/>
                <w:szCs w:val="21"/>
              </w:rPr>
              <w:t>平安7井</w:t>
            </w:r>
            <w:r>
              <w:rPr>
                <w:rFonts w:hAnsi="宋体"/>
                <w:kern w:val="0"/>
                <w:sz w:val="21"/>
                <w:szCs w:val="21"/>
              </w:rPr>
              <w:t>周边分布有分散式水井</w:t>
            </w:r>
            <w:r>
              <w:rPr>
                <w:rFonts w:hint="eastAsia"/>
                <w:kern w:val="0"/>
                <w:sz w:val="21"/>
                <w:szCs w:val="21"/>
              </w:rPr>
              <w:t>18</w:t>
            </w:r>
            <w:r>
              <w:rPr>
                <w:rFonts w:hAnsi="宋体"/>
                <w:kern w:val="0"/>
                <w:sz w:val="21"/>
                <w:szCs w:val="21"/>
              </w:rPr>
              <w:t>口，共服务居民约</w:t>
            </w:r>
            <w:r>
              <w:rPr>
                <w:rFonts w:hint="eastAsia"/>
                <w:kern w:val="0"/>
                <w:sz w:val="21"/>
                <w:szCs w:val="21"/>
              </w:rPr>
              <w:t>55</w:t>
            </w:r>
            <w:r>
              <w:rPr>
                <w:rFonts w:hAnsi="宋体"/>
                <w:kern w:val="0"/>
                <w:sz w:val="21"/>
                <w:szCs w:val="21"/>
              </w:rPr>
              <w:t>户，与项目井口的距离在</w:t>
            </w:r>
            <w:r>
              <w:rPr>
                <w:rFonts w:hint="eastAsia"/>
                <w:kern w:val="0"/>
                <w:sz w:val="21"/>
                <w:szCs w:val="21"/>
              </w:rPr>
              <w:t>150</w:t>
            </w:r>
            <w:r>
              <w:rPr>
                <w:kern w:val="0"/>
                <w:sz w:val="21"/>
                <w:szCs w:val="21"/>
              </w:rPr>
              <w:t>m~</w:t>
            </w:r>
            <w:r>
              <w:rPr>
                <w:rFonts w:hint="eastAsia"/>
                <w:kern w:val="0"/>
                <w:sz w:val="21"/>
                <w:szCs w:val="21"/>
              </w:rPr>
              <w:t>1534</w:t>
            </w:r>
            <w:r>
              <w:rPr>
                <w:kern w:val="0"/>
                <w:sz w:val="21"/>
                <w:szCs w:val="21"/>
              </w:rPr>
              <w:t>m</w:t>
            </w:r>
            <w:r>
              <w:rPr>
                <w:rFonts w:hAnsi="宋体"/>
                <w:kern w:val="0"/>
                <w:sz w:val="21"/>
                <w:szCs w:val="21"/>
              </w:rPr>
              <w:t>之间，与应急池的距离在</w:t>
            </w:r>
            <w:r>
              <w:rPr>
                <w:rFonts w:hint="eastAsia"/>
                <w:kern w:val="0"/>
                <w:sz w:val="21"/>
                <w:szCs w:val="21"/>
              </w:rPr>
              <w:t>191</w:t>
            </w:r>
            <w:r>
              <w:rPr>
                <w:kern w:val="0"/>
                <w:sz w:val="21"/>
                <w:szCs w:val="21"/>
              </w:rPr>
              <w:t>m~</w:t>
            </w:r>
            <w:r>
              <w:rPr>
                <w:rFonts w:hint="eastAsia"/>
                <w:kern w:val="0"/>
                <w:sz w:val="21"/>
                <w:szCs w:val="21"/>
              </w:rPr>
              <w:t>1467</w:t>
            </w:r>
            <w:r>
              <w:rPr>
                <w:kern w:val="0"/>
                <w:sz w:val="21"/>
                <w:szCs w:val="21"/>
              </w:rPr>
              <w:t>m</w:t>
            </w:r>
            <w:r>
              <w:rPr>
                <w:rFonts w:hAnsi="宋体"/>
                <w:kern w:val="0"/>
                <w:sz w:val="21"/>
                <w:szCs w:val="21"/>
              </w:rPr>
              <w:t>之间</w:t>
            </w:r>
            <w:r>
              <w:rPr>
                <w:rFonts w:hint="eastAsia" w:hAnsi="宋体"/>
                <w:kern w:val="0"/>
                <w:sz w:val="21"/>
                <w:szCs w:val="21"/>
              </w:rPr>
              <w:t>，</w:t>
            </w:r>
            <w:r>
              <w:rPr>
                <w:rFonts w:hAnsi="宋体"/>
                <w:kern w:val="0"/>
                <w:sz w:val="21"/>
                <w:szCs w:val="21"/>
              </w:rPr>
              <w:t>下游的最近分散式水井距离井口距离为</w:t>
            </w:r>
            <w:r>
              <w:rPr>
                <w:rFonts w:hint="eastAsia" w:hAnsi="宋体"/>
                <w:kern w:val="0"/>
                <w:sz w:val="21"/>
                <w:szCs w:val="21"/>
              </w:rPr>
              <w:t>225m，下游</w:t>
            </w:r>
            <w:r>
              <w:rPr>
                <w:rFonts w:hAnsi="宋体"/>
                <w:kern w:val="0"/>
                <w:sz w:val="21"/>
                <w:szCs w:val="21"/>
              </w:rPr>
              <w:t>最近分散式水井距离</w:t>
            </w:r>
            <w:r>
              <w:rPr>
                <w:rFonts w:hint="eastAsia" w:hAnsi="宋体"/>
                <w:kern w:val="0"/>
                <w:sz w:val="21"/>
                <w:szCs w:val="21"/>
              </w:rPr>
              <w:t>应急池</w:t>
            </w:r>
            <w:r>
              <w:rPr>
                <w:rFonts w:hAnsi="宋体"/>
                <w:kern w:val="0"/>
                <w:sz w:val="21"/>
                <w:szCs w:val="21"/>
              </w:rPr>
              <w:t>距离为</w:t>
            </w:r>
            <w:r>
              <w:rPr>
                <w:rFonts w:hint="eastAsia" w:hAnsi="宋体"/>
                <w:kern w:val="0"/>
                <w:sz w:val="21"/>
                <w:szCs w:val="21"/>
              </w:rPr>
              <w:t>228m。</w:t>
            </w:r>
            <w:r>
              <w:rPr>
                <w:rFonts w:hAnsi="宋体"/>
                <w:kern w:val="0"/>
                <w:sz w:val="21"/>
                <w:szCs w:val="21"/>
              </w:rPr>
              <w:t>其中项目地下水流向上游及两侧分布有</w:t>
            </w:r>
            <w:r>
              <w:rPr>
                <w:rFonts w:hint="eastAsia" w:hAnsi="宋体"/>
                <w:kern w:val="0"/>
                <w:sz w:val="21"/>
                <w:szCs w:val="21"/>
              </w:rPr>
              <w:t>9</w:t>
            </w:r>
            <w:r>
              <w:rPr>
                <w:rFonts w:hAnsi="宋体"/>
                <w:kern w:val="0"/>
                <w:sz w:val="21"/>
                <w:szCs w:val="21"/>
              </w:rPr>
              <w:t>口水井，下游分布有</w:t>
            </w:r>
            <w:r>
              <w:rPr>
                <w:rFonts w:hint="eastAsia"/>
                <w:kern w:val="0"/>
                <w:sz w:val="21"/>
                <w:szCs w:val="21"/>
              </w:rPr>
              <w:t>9</w:t>
            </w:r>
            <w:r>
              <w:rPr>
                <w:rFonts w:hAnsi="宋体"/>
                <w:kern w:val="0"/>
                <w:sz w:val="21"/>
                <w:szCs w:val="21"/>
              </w:rPr>
              <w:t>口水井，以上居民水井深度介于</w:t>
            </w:r>
            <w:r>
              <w:rPr>
                <w:rFonts w:hint="eastAsia" w:hAnsi="宋体"/>
                <w:kern w:val="0"/>
                <w:sz w:val="21"/>
                <w:szCs w:val="21"/>
              </w:rPr>
              <w:t>9</w:t>
            </w:r>
            <w:r>
              <w:rPr>
                <w:kern w:val="0"/>
                <w:sz w:val="21"/>
                <w:szCs w:val="21"/>
              </w:rPr>
              <w:t>m~</w:t>
            </w:r>
            <w:r>
              <w:rPr>
                <w:rFonts w:hint="eastAsia"/>
                <w:kern w:val="0"/>
                <w:sz w:val="21"/>
                <w:szCs w:val="21"/>
              </w:rPr>
              <w:t>18</w:t>
            </w:r>
            <w:r>
              <w:rPr>
                <w:kern w:val="0"/>
                <w:sz w:val="21"/>
                <w:szCs w:val="21"/>
              </w:rPr>
              <w:t>m</w:t>
            </w:r>
            <w:r>
              <w:rPr>
                <w:rFonts w:hAnsi="宋体"/>
                <w:kern w:val="0"/>
                <w:sz w:val="21"/>
                <w:szCs w:val="21"/>
              </w:rPr>
              <w:t>之间，水位埋深</w:t>
            </w:r>
            <w:r>
              <w:rPr>
                <w:rFonts w:hint="eastAsia"/>
                <w:kern w:val="0"/>
                <w:sz w:val="21"/>
                <w:szCs w:val="21"/>
              </w:rPr>
              <w:t>1.5m</w:t>
            </w:r>
            <w:r>
              <w:rPr>
                <w:kern w:val="0"/>
                <w:sz w:val="21"/>
                <w:szCs w:val="21"/>
              </w:rPr>
              <w:t>~</w:t>
            </w:r>
            <w:r>
              <w:rPr>
                <w:rFonts w:hint="eastAsia"/>
                <w:kern w:val="0"/>
                <w:sz w:val="21"/>
                <w:szCs w:val="21"/>
              </w:rPr>
              <w:t>4.0</w:t>
            </w:r>
            <w:r>
              <w:rPr>
                <w:kern w:val="0"/>
                <w:sz w:val="21"/>
                <w:szCs w:val="21"/>
              </w:rPr>
              <w:t>m</w:t>
            </w:r>
            <w:r>
              <w:rPr>
                <w:rFonts w:hAnsi="宋体"/>
                <w:kern w:val="0"/>
                <w:sz w:val="21"/>
                <w:szCs w:val="21"/>
              </w:rPr>
              <w:t>。</w:t>
            </w:r>
            <w:r>
              <w:rPr>
                <w:rFonts w:hint="eastAsia"/>
                <w:snapToGrid w:val="0"/>
                <w:kern w:val="0"/>
                <w:sz w:val="21"/>
                <w:szCs w:val="21"/>
              </w:rPr>
              <w:t>具体的地下水环境保护目标如下表。</w:t>
            </w:r>
          </w:p>
          <w:p>
            <w:pPr>
              <w:adjustRightInd w:val="0"/>
              <w:snapToGrid w:val="0"/>
              <w:ind w:firstLine="0" w:firstLineChars="0"/>
              <w:jc w:val="center"/>
              <w:rPr>
                <w:rFonts w:hAnsi="宋体"/>
                <w:b/>
                <w:snapToGrid w:val="0"/>
                <w:kern w:val="0"/>
                <w:sz w:val="21"/>
                <w:szCs w:val="21"/>
              </w:rPr>
            </w:pPr>
          </w:p>
          <w:p>
            <w:pPr>
              <w:adjustRightInd w:val="0"/>
              <w:snapToGrid w:val="0"/>
              <w:ind w:firstLine="0" w:firstLineChars="0"/>
              <w:jc w:val="center"/>
              <w:rPr>
                <w:rFonts w:hAnsi="宋体"/>
                <w:b/>
                <w:snapToGrid w:val="0"/>
                <w:kern w:val="0"/>
                <w:sz w:val="21"/>
                <w:szCs w:val="21"/>
              </w:rPr>
            </w:pPr>
          </w:p>
          <w:p>
            <w:pPr>
              <w:adjustRightInd w:val="0"/>
              <w:snapToGrid w:val="0"/>
              <w:ind w:firstLine="0" w:firstLineChars="0"/>
              <w:jc w:val="center"/>
              <w:rPr>
                <w:rFonts w:hAnsi="宋体"/>
                <w:b/>
                <w:snapToGrid w:val="0"/>
                <w:kern w:val="0"/>
                <w:sz w:val="21"/>
                <w:szCs w:val="21"/>
              </w:rPr>
            </w:pPr>
          </w:p>
          <w:p>
            <w:pPr>
              <w:adjustRightInd w:val="0"/>
              <w:snapToGrid w:val="0"/>
              <w:ind w:firstLine="0" w:firstLineChars="0"/>
              <w:jc w:val="center"/>
              <w:rPr>
                <w:rFonts w:hAnsi="宋体"/>
                <w:b/>
                <w:snapToGrid w:val="0"/>
                <w:kern w:val="0"/>
                <w:sz w:val="21"/>
                <w:szCs w:val="21"/>
              </w:rPr>
            </w:pPr>
          </w:p>
          <w:p>
            <w:pPr>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表</w:t>
            </w:r>
            <w:r>
              <w:rPr>
                <w:b/>
                <w:snapToGrid w:val="0"/>
                <w:kern w:val="0"/>
                <w:sz w:val="21"/>
                <w:szCs w:val="21"/>
              </w:rPr>
              <w:t xml:space="preserve">3-15  </w:t>
            </w:r>
            <w:r>
              <w:rPr>
                <w:rFonts w:hint="eastAsia" w:hAnsi="宋体"/>
                <w:b/>
                <w:snapToGrid w:val="0"/>
                <w:kern w:val="0"/>
                <w:sz w:val="21"/>
                <w:szCs w:val="21"/>
              </w:rPr>
              <w:t>地下水环境保护目标（以井口为中心统计）</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3092"/>
              <w:gridCol w:w="1687"/>
              <w:gridCol w:w="1642"/>
              <w:gridCol w:w="1844"/>
              <w:gridCol w:w="1807"/>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Merge w:val="restart"/>
                  <w:vAlign w:val="center"/>
                </w:tcPr>
                <w:p>
                  <w:pPr>
                    <w:adjustRightInd w:val="0"/>
                    <w:snapToGrid w:val="0"/>
                    <w:spacing w:line="240" w:lineRule="auto"/>
                    <w:ind w:firstLine="0" w:firstLineChars="0"/>
                    <w:jc w:val="center"/>
                    <w:rPr>
                      <w:sz w:val="21"/>
                      <w:szCs w:val="21"/>
                    </w:rPr>
                  </w:pPr>
                  <w:r>
                    <w:rPr>
                      <w:sz w:val="21"/>
                      <w:szCs w:val="21"/>
                    </w:rPr>
                    <w:t>编号</w:t>
                  </w:r>
                </w:p>
              </w:tc>
              <w:tc>
                <w:tcPr>
                  <w:tcW w:w="1177" w:type="pct"/>
                  <w:vMerge w:val="restart"/>
                  <w:vAlign w:val="center"/>
                </w:tcPr>
                <w:p>
                  <w:pPr>
                    <w:adjustRightInd w:val="0"/>
                    <w:snapToGrid w:val="0"/>
                    <w:spacing w:line="240" w:lineRule="auto"/>
                    <w:ind w:firstLine="0" w:firstLineChars="0"/>
                    <w:jc w:val="center"/>
                    <w:rPr>
                      <w:sz w:val="21"/>
                      <w:szCs w:val="21"/>
                    </w:rPr>
                  </w:pPr>
                  <w:r>
                    <w:rPr>
                      <w:sz w:val="21"/>
                      <w:szCs w:val="21"/>
                    </w:rPr>
                    <w:t>与井口上下游及距离（m）</w:t>
                  </w:r>
                </w:p>
              </w:tc>
              <w:tc>
                <w:tcPr>
                  <w:tcW w:w="642" w:type="pct"/>
                  <w:vMerge w:val="restart"/>
                  <w:vAlign w:val="center"/>
                </w:tcPr>
                <w:p>
                  <w:pPr>
                    <w:adjustRightInd w:val="0"/>
                    <w:snapToGrid w:val="0"/>
                    <w:spacing w:line="240" w:lineRule="auto"/>
                    <w:ind w:firstLine="0" w:firstLineChars="0"/>
                    <w:jc w:val="center"/>
                    <w:rPr>
                      <w:sz w:val="21"/>
                      <w:szCs w:val="21"/>
                    </w:rPr>
                  </w:pPr>
                  <w:r>
                    <w:rPr>
                      <w:sz w:val="21"/>
                      <w:szCs w:val="21"/>
                    </w:rPr>
                    <w:t>与井口高程差（m）</w:t>
                  </w:r>
                </w:p>
              </w:tc>
              <w:tc>
                <w:tcPr>
                  <w:tcW w:w="625" w:type="pct"/>
                  <w:vMerge w:val="restart"/>
                  <w:vAlign w:val="center"/>
                </w:tcPr>
                <w:p>
                  <w:pPr>
                    <w:adjustRightInd w:val="0"/>
                    <w:snapToGrid w:val="0"/>
                    <w:spacing w:line="240" w:lineRule="auto"/>
                    <w:ind w:firstLine="0" w:firstLineChars="0"/>
                    <w:jc w:val="center"/>
                    <w:rPr>
                      <w:sz w:val="21"/>
                      <w:szCs w:val="21"/>
                    </w:rPr>
                  </w:pPr>
                  <w:r>
                    <w:rPr>
                      <w:sz w:val="21"/>
                      <w:szCs w:val="21"/>
                    </w:rPr>
                    <w:t>水井深度（m）</w:t>
                  </w:r>
                </w:p>
              </w:tc>
              <w:tc>
                <w:tcPr>
                  <w:tcW w:w="702" w:type="pct"/>
                  <w:vMerge w:val="restart"/>
                  <w:vAlign w:val="center"/>
                </w:tcPr>
                <w:p>
                  <w:pPr>
                    <w:adjustRightInd w:val="0"/>
                    <w:snapToGrid w:val="0"/>
                    <w:spacing w:line="240" w:lineRule="auto"/>
                    <w:ind w:firstLine="0" w:firstLineChars="0"/>
                    <w:jc w:val="center"/>
                    <w:rPr>
                      <w:sz w:val="21"/>
                      <w:szCs w:val="21"/>
                    </w:rPr>
                  </w:pPr>
                  <w:r>
                    <w:rPr>
                      <w:sz w:val="21"/>
                      <w:szCs w:val="21"/>
                    </w:rPr>
                    <w:t>水位埋深（m）</w:t>
                  </w:r>
                </w:p>
              </w:tc>
              <w:tc>
                <w:tcPr>
                  <w:tcW w:w="688" w:type="pct"/>
                  <w:vMerge w:val="restart"/>
                  <w:vAlign w:val="center"/>
                </w:tcPr>
                <w:p>
                  <w:pPr>
                    <w:adjustRightInd w:val="0"/>
                    <w:snapToGrid w:val="0"/>
                    <w:spacing w:line="240" w:lineRule="auto"/>
                    <w:ind w:firstLine="0" w:firstLineChars="0"/>
                    <w:jc w:val="center"/>
                    <w:rPr>
                      <w:sz w:val="21"/>
                      <w:szCs w:val="21"/>
                    </w:rPr>
                  </w:pPr>
                  <w:r>
                    <w:rPr>
                      <w:sz w:val="21"/>
                      <w:szCs w:val="21"/>
                    </w:rPr>
                    <w:t>水位高程（m）</w:t>
                  </w:r>
                </w:p>
              </w:tc>
              <w:tc>
                <w:tcPr>
                  <w:tcW w:w="708" w:type="pct"/>
                  <w:vMerge w:val="restart"/>
                  <w:vAlign w:val="center"/>
                </w:tcPr>
                <w:p>
                  <w:pPr>
                    <w:adjustRightInd w:val="0"/>
                    <w:snapToGrid w:val="0"/>
                    <w:spacing w:line="240" w:lineRule="auto"/>
                    <w:ind w:firstLine="0" w:firstLineChars="0"/>
                    <w:jc w:val="center"/>
                    <w:rPr>
                      <w:sz w:val="21"/>
                      <w:szCs w:val="21"/>
                    </w:rPr>
                  </w:pPr>
                  <w:r>
                    <w:rPr>
                      <w:sz w:val="21"/>
                      <w:szCs w:val="21"/>
                    </w:rPr>
                    <w:t>供水规模（户）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Merge w:val="continue"/>
                  <w:vAlign w:val="center"/>
                </w:tcPr>
                <w:p>
                  <w:pPr>
                    <w:adjustRightInd w:val="0"/>
                    <w:snapToGrid w:val="0"/>
                    <w:spacing w:line="240" w:lineRule="auto"/>
                    <w:ind w:firstLine="0" w:firstLineChars="0"/>
                    <w:jc w:val="center"/>
                    <w:rPr>
                      <w:sz w:val="21"/>
                      <w:szCs w:val="21"/>
                    </w:rPr>
                  </w:pPr>
                </w:p>
              </w:tc>
              <w:tc>
                <w:tcPr>
                  <w:tcW w:w="1177" w:type="pct"/>
                  <w:vMerge w:val="continue"/>
                  <w:vAlign w:val="center"/>
                </w:tcPr>
                <w:p>
                  <w:pPr>
                    <w:adjustRightInd w:val="0"/>
                    <w:snapToGrid w:val="0"/>
                    <w:spacing w:line="240" w:lineRule="auto"/>
                    <w:ind w:firstLine="0" w:firstLineChars="0"/>
                    <w:jc w:val="center"/>
                    <w:rPr>
                      <w:sz w:val="21"/>
                      <w:szCs w:val="21"/>
                    </w:rPr>
                  </w:pPr>
                </w:p>
              </w:tc>
              <w:tc>
                <w:tcPr>
                  <w:tcW w:w="642" w:type="pct"/>
                  <w:vMerge w:val="continue"/>
                  <w:vAlign w:val="center"/>
                </w:tcPr>
                <w:p>
                  <w:pPr>
                    <w:adjustRightInd w:val="0"/>
                    <w:snapToGrid w:val="0"/>
                    <w:spacing w:line="240" w:lineRule="auto"/>
                    <w:ind w:firstLine="0" w:firstLineChars="0"/>
                    <w:jc w:val="center"/>
                    <w:rPr>
                      <w:sz w:val="21"/>
                      <w:szCs w:val="21"/>
                    </w:rPr>
                  </w:pPr>
                </w:p>
              </w:tc>
              <w:tc>
                <w:tcPr>
                  <w:tcW w:w="625" w:type="pct"/>
                  <w:vMerge w:val="continue"/>
                  <w:vAlign w:val="center"/>
                </w:tcPr>
                <w:p>
                  <w:pPr>
                    <w:adjustRightInd w:val="0"/>
                    <w:snapToGrid w:val="0"/>
                    <w:spacing w:line="240" w:lineRule="auto"/>
                    <w:ind w:firstLine="0" w:firstLineChars="0"/>
                    <w:jc w:val="center"/>
                    <w:rPr>
                      <w:sz w:val="21"/>
                      <w:szCs w:val="21"/>
                    </w:rPr>
                  </w:pPr>
                </w:p>
              </w:tc>
              <w:tc>
                <w:tcPr>
                  <w:tcW w:w="702" w:type="pct"/>
                  <w:vMerge w:val="continue"/>
                  <w:vAlign w:val="center"/>
                </w:tcPr>
                <w:p>
                  <w:pPr>
                    <w:adjustRightInd w:val="0"/>
                    <w:snapToGrid w:val="0"/>
                    <w:spacing w:line="240" w:lineRule="auto"/>
                    <w:ind w:firstLine="0" w:firstLineChars="0"/>
                    <w:jc w:val="center"/>
                    <w:rPr>
                      <w:sz w:val="21"/>
                      <w:szCs w:val="21"/>
                    </w:rPr>
                  </w:pPr>
                </w:p>
              </w:tc>
              <w:tc>
                <w:tcPr>
                  <w:tcW w:w="688" w:type="pct"/>
                  <w:vMerge w:val="continue"/>
                  <w:vAlign w:val="center"/>
                </w:tcPr>
                <w:p>
                  <w:pPr>
                    <w:adjustRightInd w:val="0"/>
                    <w:snapToGrid w:val="0"/>
                    <w:spacing w:line="240" w:lineRule="auto"/>
                    <w:ind w:firstLine="0" w:firstLineChars="0"/>
                    <w:jc w:val="center"/>
                    <w:rPr>
                      <w:sz w:val="21"/>
                      <w:szCs w:val="21"/>
                    </w:rPr>
                  </w:pPr>
                </w:p>
              </w:tc>
              <w:tc>
                <w:tcPr>
                  <w:tcW w:w="708" w:type="pct"/>
                  <w:vMerge w:val="continue"/>
                  <w:vAlign w:val="center"/>
                </w:tcPr>
                <w:p>
                  <w:pPr>
                    <w:adjustRightInd w:val="0"/>
                    <w:snapToGrid w:val="0"/>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水流上游397</w:t>
                  </w:r>
                </w:p>
              </w:tc>
              <w:tc>
                <w:tcPr>
                  <w:tcW w:w="642" w:type="pct"/>
                  <w:vAlign w:val="center"/>
                </w:tcPr>
                <w:p>
                  <w:pPr>
                    <w:adjustRightInd w:val="0"/>
                    <w:snapToGrid w:val="0"/>
                    <w:spacing w:line="240" w:lineRule="auto"/>
                    <w:ind w:firstLine="0" w:firstLineChars="0"/>
                    <w:jc w:val="center"/>
                    <w:rPr>
                      <w:sz w:val="21"/>
                      <w:szCs w:val="21"/>
                    </w:rPr>
                  </w:pPr>
                  <w:r>
                    <w:rPr>
                      <w:sz w:val="21"/>
                      <w:szCs w:val="21"/>
                    </w:rPr>
                    <w:t>33.0</w:t>
                  </w:r>
                </w:p>
              </w:tc>
              <w:tc>
                <w:tcPr>
                  <w:tcW w:w="625" w:type="pct"/>
                  <w:vAlign w:val="center"/>
                </w:tcPr>
                <w:p>
                  <w:pPr>
                    <w:adjustRightInd w:val="0"/>
                    <w:snapToGrid w:val="0"/>
                    <w:spacing w:line="240" w:lineRule="auto"/>
                    <w:ind w:firstLine="0" w:firstLineChars="0"/>
                    <w:jc w:val="center"/>
                    <w:rPr>
                      <w:sz w:val="21"/>
                      <w:szCs w:val="21"/>
                    </w:rPr>
                  </w:pPr>
                  <w:r>
                    <w:rPr>
                      <w:sz w:val="21"/>
                      <w:szCs w:val="21"/>
                    </w:rPr>
                    <w:t>10</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2.0</w:t>
                  </w:r>
                </w:p>
              </w:tc>
              <w:tc>
                <w:tcPr>
                  <w:tcW w:w="688" w:type="pct"/>
                  <w:vAlign w:val="center"/>
                </w:tcPr>
                <w:p>
                  <w:pPr>
                    <w:adjustRightInd w:val="0"/>
                    <w:snapToGrid w:val="0"/>
                    <w:spacing w:line="240" w:lineRule="auto"/>
                    <w:ind w:firstLine="0" w:firstLineChars="0"/>
                    <w:jc w:val="center"/>
                    <w:rPr>
                      <w:sz w:val="21"/>
                      <w:szCs w:val="21"/>
                    </w:rPr>
                  </w:pPr>
                  <w:r>
                    <w:rPr>
                      <w:sz w:val="21"/>
                      <w:szCs w:val="21"/>
                    </w:rPr>
                    <w:t>632.2</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S2</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水流侧向249</w:t>
                  </w:r>
                </w:p>
              </w:tc>
              <w:tc>
                <w:tcPr>
                  <w:tcW w:w="642" w:type="pct"/>
                  <w:vAlign w:val="center"/>
                </w:tcPr>
                <w:p>
                  <w:pPr>
                    <w:adjustRightInd w:val="0"/>
                    <w:snapToGrid w:val="0"/>
                    <w:spacing w:line="240" w:lineRule="auto"/>
                    <w:ind w:firstLine="0" w:firstLineChars="0"/>
                    <w:jc w:val="center"/>
                    <w:rPr>
                      <w:sz w:val="21"/>
                      <w:szCs w:val="21"/>
                    </w:rPr>
                  </w:pPr>
                  <w:r>
                    <w:rPr>
                      <w:sz w:val="21"/>
                      <w:szCs w:val="21"/>
                    </w:rPr>
                    <w:t>5.2</w:t>
                  </w:r>
                </w:p>
              </w:tc>
              <w:tc>
                <w:tcPr>
                  <w:tcW w:w="625" w:type="pct"/>
                  <w:vAlign w:val="center"/>
                </w:tcPr>
                <w:p>
                  <w:pPr>
                    <w:adjustRightInd w:val="0"/>
                    <w:snapToGrid w:val="0"/>
                    <w:spacing w:line="240" w:lineRule="auto"/>
                    <w:ind w:firstLine="0" w:firstLineChars="0"/>
                    <w:jc w:val="center"/>
                    <w:rPr>
                      <w:sz w:val="21"/>
                      <w:szCs w:val="21"/>
                    </w:rPr>
                  </w:pPr>
                  <w:r>
                    <w:rPr>
                      <w:sz w:val="21"/>
                      <w:szCs w:val="21"/>
                    </w:rPr>
                    <w:t>12</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3.0</w:t>
                  </w:r>
                </w:p>
              </w:tc>
              <w:tc>
                <w:tcPr>
                  <w:tcW w:w="688" w:type="pct"/>
                  <w:vAlign w:val="center"/>
                </w:tcPr>
                <w:p>
                  <w:pPr>
                    <w:adjustRightInd w:val="0"/>
                    <w:snapToGrid w:val="0"/>
                    <w:spacing w:line="240" w:lineRule="auto"/>
                    <w:ind w:firstLine="0" w:firstLineChars="0"/>
                    <w:jc w:val="center"/>
                    <w:rPr>
                      <w:sz w:val="21"/>
                      <w:szCs w:val="21"/>
                    </w:rPr>
                  </w:pPr>
                  <w:r>
                    <w:rPr>
                      <w:sz w:val="21"/>
                      <w:szCs w:val="21"/>
                    </w:rPr>
                    <w:t>594.0</w:t>
                  </w:r>
                </w:p>
              </w:tc>
              <w:tc>
                <w:tcPr>
                  <w:tcW w:w="708" w:type="pct"/>
                  <w:vAlign w:val="center"/>
                </w:tcPr>
                <w:p>
                  <w:pPr>
                    <w:adjustRightInd w:val="0"/>
                    <w:snapToGrid w:val="0"/>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S3</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水流下游420</w:t>
                  </w:r>
                </w:p>
              </w:tc>
              <w:tc>
                <w:tcPr>
                  <w:tcW w:w="642" w:type="pct"/>
                  <w:vAlign w:val="center"/>
                </w:tcPr>
                <w:p>
                  <w:pPr>
                    <w:adjustRightInd w:val="0"/>
                    <w:snapToGrid w:val="0"/>
                    <w:spacing w:line="240" w:lineRule="auto"/>
                    <w:ind w:firstLine="0" w:firstLineChars="0"/>
                    <w:jc w:val="center"/>
                    <w:rPr>
                      <w:sz w:val="21"/>
                      <w:szCs w:val="21"/>
                    </w:rPr>
                  </w:pPr>
                  <w:r>
                    <w:rPr>
                      <w:sz w:val="21"/>
                      <w:szCs w:val="21"/>
                    </w:rPr>
                    <w:t>-85.2</w:t>
                  </w:r>
                </w:p>
              </w:tc>
              <w:tc>
                <w:tcPr>
                  <w:tcW w:w="625" w:type="pct"/>
                  <w:vAlign w:val="center"/>
                </w:tcPr>
                <w:p>
                  <w:pPr>
                    <w:adjustRightInd w:val="0"/>
                    <w:snapToGrid w:val="0"/>
                    <w:spacing w:line="240" w:lineRule="auto"/>
                    <w:ind w:firstLine="0" w:firstLineChars="0"/>
                    <w:jc w:val="center"/>
                    <w:rPr>
                      <w:sz w:val="21"/>
                      <w:szCs w:val="21"/>
                    </w:rPr>
                  </w:pPr>
                  <w:r>
                    <w:rPr>
                      <w:sz w:val="21"/>
                      <w:szCs w:val="21"/>
                    </w:rPr>
                    <w:t>9</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2.0</w:t>
                  </w:r>
                </w:p>
              </w:tc>
              <w:tc>
                <w:tcPr>
                  <w:tcW w:w="688" w:type="pct"/>
                  <w:vAlign w:val="center"/>
                </w:tcPr>
                <w:p>
                  <w:pPr>
                    <w:adjustRightInd w:val="0"/>
                    <w:snapToGrid w:val="0"/>
                    <w:spacing w:line="240" w:lineRule="auto"/>
                    <w:ind w:firstLine="0" w:firstLineChars="0"/>
                    <w:jc w:val="center"/>
                    <w:rPr>
                      <w:sz w:val="21"/>
                      <w:szCs w:val="21"/>
                    </w:rPr>
                  </w:pPr>
                  <w:r>
                    <w:rPr>
                      <w:sz w:val="21"/>
                      <w:szCs w:val="21"/>
                    </w:rPr>
                    <w:t>514.0</w:t>
                  </w:r>
                </w:p>
              </w:tc>
              <w:tc>
                <w:tcPr>
                  <w:tcW w:w="708" w:type="pct"/>
                  <w:vAlign w:val="center"/>
                </w:tcPr>
                <w:p>
                  <w:pPr>
                    <w:adjustRightInd w:val="0"/>
                    <w:snapToGrid w:val="0"/>
                    <w:spacing w:line="240" w:lineRule="auto"/>
                    <w:ind w:firstLine="0" w:firstLineChars="0"/>
                    <w:jc w:val="center"/>
                    <w:rPr>
                      <w:sz w:val="21"/>
                      <w:szCs w:val="21"/>
                    </w:rPr>
                  </w:pPr>
                  <w:r>
                    <w:rPr>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S4</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水流下游225</w:t>
                  </w:r>
                </w:p>
              </w:tc>
              <w:tc>
                <w:tcPr>
                  <w:tcW w:w="642" w:type="pct"/>
                  <w:vAlign w:val="center"/>
                </w:tcPr>
                <w:p>
                  <w:pPr>
                    <w:adjustRightInd w:val="0"/>
                    <w:snapToGrid w:val="0"/>
                    <w:spacing w:line="240" w:lineRule="auto"/>
                    <w:ind w:firstLine="0" w:firstLineChars="0"/>
                    <w:jc w:val="center"/>
                    <w:rPr>
                      <w:sz w:val="21"/>
                      <w:szCs w:val="21"/>
                    </w:rPr>
                  </w:pPr>
                  <w:r>
                    <w:rPr>
                      <w:sz w:val="21"/>
                      <w:szCs w:val="21"/>
                    </w:rPr>
                    <w:t>-74.2</w:t>
                  </w:r>
                </w:p>
              </w:tc>
              <w:tc>
                <w:tcPr>
                  <w:tcW w:w="625" w:type="pct"/>
                  <w:vAlign w:val="center"/>
                </w:tcPr>
                <w:p>
                  <w:pPr>
                    <w:adjustRightInd w:val="0"/>
                    <w:snapToGrid w:val="0"/>
                    <w:spacing w:line="240" w:lineRule="auto"/>
                    <w:ind w:firstLine="0" w:firstLineChars="0"/>
                    <w:jc w:val="center"/>
                    <w:rPr>
                      <w:sz w:val="21"/>
                      <w:szCs w:val="21"/>
                    </w:rPr>
                  </w:pPr>
                  <w:r>
                    <w:rPr>
                      <w:sz w:val="21"/>
                      <w:szCs w:val="21"/>
                    </w:rPr>
                    <w:t>11</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1.5</w:t>
                  </w:r>
                </w:p>
              </w:tc>
              <w:tc>
                <w:tcPr>
                  <w:tcW w:w="688" w:type="pct"/>
                  <w:vAlign w:val="center"/>
                </w:tcPr>
                <w:p>
                  <w:pPr>
                    <w:adjustRightInd w:val="0"/>
                    <w:snapToGrid w:val="0"/>
                    <w:spacing w:line="240" w:lineRule="auto"/>
                    <w:ind w:firstLine="0" w:firstLineChars="0"/>
                    <w:jc w:val="center"/>
                    <w:rPr>
                      <w:sz w:val="21"/>
                      <w:szCs w:val="21"/>
                    </w:rPr>
                  </w:pPr>
                  <w:r>
                    <w:rPr>
                      <w:sz w:val="21"/>
                      <w:szCs w:val="21"/>
                    </w:rPr>
                    <w:t>525.0</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S5</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水流下游440</w:t>
                  </w:r>
                </w:p>
              </w:tc>
              <w:tc>
                <w:tcPr>
                  <w:tcW w:w="642" w:type="pct"/>
                  <w:vAlign w:val="center"/>
                </w:tcPr>
                <w:p>
                  <w:pPr>
                    <w:adjustRightInd w:val="0"/>
                    <w:snapToGrid w:val="0"/>
                    <w:spacing w:line="240" w:lineRule="auto"/>
                    <w:ind w:firstLine="0" w:firstLineChars="0"/>
                    <w:jc w:val="center"/>
                    <w:rPr>
                      <w:sz w:val="21"/>
                      <w:szCs w:val="21"/>
                    </w:rPr>
                  </w:pPr>
                  <w:r>
                    <w:rPr>
                      <w:sz w:val="21"/>
                      <w:szCs w:val="21"/>
                    </w:rPr>
                    <w:t>-96.4</w:t>
                  </w:r>
                </w:p>
              </w:tc>
              <w:tc>
                <w:tcPr>
                  <w:tcW w:w="625" w:type="pct"/>
                  <w:vAlign w:val="center"/>
                </w:tcPr>
                <w:p>
                  <w:pPr>
                    <w:adjustRightInd w:val="0"/>
                    <w:snapToGrid w:val="0"/>
                    <w:spacing w:line="240" w:lineRule="auto"/>
                    <w:ind w:firstLine="0" w:firstLineChars="0"/>
                    <w:jc w:val="center"/>
                    <w:rPr>
                      <w:sz w:val="21"/>
                      <w:szCs w:val="21"/>
                    </w:rPr>
                  </w:pPr>
                  <w:r>
                    <w:rPr>
                      <w:sz w:val="21"/>
                      <w:szCs w:val="21"/>
                    </w:rPr>
                    <w:t>14</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2.5</w:t>
                  </w:r>
                </w:p>
              </w:tc>
              <w:tc>
                <w:tcPr>
                  <w:tcW w:w="688" w:type="pct"/>
                  <w:vAlign w:val="center"/>
                </w:tcPr>
                <w:p>
                  <w:pPr>
                    <w:adjustRightInd w:val="0"/>
                    <w:snapToGrid w:val="0"/>
                    <w:spacing w:line="240" w:lineRule="auto"/>
                    <w:ind w:firstLine="0" w:firstLineChars="0"/>
                    <w:jc w:val="center"/>
                    <w:rPr>
                      <w:sz w:val="21"/>
                      <w:szCs w:val="21"/>
                    </w:rPr>
                  </w:pPr>
                  <w:r>
                    <w:rPr>
                      <w:sz w:val="21"/>
                      <w:szCs w:val="21"/>
                    </w:rPr>
                    <w:t>502.8</w:t>
                  </w:r>
                </w:p>
              </w:tc>
              <w:tc>
                <w:tcPr>
                  <w:tcW w:w="708" w:type="pct"/>
                  <w:vAlign w:val="center"/>
                </w:tcPr>
                <w:p>
                  <w:pPr>
                    <w:adjustRightInd w:val="0"/>
                    <w:snapToGrid w:val="0"/>
                    <w:spacing w:line="240" w:lineRule="auto"/>
                    <w:ind w:firstLine="0" w:firstLineChars="0"/>
                    <w:jc w:val="center"/>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S6</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水流上游591</w:t>
                  </w:r>
                </w:p>
              </w:tc>
              <w:tc>
                <w:tcPr>
                  <w:tcW w:w="642" w:type="pct"/>
                  <w:vAlign w:val="center"/>
                </w:tcPr>
                <w:p>
                  <w:pPr>
                    <w:adjustRightInd w:val="0"/>
                    <w:snapToGrid w:val="0"/>
                    <w:spacing w:line="240" w:lineRule="auto"/>
                    <w:ind w:firstLine="0" w:firstLineChars="0"/>
                    <w:jc w:val="center"/>
                    <w:rPr>
                      <w:sz w:val="21"/>
                      <w:szCs w:val="21"/>
                    </w:rPr>
                  </w:pPr>
                  <w:r>
                    <w:rPr>
                      <w:sz w:val="21"/>
                      <w:szCs w:val="21"/>
                    </w:rPr>
                    <w:t>47.9</w:t>
                  </w:r>
                </w:p>
              </w:tc>
              <w:tc>
                <w:tcPr>
                  <w:tcW w:w="625" w:type="pct"/>
                  <w:vAlign w:val="center"/>
                </w:tcPr>
                <w:p>
                  <w:pPr>
                    <w:adjustRightInd w:val="0"/>
                    <w:snapToGrid w:val="0"/>
                    <w:spacing w:line="240" w:lineRule="auto"/>
                    <w:ind w:firstLine="0" w:firstLineChars="0"/>
                    <w:jc w:val="center"/>
                    <w:rPr>
                      <w:sz w:val="21"/>
                      <w:szCs w:val="21"/>
                    </w:rPr>
                  </w:pPr>
                  <w:r>
                    <w:rPr>
                      <w:sz w:val="21"/>
                      <w:szCs w:val="21"/>
                    </w:rPr>
                    <w:t>15</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3.0</w:t>
                  </w:r>
                </w:p>
              </w:tc>
              <w:tc>
                <w:tcPr>
                  <w:tcW w:w="688" w:type="pct"/>
                  <w:vAlign w:val="center"/>
                </w:tcPr>
                <w:p>
                  <w:pPr>
                    <w:adjustRightInd w:val="0"/>
                    <w:snapToGrid w:val="0"/>
                    <w:spacing w:line="240" w:lineRule="auto"/>
                    <w:ind w:firstLine="0" w:firstLineChars="0"/>
                    <w:jc w:val="center"/>
                    <w:rPr>
                      <w:sz w:val="21"/>
                      <w:szCs w:val="21"/>
                    </w:rPr>
                  </w:pPr>
                  <w:r>
                    <w:rPr>
                      <w:sz w:val="21"/>
                      <w:szCs w:val="21"/>
                    </w:rPr>
                    <w:t>647.1</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S7</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水流上游150</w:t>
                  </w:r>
                </w:p>
              </w:tc>
              <w:tc>
                <w:tcPr>
                  <w:tcW w:w="642" w:type="pct"/>
                  <w:vAlign w:val="center"/>
                </w:tcPr>
                <w:p>
                  <w:pPr>
                    <w:adjustRightInd w:val="0"/>
                    <w:snapToGrid w:val="0"/>
                    <w:spacing w:line="240" w:lineRule="auto"/>
                    <w:ind w:firstLine="0" w:firstLineChars="0"/>
                    <w:jc w:val="center"/>
                    <w:rPr>
                      <w:sz w:val="21"/>
                      <w:szCs w:val="21"/>
                    </w:rPr>
                  </w:pPr>
                  <w:r>
                    <w:rPr>
                      <w:sz w:val="21"/>
                      <w:szCs w:val="21"/>
                    </w:rPr>
                    <w:t>40.9</w:t>
                  </w:r>
                </w:p>
              </w:tc>
              <w:tc>
                <w:tcPr>
                  <w:tcW w:w="625" w:type="pct"/>
                  <w:vAlign w:val="center"/>
                </w:tcPr>
                <w:p>
                  <w:pPr>
                    <w:adjustRightInd w:val="0"/>
                    <w:snapToGrid w:val="0"/>
                    <w:spacing w:line="240" w:lineRule="auto"/>
                    <w:ind w:firstLine="0" w:firstLineChars="0"/>
                    <w:jc w:val="center"/>
                    <w:rPr>
                      <w:sz w:val="21"/>
                      <w:szCs w:val="21"/>
                    </w:rPr>
                  </w:pPr>
                  <w:r>
                    <w:rPr>
                      <w:sz w:val="21"/>
                      <w:szCs w:val="21"/>
                    </w:rPr>
                    <w:t>17</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2.5</w:t>
                  </w:r>
                </w:p>
              </w:tc>
              <w:tc>
                <w:tcPr>
                  <w:tcW w:w="688" w:type="pct"/>
                  <w:vAlign w:val="center"/>
                </w:tcPr>
                <w:p>
                  <w:pPr>
                    <w:adjustRightInd w:val="0"/>
                    <w:snapToGrid w:val="0"/>
                    <w:spacing w:line="240" w:lineRule="auto"/>
                    <w:ind w:firstLine="0" w:firstLineChars="0"/>
                    <w:jc w:val="center"/>
                    <w:rPr>
                      <w:sz w:val="21"/>
                      <w:szCs w:val="21"/>
                    </w:rPr>
                  </w:pPr>
                  <w:r>
                    <w:rPr>
                      <w:sz w:val="21"/>
                      <w:szCs w:val="21"/>
                    </w:rPr>
                    <w:t>558.3</w:t>
                  </w:r>
                </w:p>
              </w:tc>
              <w:tc>
                <w:tcPr>
                  <w:tcW w:w="708" w:type="pct"/>
                  <w:vAlign w:val="center"/>
                </w:tcPr>
                <w:p>
                  <w:pPr>
                    <w:adjustRightInd w:val="0"/>
                    <w:snapToGrid w:val="0"/>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S8</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水流上游739</w:t>
                  </w:r>
                </w:p>
              </w:tc>
              <w:tc>
                <w:tcPr>
                  <w:tcW w:w="642" w:type="pct"/>
                  <w:vAlign w:val="center"/>
                </w:tcPr>
                <w:p>
                  <w:pPr>
                    <w:adjustRightInd w:val="0"/>
                    <w:snapToGrid w:val="0"/>
                    <w:spacing w:line="240" w:lineRule="auto"/>
                    <w:ind w:firstLine="0" w:firstLineChars="0"/>
                    <w:jc w:val="center"/>
                    <w:rPr>
                      <w:sz w:val="21"/>
                      <w:szCs w:val="21"/>
                    </w:rPr>
                  </w:pPr>
                  <w:r>
                    <w:rPr>
                      <w:sz w:val="21"/>
                      <w:szCs w:val="21"/>
                    </w:rPr>
                    <w:t>49.7</w:t>
                  </w:r>
                </w:p>
              </w:tc>
              <w:tc>
                <w:tcPr>
                  <w:tcW w:w="625" w:type="pct"/>
                  <w:vAlign w:val="center"/>
                </w:tcPr>
                <w:p>
                  <w:pPr>
                    <w:adjustRightInd w:val="0"/>
                    <w:snapToGrid w:val="0"/>
                    <w:spacing w:line="240" w:lineRule="auto"/>
                    <w:ind w:firstLine="0" w:firstLineChars="0"/>
                    <w:jc w:val="center"/>
                    <w:rPr>
                      <w:sz w:val="21"/>
                      <w:szCs w:val="21"/>
                    </w:rPr>
                  </w:pPr>
                  <w:r>
                    <w:rPr>
                      <w:sz w:val="21"/>
                      <w:szCs w:val="21"/>
                    </w:rPr>
                    <w:t>9</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4.0</w:t>
                  </w:r>
                </w:p>
              </w:tc>
              <w:tc>
                <w:tcPr>
                  <w:tcW w:w="688" w:type="pct"/>
                  <w:vAlign w:val="center"/>
                </w:tcPr>
                <w:p>
                  <w:pPr>
                    <w:adjustRightInd w:val="0"/>
                    <w:snapToGrid w:val="0"/>
                    <w:spacing w:line="240" w:lineRule="auto"/>
                    <w:ind w:firstLine="0" w:firstLineChars="0"/>
                    <w:jc w:val="center"/>
                    <w:rPr>
                      <w:sz w:val="21"/>
                      <w:szCs w:val="21"/>
                    </w:rPr>
                  </w:pPr>
                  <w:r>
                    <w:rPr>
                      <w:sz w:val="21"/>
                      <w:szCs w:val="21"/>
                    </w:rPr>
                    <w:t>550.2</w:t>
                  </w:r>
                </w:p>
              </w:tc>
              <w:tc>
                <w:tcPr>
                  <w:tcW w:w="708" w:type="pct"/>
                  <w:vAlign w:val="center"/>
                </w:tcPr>
                <w:p>
                  <w:pPr>
                    <w:adjustRightInd w:val="0"/>
                    <w:snapToGrid w:val="0"/>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S9</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水流上游431</w:t>
                  </w:r>
                </w:p>
              </w:tc>
              <w:tc>
                <w:tcPr>
                  <w:tcW w:w="642" w:type="pct"/>
                  <w:vAlign w:val="center"/>
                </w:tcPr>
                <w:p>
                  <w:pPr>
                    <w:adjustRightInd w:val="0"/>
                    <w:snapToGrid w:val="0"/>
                    <w:spacing w:line="240" w:lineRule="auto"/>
                    <w:ind w:firstLine="0" w:firstLineChars="0"/>
                    <w:jc w:val="center"/>
                    <w:rPr>
                      <w:sz w:val="21"/>
                      <w:szCs w:val="21"/>
                    </w:rPr>
                  </w:pPr>
                  <w:r>
                    <w:rPr>
                      <w:sz w:val="21"/>
                      <w:szCs w:val="21"/>
                    </w:rPr>
                    <w:t>36.6</w:t>
                  </w:r>
                </w:p>
              </w:tc>
              <w:tc>
                <w:tcPr>
                  <w:tcW w:w="625" w:type="pct"/>
                  <w:vAlign w:val="center"/>
                </w:tcPr>
                <w:p>
                  <w:pPr>
                    <w:adjustRightInd w:val="0"/>
                    <w:snapToGrid w:val="0"/>
                    <w:spacing w:line="240" w:lineRule="auto"/>
                    <w:ind w:firstLine="0" w:firstLineChars="0"/>
                    <w:jc w:val="center"/>
                    <w:rPr>
                      <w:sz w:val="21"/>
                      <w:szCs w:val="21"/>
                    </w:rPr>
                  </w:pPr>
                  <w:r>
                    <w:rPr>
                      <w:sz w:val="21"/>
                      <w:szCs w:val="21"/>
                    </w:rPr>
                    <w:t>10</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1.5</w:t>
                  </w:r>
                </w:p>
              </w:tc>
              <w:tc>
                <w:tcPr>
                  <w:tcW w:w="688" w:type="pct"/>
                  <w:vAlign w:val="center"/>
                </w:tcPr>
                <w:p>
                  <w:pPr>
                    <w:adjustRightInd w:val="0"/>
                    <w:snapToGrid w:val="0"/>
                    <w:spacing w:line="240" w:lineRule="auto"/>
                    <w:ind w:firstLine="0" w:firstLineChars="0"/>
                    <w:jc w:val="center"/>
                    <w:rPr>
                      <w:sz w:val="21"/>
                      <w:szCs w:val="21"/>
                    </w:rPr>
                  </w:pPr>
                  <w:r>
                    <w:rPr>
                      <w:sz w:val="21"/>
                      <w:szCs w:val="21"/>
                    </w:rPr>
                    <w:t>462.6</w:t>
                  </w:r>
                </w:p>
              </w:tc>
              <w:tc>
                <w:tcPr>
                  <w:tcW w:w="708" w:type="pct"/>
                  <w:vAlign w:val="center"/>
                </w:tcPr>
                <w:p>
                  <w:pPr>
                    <w:adjustRightInd w:val="0"/>
                    <w:snapToGrid w:val="0"/>
                    <w:spacing w:line="240" w:lineRule="auto"/>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S10</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水流上游986</w:t>
                  </w:r>
                </w:p>
              </w:tc>
              <w:tc>
                <w:tcPr>
                  <w:tcW w:w="642" w:type="pct"/>
                  <w:vAlign w:val="center"/>
                </w:tcPr>
                <w:p>
                  <w:pPr>
                    <w:adjustRightInd w:val="0"/>
                    <w:snapToGrid w:val="0"/>
                    <w:spacing w:line="240" w:lineRule="auto"/>
                    <w:ind w:firstLine="0" w:firstLineChars="0"/>
                    <w:jc w:val="center"/>
                    <w:rPr>
                      <w:sz w:val="21"/>
                      <w:szCs w:val="21"/>
                    </w:rPr>
                  </w:pPr>
                  <w:r>
                    <w:rPr>
                      <w:sz w:val="21"/>
                      <w:szCs w:val="21"/>
                    </w:rPr>
                    <w:t>16.5</w:t>
                  </w:r>
                </w:p>
              </w:tc>
              <w:tc>
                <w:tcPr>
                  <w:tcW w:w="625" w:type="pct"/>
                  <w:vAlign w:val="center"/>
                </w:tcPr>
                <w:p>
                  <w:pPr>
                    <w:adjustRightInd w:val="0"/>
                    <w:snapToGrid w:val="0"/>
                    <w:spacing w:line="240" w:lineRule="auto"/>
                    <w:ind w:firstLine="0" w:firstLineChars="0"/>
                    <w:jc w:val="center"/>
                    <w:rPr>
                      <w:sz w:val="21"/>
                      <w:szCs w:val="21"/>
                    </w:rPr>
                  </w:pPr>
                  <w:r>
                    <w:rPr>
                      <w:sz w:val="21"/>
                      <w:szCs w:val="21"/>
                    </w:rPr>
                    <w:t>15</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2.5</w:t>
                  </w:r>
                </w:p>
              </w:tc>
              <w:tc>
                <w:tcPr>
                  <w:tcW w:w="688" w:type="pct"/>
                  <w:vAlign w:val="center"/>
                </w:tcPr>
                <w:p>
                  <w:pPr>
                    <w:adjustRightInd w:val="0"/>
                    <w:snapToGrid w:val="0"/>
                    <w:spacing w:line="240" w:lineRule="auto"/>
                    <w:ind w:firstLine="0" w:firstLineChars="0"/>
                    <w:jc w:val="center"/>
                    <w:rPr>
                      <w:sz w:val="21"/>
                      <w:szCs w:val="21"/>
                    </w:rPr>
                  </w:pPr>
                  <w:r>
                    <w:rPr>
                      <w:sz w:val="21"/>
                      <w:szCs w:val="21"/>
                    </w:rPr>
                    <w:t>483.2</w:t>
                  </w:r>
                </w:p>
              </w:tc>
              <w:tc>
                <w:tcPr>
                  <w:tcW w:w="708" w:type="pct"/>
                  <w:vAlign w:val="center"/>
                </w:tcPr>
                <w:p>
                  <w:pPr>
                    <w:adjustRightInd w:val="0"/>
                    <w:snapToGrid w:val="0"/>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S11</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水流侧向495</w:t>
                  </w:r>
                </w:p>
              </w:tc>
              <w:tc>
                <w:tcPr>
                  <w:tcW w:w="642" w:type="pct"/>
                  <w:vAlign w:val="center"/>
                </w:tcPr>
                <w:p>
                  <w:pPr>
                    <w:adjustRightInd w:val="0"/>
                    <w:snapToGrid w:val="0"/>
                    <w:spacing w:line="240" w:lineRule="auto"/>
                    <w:ind w:firstLine="0" w:firstLineChars="0"/>
                    <w:jc w:val="center"/>
                    <w:rPr>
                      <w:sz w:val="21"/>
                      <w:szCs w:val="21"/>
                    </w:rPr>
                  </w:pPr>
                  <w:r>
                    <w:rPr>
                      <w:sz w:val="21"/>
                      <w:szCs w:val="21"/>
                    </w:rPr>
                    <w:t>38.9</w:t>
                  </w:r>
                </w:p>
              </w:tc>
              <w:tc>
                <w:tcPr>
                  <w:tcW w:w="625" w:type="pct"/>
                  <w:vAlign w:val="center"/>
                </w:tcPr>
                <w:p>
                  <w:pPr>
                    <w:adjustRightInd w:val="0"/>
                    <w:snapToGrid w:val="0"/>
                    <w:spacing w:line="240" w:lineRule="auto"/>
                    <w:ind w:firstLine="0" w:firstLineChars="0"/>
                    <w:jc w:val="center"/>
                    <w:rPr>
                      <w:sz w:val="21"/>
                      <w:szCs w:val="21"/>
                    </w:rPr>
                  </w:pPr>
                  <w:r>
                    <w:rPr>
                      <w:sz w:val="21"/>
                      <w:szCs w:val="21"/>
                    </w:rPr>
                    <w:t>17</w:t>
                  </w:r>
                </w:p>
              </w:tc>
              <w:tc>
                <w:tcPr>
                  <w:tcW w:w="702" w:type="pct"/>
                  <w:vAlign w:val="center"/>
                </w:tcPr>
                <w:p>
                  <w:pPr>
                    <w:overflowPunct w:val="0"/>
                    <w:adjustRightInd w:val="0"/>
                    <w:snapToGrid w:val="0"/>
                    <w:spacing w:line="240" w:lineRule="auto"/>
                    <w:ind w:firstLine="0" w:firstLineChars="0"/>
                    <w:jc w:val="center"/>
                    <w:rPr>
                      <w:sz w:val="21"/>
                      <w:szCs w:val="21"/>
                    </w:rPr>
                  </w:pPr>
                  <w:r>
                    <w:rPr>
                      <w:sz w:val="21"/>
                      <w:szCs w:val="21"/>
                    </w:rPr>
                    <w:t>3.5</w:t>
                  </w:r>
                </w:p>
              </w:tc>
              <w:tc>
                <w:tcPr>
                  <w:tcW w:w="688" w:type="pct"/>
                  <w:vAlign w:val="center"/>
                </w:tcPr>
                <w:p>
                  <w:pPr>
                    <w:adjustRightInd w:val="0"/>
                    <w:snapToGrid w:val="0"/>
                    <w:spacing w:line="240" w:lineRule="auto"/>
                    <w:ind w:firstLine="0" w:firstLineChars="0"/>
                    <w:jc w:val="center"/>
                    <w:rPr>
                      <w:sz w:val="21"/>
                      <w:szCs w:val="21"/>
                    </w:rPr>
                  </w:pPr>
                  <w:r>
                    <w:rPr>
                      <w:sz w:val="21"/>
                      <w:szCs w:val="21"/>
                    </w:rPr>
                    <w:t>510.3</w:t>
                  </w:r>
                </w:p>
              </w:tc>
              <w:tc>
                <w:tcPr>
                  <w:tcW w:w="708" w:type="pct"/>
                  <w:vAlign w:val="center"/>
                </w:tcPr>
                <w:p>
                  <w:pPr>
                    <w:adjustRightInd w:val="0"/>
                    <w:snapToGrid w:val="0"/>
                    <w:spacing w:line="240" w:lineRule="auto"/>
                    <w:ind w:firstLine="0" w:firstLineChars="0"/>
                    <w:jc w:val="center"/>
                    <w:rPr>
                      <w:sz w:val="21"/>
                      <w:szCs w:val="21"/>
                    </w:rPr>
                  </w:pPr>
                  <w:r>
                    <w:rPr>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S12</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水流下游819</w:t>
                  </w:r>
                </w:p>
              </w:tc>
              <w:tc>
                <w:tcPr>
                  <w:tcW w:w="642" w:type="pct"/>
                  <w:vAlign w:val="center"/>
                </w:tcPr>
                <w:p>
                  <w:pPr>
                    <w:adjustRightInd w:val="0"/>
                    <w:snapToGrid w:val="0"/>
                    <w:spacing w:line="240" w:lineRule="auto"/>
                    <w:ind w:firstLine="0" w:firstLineChars="0"/>
                    <w:jc w:val="center"/>
                    <w:rPr>
                      <w:sz w:val="21"/>
                      <w:szCs w:val="21"/>
                    </w:rPr>
                  </w:pPr>
                  <w:r>
                    <w:rPr>
                      <w:sz w:val="21"/>
                      <w:szCs w:val="21"/>
                    </w:rPr>
                    <w:t>-69.5</w:t>
                  </w:r>
                </w:p>
              </w:tc>
              <w:tc>
                <w:tcPr>
                  <w:tcW w:w="625" w:type="pct"/>
                  <w:vAlign w:val="center"/>
                </w:tcPr>
                <w:p>
                  <w:pPr>
                    <w:adjustRightInd w:val="0"/>
                    <w:snapToGrid w:val="0"/>
                    <w:spacing w:line="240" w:lineRule="auto"/>
                    <w:ind w:firstLine="0" w:firstLineChars="0"/>
                    <w:jc w:val="center"/>
                    <w:rPr>
                      <w:sz w:val="21"/>
                      <w:szCs w:val="21"/>
                    </w:rPr>
                  </w:pPr>
                  <w:r>
                    <w:rPr>
                      <w:sz w:val="21"/>
                      <w:szCs w:val="21"/>
                    </w:rPr>
                    <w:t>12</w:t>
                  </w:r>
                </w:p>
              </w:tc>
              <w:tc>
                <w:tcPr>
                  <w:tcW w:w="702" w:type="pct"/>
                  <w:vAlign w:val="center"/>
                </w:tcPr>
                <w:p>
                  <w:pPr>
                    <w:adjustRightInd w:val="0"/>
                    <w:snapToGrid w:val="0"/>
                    <w:spacing w:line="240" w:lineRule="auto"/>
                    <w:ind w:firstLine="0" w:firstLineChars="0"/>
                    <w:jc w:val="center"/>
                    <w:rPr>
                      <w:sz w:val="21"/>
                      <w:szCs w:val="21"/>
                    </w:rPr>
                  </w:pPr>
                  <w:r>
                    <w:rPr>
                      <w:sz w:val="21"/>
                      <w:szCs w:val="21"/>
                    </w:rPr>
                    <w:t>2.5</w:t>
                  </w:r>
                </w:p>
              </w:tc>
              <w:tc>
                <w:tcPr>
                  <w:tcW w:w="688" w:type="pct"/>
                  <w:vAlign w:val="center"/>
                </w:tcPr>
                <w:p>
                  <w:pPr>
                    <w:adjustRightInd w:val="0"/>
                    <w:snapToGrid w:val="0"/>
                    <w:spacing w:line="240" w:lineRule="auto"/>
                    <w:ind w:firstLine="0" w:firstLineChars="0"/>
                    <w:jc w:val="center"/>
                    <w:rPr>
                      <w:sz w:val="21"/>
                      <w:szCs w:val="21"/>
                    </w:rPr>
                  </w:pPr>
                  <w:r>
                    <w:rPr>
                      <w:sz w:val="21"/>
                      <w:szCs w:val="21"/>
                    </w:rPr>
                    <w:t>429.7</w:t>
                  </w:r>
                </w:p>
              </w:tc>
              <w:tc>
                <w:tcPr>
                  <w:tcW w:w="708" w:type="pct"/>
                  <w:vAlign w:val="center"/>
                </w:tcPr>
                <w:p>
                  <w:pPr>
                    <w:adjustRightInd w:val="0"/>
                    <w:snapToGrid w:val="0"/>
                    <w:spacing w:line="240" w:lineRule="auto"/>
                    <w:ind w:firstLine="0" w:firstLineChars="0"/>
                    <w:jc w:val="center"/>
                    <w:rPr>
                      <w:sz w:val="21"/>
                      <w:szCs w:val="21"/>
                    </w:rPr>
                  </w:pPr>
                  <w:r>
                    <w:rPr>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S13</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水流下游1091</w:t>
                  </w:r>
                </w:p>
              </w:tc>
              <w:tc>
                <w:tcPr>
                  <w:tcW w:w="642" w:type="pct"/>
                  <w:vAlign w:val="center"/>
                </w:tcPr>
                <w:p>
                  <w:pPr>
                    <w:adjustRightInd w:val="0"/>
                    <w:snapToGrid w:val="0"/>
                    <w:spacing w:line="240" w:lineRule="auto"/>
                    <w:ind w:firstLine="0" w:firstLineChars="0"/>
                    <w:jc w:val="center"/>
                    <w:rPr>
                      <w:sz w:val="21"/>
                      <w:szCs w:val="21"/>
                    </w:rPr>
                  </w:pPr>
                  <w:r>
                    <w:rPr>
                      <w:sz w:val="21"/>
                      <w:szCs w:val="21"/>
                    </w:rPr>
                    <w:t>-60.7</w:t>
                  </w:r>
                </w:p>
              </w:tc>
              <w:tc>
                <w:tcPr>
                  <w:tcW w:w="625" w:type="pct"/>
                  <w:vAlign w:val="center"/>
                </w:tcPr>
                <w:p>
                  <w:pPr>
                    <w:adjustRightInd w:val="0"/>
                    <w:snapToGrid w:val="0"/>
                    <w:spacing w:line="240" w:lineRule="auto"/>
                    <w:ind w:firstLine="0" w:firstLineChars="0"/>
                    <w:jc w:val="center"/>
                    <w:rPr>
                      <w:sz w:val="21"/>
                      <w:szCs w:val="21"/>
                    </w:rPr>
                  </w:pPr>
                  <w:r>
                    <w:rPr>
                      <w:sz w:val="21"/>
                      <w:szCs w:val="21"/>
                    </w:rPr>
                    <w:t>14</w:t>
                  </w:r>
                </w:p>
              </w:tc>
              <w:tc>
                <w:tcPr>
                  <w:tcW w:w="702" w:type="pct"/>
                  <w:vAlign w:val="center"/>
                </w:tcPr>
                <w:p>
                  <w:pPr>
                    <w:adjustRightInd w:val="0"/>
                    <w:snapToGrid w:val="0"/>
                    <w:spacing w:line="240" w:lineRule="auto"/>
                    <w:ind w:firstLine="0" w:firstLineChars="0"/>
                    <w:jc w:val="center"/>
                    <w:rPr>
                      <w:sz w:val="21"/>
                      <w:szCs w:val="21"/>
                    </w:rPr>
                  </w:pPr>
                  <w:r>
                    <w:rPr>
                      <w:sz w:val="21"/>
                      <w:szCs w:val="21"/>
                    </w:rPr>
                    <w:t>3.0</w:t>
                  </w:r>
                </w:p>
              </w:tc>
              <w:tc>
                <w:tcPr>
                  <w:tcW w:w="688" w:type="pct"/>
                  <w:vAlign w:val="center"/>
                </w:tcPr>
                <w:p>
                  <w:pPr>
                    <w:adjustRightInd w:val="0"/>
                    <w:snapToGrid w:val="0"/>
                    <w:spacing w:line="240" w:lineRule="auto"/>
                    <w:ind w:firstLine="0" w:firstLineChars="0"/>
                    <w:jc w:val="center"/>
                    <w:rPr>
                      <w:sz w:val="21"/>
                      <w:szCs w:val="21"/>
                    </w:rPr>
                  </w:pPr>
                  <w:r>
                    <w:rPr>
                      <w:sz w:val="21"/>
                      <w:szCs w:val="21"/>
                    </w:rPr>
                    <w:t>438.5</w:t>
                  </w:r>
                </w:p>
              </w:tc>
              <w:tc>
                <w:tcPr>
                  <w:tcW w:w="708" w:type="pct"/>
                  <w:vAlign w:val="center"/>
                </w:tcPr>
                <w:p>
                  <w:pPr>
                    <w:adjustRightInd w:val="0"/>
                    <w:snapToGrid w:val="0"/>
                    <w:spacing w:line="240" w:lineRule="auto"/>
                    <w:ind w:firstLine="0" w:firstLineChars="0"/>
                    <w:jc w:val="center"/>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S14</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水流下游1101</w:t>
                  </w:r>
                </w:p>
              </w:tc>
              <w:tc>
                <w:tcPr>
                  <w:tcW w:w="642" w:type="pct"/>
                  <w:vAlign w:val="center"/>
                </w:tcPr>
                <w:p>
                  <w:pPr>
                    <w:adjustRightInd w:val="0"/>
                    <w:snapToGrid w:val="0"/>
                    <w:spacing w:line="240" w:lineRule="auto"/>
                    <w:ind w:firstLine="0" w:firstLineChars="0"/>
                    <w:jc w:val="center"/>
                    <w:rPr>
                      <w:sz w:val="21"/>
                      <w:szCs w:val="21"/>
                    </w:rPr>
                  </w:pPr>
                  <w:r>
                    <w:rPr>
                      <w:sz w:val="21"/>
                      <w:szCs w:val="21"/>
                    </w:rPr>
                    <w:t>-48.8</w:t>
                  </w:r>
                </w:p>
              </w:tc>
              <w:tc>
                <w:tcPr>
                  <w:tcW w:w="625" w:type="pct"/>
                  <w:vAlign w:val="center"/>
                </w:tcPr>
                <w:p>
                  <w:pPr>
                    <w:adjustRightInd w:val="0"/>
                    <w:snapToGrid w:val="0"/>
                    <w:spacing w:line="240" w:lineRule="auto"/>
                    <w:ind w:firstLine="0" w:firstLineChars="0"/>
                    <w:jc w:val="center"/>
                    <w:rPr>
                      <w:sz w:val="21"/>
                      <w:szCs w:val="21"/>
                    </w:rPr>
                  </w:pPr>
                  <w:r>
                    <w:rPr>
                      <w:sz w:val="21"/>
                      <w:szCs w:val="21"/>
                    </w:rPr>
                    <w:t>13</w:t>
                  </w:r>
                </w:p>
              </w:tc>
              <w:tc>
                <w:tcPr>
                  <w:tcW w:w="702" w:type="pct"/>
                  <w:vAlign w:val="center"/>
                </w:tcPr>
                <w:p>
                  <w:pPr>
                    <w:adjustRightInd w:val="0"/>
                    <w:snapToGrid w:val="0"/>
                    <w:spacing w:line="240" w:lineRule="auto"/>
                    <w:ind w:firstLine="0" w:firstLineChars="0"/>
                    <w:jc w:val="center"/>
                    <w:rPr>
                      <w:sz w:val="21"/>
                      <w:szCs w:val="21"/>
                    </w:rPr>
                  </w:pPr>
                  <w:r>
                    <w:rPr>
                      <w:sz w:val="21"/>
                      <w:szCs w:val="21"/>
                    </w:rPr>
                    <w:t>2.8</w:t>
                  </w:r>
                </w:p>
              </w:tc>
              <w:tc>
                <w:tcPr>
                  <w:tcW w:w="688" w:type="pct"/>
                  <w:vAlign w:val="center"/>
                </w:tcPr>
                <w:p>
                  <w:pPr>
                    <w:adjustRightInd w:val="0"/>
                    <w:snapToGrid w:val="0"/>
                    <w:spacing w:line="240" w:lineRule="auto"/>
                    <w:ind w:firstLine="0" w:firstLineChars="0"/>
                    <w:jc w:val="center"/>
                    <w:rPr>
                      <w:sz w:val="21"/>
                      <w:szCs w:val="21"/>
                    </w:rPr>
                  </w:pPr>
                  <w:r>
                    <w:rPr>
                      <w:sz w:val="21"/>
                      <w:szCs w:val="21"/>
                    </w:rPr>
                    <w:t>450.4</w:t>
                  </w:r>
                </w:p>
              </w:tc>
              <w:tc>
                <w:tcPr>
                  <w:tcW w:w="708" w:type="pct"/>
                  <w:vAlign w:val="center"/>
                </w:tcPr>
                <w:p>
                  <w:pPr>
                    <w:adjustRightInd w:val="0"/>
                    <w:snapToGrid w:val="0"/>
                    <w:spacing w:line="240" w:lineRule="auto"/>
                    <w:ind w:firstLine="0" w:firstLineChars="0"/>
                    <w:jc w:val="center"/>
                    <w:rPr>
                      <w:sz w:val="21"/>
                      <w:szCs w:val="21"/>
                    </w:rPr>
                  </w:pPr>
                  <w:r>
                    <w:rPr>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S15</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水流侧向712</w:t>
                  </w:r>
                </w:p>
              </w:tc>
              <w:tc>
                <w:tcPr>
                  <w:tcW w:w="642" w:type="pct"/>
                  <w:vAlign w:val="center"/>
                </w:tcPr>
                <w:p>
                  <w:pPr>
                    <w:adjustRightInd w:val="0"/>
                    <w:snapToGrid w:val="0"/>
                    <w:spacing w:line="240" w:lineRule="auto"/>
                    <w:ind w:firstLine="0" w:firstLineChars="0"/>
                    <w:jc w:val="center"/>
                    <w:rPr>
                      <w:sz w:val="21"/>
                      <w:szCs w:val="21"/>
                    </w:rPr>
                  </w:pPr>
                  <w:r>
                    <w:rPr>
                      <w:sz w:val="21"/>
                      <w:szCs w:val="21"/>
                    </w:rPr>
                    <w:t>35.9</w:t>
                  </w:r>
                </w:p>
              </w:tc>
              <w:tc>
                <w:tcPr>
                  <w:tcW w:w="625" w:type="pct"/>
                  <w:vAlign w:val="center"/>
                </w:tcPr>
                <w:p>
                  <w:pPr>
                    <w:adjustRightInd w:val="0"/>
                    <w:snapToGrid w:val="0"/>
                    <w:spacing w:line="240" w:lineRule="auto"/>
                    <w:ind w:firstLine="0" w:firstLineChars="0"/>
                    <w:jc w:val="center"/>
                    <w:rPr>
                      <w:sz w:val="21"/>
                      <w:szCs w:val="21"/>
                    </w:rPr>
                  </w:pPr>
                  <w:r>
                    <w:rPr>
                      <w:sz w:val="21"/>
                      <w:szCs w:val="21"/>
                    </w:rPr>
                    <w:t>16</w:t>
                  </w:r>
                </w:p>
              </w:tc>
              <w:tc>
                <w:tcPr>
                  <w:tcW w:w="702" w:type="pct"/>
                  <w:vAlign w:val="center"/>
                </w:tcPr>
                <w:p>
                  <w:pPr>
                    <w:adjustRightInd w:val="0"/>
                    <w:snapToGrid w:val="0"/>
                    <w:spacing w:line="240" w:lineRule="auto"/>
                    <w:ind w:firstLine="0" w:firstLineChars="0"/>
                    <w:jc w:val="center"/>
                    <w:rPr>
                      <w:sz w:val="21"/>
                      <w:szCs w:val="21"/>
                    </w:rPr>
                  </w:pPr>
                  <w:r>
                    <w:rPr>
                      <w:sz w:val="21"/>
                      <w:szCs w:val="21"/>
                    </w:rPr>
                    <w:t>3.5</w:t>
                  </w:r>
                </w:p>
              </w:tc>
              <w:tc>
                <w:tcPr>
                  <w:tcW w:w="688" w:type="pct"/>
                  <w:vAlign w:val="center"/>
                </w:tcPr>
                <w:p>
                  <w:pPr>
                    <w:adjustRightInd w:val="0"/>
                    <w:snapToGrid w:val="0"/>
                    <w:spacing w:line="240" w:lineRule="auto"/>
                    <w:ind w:firstLine="0" w:firstLineChars="0"/>
                    <w:jc w:val="center"/>
                    <w:rPr>
                      <w:sz w:val="21"/>
                      <w:szCs w:val="21"/>
                    </w:rPr>
                  </w:pPr>
                  <w:r>
                    <w:rPr>
                      <w:sz w:val="21"/>
                      <w:szCs w:val="21"/>
                    </w:rPr>
                    <w:t>518.3</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S16</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水流下游619</w:t>
                  </w:r>
                </w:p>
              </w:tc>
              <w:tc>
                <w:tcPr>
                  <w:tcW w:w="642" w:type="pct"/>
                  <w:vAlign w:val="center"/>
                </w:tcPr>
                <w:p>
                  <w:pPr>
                    <w:adjustRightInd w:val="0"/>
                    <w:snapToGrid w:val="0"/>
                    <w:spacing w:line="240" w:lineRule="auto"/>
                    <w:ind w:firstLine="0" w:firstLineChars="0"/>
                    <w:jc w:val="center"/>
                    <w:rPr>
                      <w:sz w:val="21"/>
                      <w:szCs w:val="21"/>
                    </w:rPr>
                  </w:pPr>
                  <w:r>
                    <w:rPr>
                      <w:sz w:val="21"/>
                      <w:szCs w:val="21"/>
                    </w:rPr>
                    <w:t>-55.3</w:t>
                  </w:r>
                </w:p>
              </w:tc>
              <w:tc>
                <w:tcPr>
                  <w:tcW w:w="625" w:type="pct"/>
                  <w:vAlign w:val="center"/>
                </w:tcPr>
                <w:p>
                  <w:pPr>
                    <w:adjustRightInd w:val="0"/>
                    <w:snapToGrid w:val="0"/>
                    <w:spacing w:line="240" w:lineRule="auto"/>
                    <w:ind w:firstLine="0" w:firstLineChars="0"/>
                    <w:jc w:val="center"/>
                    <w:rPr>
                      <w:sz w:val="21"/>
                      <w:szCs w:val="21"/>
                    </w:rPr>
                  </w:pPr>
                  <w:r>
                    <w:rPr>
                      <w:sz w:val="21"/>
                      <w:szCs w:val="21"/>
                    </w:rPr>
                    <w:t>13</w:t>
                  </w:r>
                </w:p>
              </w:tc>
              <w:tc>
                <w:tcPr>
                  <w:tcW w:w="702" w:type="pct"/>
                  <w:vAlign w:val="center"/>
                </w:tcPr>
                <w:p>
                  <w:pPr>
                    <w:adjustRightInd w:val="0"/>
                    <w:snapToGrid w:val="0"/>
                    <w:spacing w:line="240" w:lineRule="auto"/>
                    <w:ind w:firstLine="0" w:firstLineChars="0"/>
                    <w:jc w:val="center"/>
                    <w:rPr>
                      <w:sz w:val="21"/>
                      <w:szCs w:val="21"/>
                    </w:rPr>
                  </w:pPr>
                  <w:r>
                    <w:rPr>
                      <w:sz w:val="21"/>
                      <w:szCs w:val="21"/>
                    </w:rPr>
                    <w:t>3.1</w:t>
                  </w:r>
                </w:p>
              </w:tc>
              <w:tc>
                <w:tcPr>
                  <w:tcW w:w="688" w:type="pct"/>
                  <w:vAlign w:val="center"/>
                </w:tcPr>
                <w:p>
                  <w:pPr>
                    <w:adjustRightInd w:val="0"/>
                    <w:snapToGrid w:val="0"/>
                    <w:spacing w:line="240" w:lineRule="auto"/>
                    <w:ind w:firstLine="0" w:firstLineChars="0"/>
                    <w:jc w:val="center"/>
                    <w:rPr>
                      <w:sz w:val="21"/>
                      <w:szCs w:val="21"/>
                    </w:rPr>
                  </w:pPr>
                  <w:r>
                    <w:rPr>
                      <w:sz w:val="21"/>
                      <w:szCs w:val="21"/>
                    </w:rPr>
                    <w:t>493.9</w:t>
                  </w:r>
                </w:p>
              </w:tc>
              <w:tc>
                <w:tcPr>
                  <w:tcW w:w="708" w:type="pct"/>
                  <w:vAlign w:val="center"/>
                </w:tcPr>
                <w:p>
                  <w:pPr>
                    <w:adjustRightInd w:val="0"/>
                    <w:snapToGrid w:val="0"/>
                    <w:spacing w:line="240" w:lineRule="auto"/>
                    <w:ind w:firstLine="0" w:firstLineChars="0"/>
                    <w:jc w:val="center"/>
                    <w:rPr>
                      <w:sz w:val="21"/>
                      <w:szCs w:val="21"/>
                    </w:rPr>
                  </w:pPr>
                  <w:r>
                    <w:rPr>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S17</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水流下游1534</w:t>
                  </w:r>
                </w:p>
              </w:tc>
              <w:tc>
                <w:tcPr>
                  <w:tcW w:w="642" w:type="pct"/>
                  <w:vAlign w:val="center"/>
                </w:tcPr>
                <w:p>
                  <w:pPr>
                    <w:adjustRightInd w:val="0"/>
                    <w:snapToGrid w:val="0"/>
                    <w:spacing w:line="240" w:lineRule="auto"/>
                    <w:ind w:firstLine="0" w:firstLineChars="0"/>
                    <w:jc w:val="center"/>
                    <w:rPr>
                      <w:sz w:val="21"/>
                      <w:szCs w:val="21"/>
                    </w:rPr>
                  </w:pPr>
                  <w:r>
                    <w:rPr>
                      <w:sz w:val="21"/>
                      <w:szCs w:val="21"/>
                    </w:rPr>
                    <w:t>-80.4</w:t>
                  </w:r>
                </w:p>
              </w:tc>
              <w:tc>
                <w:tcPr>
                  <w:tcW w:w="625" w:type="pct"/>
                  <w:vAlign w:val="center"/>
                </w:tcPr>
                <w:p>
                  <w:pPr>
                    <w:adjustRightInd w:val="0"/>
                    <w:snapToGrid w:val="0"/>
                    <w:spacing w:line="240" w:lineRule="auto"/>
                    <w:ind w:firstLine="0" w:firstLineChars="0"/>
                    <w:jc w:val="center"/>
                    <w:rPr>
                      <w:sz w:val="21"/>
                      <w:szCs w:val="21"/>
                    </w:rPr>
                  </w:pPr>
                  <w:r>
                    <w:rPr>
                      <w:sz w:val="21"/>
                      <w:szCs w:val="21"/>
                    </w:rPr>
                    <w:t>16</w:t>
                  </w:r>
                </w:p>
              </w:tc>
              <w:tc>
                <w:tcPr>
                  <w:tcW w:w="702" w:type="pct"/>
                  <w:vAlign w:val="center"/>
                </w:tcPr>
                <w:p>
                  <w:pPr>
                    <w:adjustRightInd w:val="0"/>
                    <w:snapToGrid w:val="0"/>
                    <w:spacing w:line="240" w:lineRule="auto"/>
                    <w:ind w:firstLine="0" w:firstLineChars="0"/>
                    <w:jc w:val="center"/>
                    <w:rPr>
                      <w:sz w:val="21"/>
                      <w:szCs w:val="21"/>
                    </w:rPr>
                  </w:pPr>
                  <w:r>
                    <w:rPr>
                      <w:sz w:val="21"/>
                      <w:szCs w:val="21"/>
                    </w:rPr>
                    <w:t>2.6</w:t>
                  </w:r>
                </w:p>
              </w:tc>
              <w:tc>
                <w:tcPr>
                  <w:tcW w:w="688" w:type="pct"/>
                  <w:vAlign w:val="center"/>
                </w:tcPr>
                <w:p>
                  <w:pPr>
                    <w:adjustRightInd w:val="0"/>
                    <w:snapToGrid w:val="0"/>
                    <w:spacing w:line="240" w:lineRule="auto"/>
                    <w:ind w:firstLine="0" w:firstLineChars="0"/>
                    <w:jc w:val="center"/>
                    <w:rPr>
                      <w:sz w:val="21"/>
                      <w:szCs w:val="21"/>
                    </w:rPr>
                  </w:pPr>
                  <w:r>
                    <w:rPr>
                      <w:sz w:val="21"/>
                      <w:szCs w:val="21"/>
                    </w:rPr>
                    <w:t>358.8</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vAlign w:val="center"/>
                </w:tcPr>
                <w:p>
                  <w:pPr>
                    <w:adjustRightInd w:val="0"/>
                    <w:snapToGrid w:val="0"/>
                    <w:spacing w:line="240" w:lineRule="auto"/>
                    <w:ind w:firstLine="0" w:firstLineChars="0"/>
                    <w:jc w:val="center"/>
                    <w:rPr>
                      <w:sz w:val="21"/>
                      <w:szCs w:val="21"/>
                    </w:rPr>
                  </w:pPr>
                  <w:r>
                    <w:rPr>
                      <w:sz w:val="21"/>
                      <w:szCs w:val="21"/>
                    </w:rPr>
                    <w:t>S18</w:t>
                  </w:r>
                </w:p>
              </w:tc>
              <w:tc>
                <w:tcPr>
                  <w:tcW w:w="1177" w:type="pct"/>
                  <w:vAlign w:val="center"/>
                </w:tcPr>
                <w:p>
                  <w:pPr>
                    <w:adjustRightInd w:val="0"/>
                    <w:snapToGrid w:val="0"/>
                    <w:spacing w:line="240" w:lineRule="auto"/>
                    <w:ind w:firstLine="0" w:firstLineChars="0"/>
                    <w:jc w:val="center"/>
                    <w:rPr>
                      <w:sz w:val="21"/>
                      <w:szCs w:val="21"/>
                    </w:rPr>
                  </w:pPr>
                  <w:r>
                    <w:rPr>
                      <w:sz w:val="21"/>
                      <w:szCs w:val="21"/>
                    </w:rPr>
                    <w:t>水流下游792</w:t>
                  </w:r>
                </w:p>
              </w:tc>
              <w:tc>
                <w:tcPr>
                  <w:tcW w:w="642" w:type="pct"/>
                  <w:vAlign w:val="center"/>
                </w:tcPr>
                <w:p>
                  <w:pPr>
                    <w:adjustRightInd w:val="0"/>
                    <w:snapToGrid w:val="0"/>
                    <w:spacing w:line="240" w:lineRule="auto"/>
                    <w:ind w:firstLine="0" w:firstLineChars="0"/>
                    <w:jc w:val="center"/>
                    <w:rPr>
                      <w:sz w:val="21"/>
                      <w:szCs w:val="21"/>
                    </w:rPr>
                  </w:pPr>
                  <w:r>
                    <w:rPr>
                      <w:sz w:val="21"/>
                      <w:szCs w:val="21"/>
                    </w:rPr>
                    <w:t>79.6</w:t>
                  </w:r>
                </w:p>
              </w:tc>
              <w:tc>
                <w:tcPr>
                  <w:tcW w:w="625" w:type="pct"/>
                  <w:vAlign w:val="center"/>
                </w:tcPr>
                <w:p>
                  <w:pPr>
                    <w:adjustRightInd w:val="0"/>
                    <w:snapToGrid w:val="0"/>
                    <w:spacing w:line="240" w:lineRule="auto"/>
                    <w:ind w:firstLine="0" w:firstLineChars="0"/>
                    <w:jc w:val="center"/>
                    <w:rPr>
                      <w:sz w:val="21"/>
                      <w:szCs w:val="21"/>
                    </w:rPr>
                  </w:pPr>
                  <w:r>
                    <w:rPr>
                      <w:sz w:val="21"/>
                      <w:szCs w:val="21"/>
                    </w:rPr>
                    <w:t>18</w:t>
                  </w:r>
                </w:p>
              </w:tc>
              <w:tc>
                <w:tcPr>
                  <w:tcW w:w="702" w:type="pct"/>
                  <w:vAlign w:val="center"/>
                </w:tcPr>
                <w:p>
                  <w:pPr>
                    <w:adjustRightInd w:val="0"/>
                    <w:snapToGrid w:val="0"/>
                    <w:spacing w:line="240" w:lineRule="auto"/>
                    <w:ind w:firstLine="0" w:firstLineChars="0"/>
                    <w:jc w:val="center"/>
                    <w:rPr>
                      <w:sz w:val="21"/>
                      <w:szCs w:val="21"/>
                    </w:rPr>
                  </w:pPr>
                  <w:r>
                    <w:rPr>
                      <w:sz w:val="21"/>
                      <w:szCs w:val="21"/>
                    </w:rPr>
                    <w:t>3.7</w:t>
                  </w:r>
                </w:p>
              </w:tc>
              <w:tc>
                <w:tcPr>
                  <w:tcW w:w="688" w:type="pct"/>
                  <w:vAlign w:val="center"/>
                </w:tcPr>
                <w:p>
                  <w:pPr>
                    <w:adjustRightInd w:val="0"/>
                    <w:snapToGrid w:val="0"/>
                    <w:spacing w:line="240" w:lineRule="auto"/>
                    <w:ind w:firstLine="0" w:firstLineChars="0"/>
                    <w:jc w:val="center"/>
                    <w:rPr>
                      <w:sz w:val="21"/>
                      <w:szCs w:val="21"/>
                    </w:rPr>
                  </w:pPr>
                  <w:r>
                    <w:rPr>
                      <w:sz w:val="21"/>
                      <w:szCs w:val="21"/>
                    </w:rPr>
                    <w:t>481.6</w:t>
                  </w:r>
                </w:p>
              </w:tc>
              <w:tc>
                <w:tcPr>
                  <w:tcW w:w="708" w:type="pct"/>
                  <w:vAlign w:val="center"/>
                </w:tcPr>
                <w:p>
                  <w:pPr>
                    <w:adjustRightInd w:val="0"/>
                    <w:snapToGrid w:val="0"/>
                    <w:spacing w:line="240" w:lineRule="auto"/>
                    <w:ind w:firstLine="0" w:firstLineChars="0"/>
                    <w:jc w:val="center"/>
                    <w:rPr>
                      <w:sz w:val="21"/>
                      <w:szCs w:val="21"/>
                    </w:rPr>
                  </w:pPr>
                  <w:r>
                    <w:rPr>
                      <w:sz w:val="21"/>
                      <w:szCs w:val="21"/>
                    </w:rPr>
                    <w:t>3</w:t>
                  </w:r>
                </w:p>
              </w:tc>
            </w:tr>
          </w:tbl>
          <w:p>
            <w:pPr>
              <w:adjustRightInd w:val="0"/>
              <w:snapToGrid w:val="0"/>
              <w:ind w:firstLine="420"/>
              <w:rPr>
                <w:snapToGrid w:val="0"/>
                <w:kern w:val="0"/>
                <w:sz w:val="21"/>
                <w:szCs w:val="21"/>
              </w:rPr>
            </w:pPr>
            <w:r>
              <w:rPr>
                <w:rFonts w:hint="eastAsia"/>
                <w:snapToGrid w:val="0"/>
                <w:kern w:val="0"/>
                <w:sz w:val="21"/>
                <w:szCs w:val="21"/>
              </w:rPr>
              <w:t>④大气环境敏感点：</w:t>
            </w:r>
          </w:p>
          <w:p>
            <w:pPr>
              <w:adjustRightInd w:val="0"/>
              <w:snapToGrid w:val="0"/>
              <w:ind w:firstLine="420"/>
              <w:rPr>
                <w:snapToGrid w:val="0"/>
                <w:kern w:val="0"/>
                <w:sz w:val="21"/>
                <w:szCs w:val="21"/>
              </w:rPr>
            </w:pPr>
            <w:r>
              <w:rPr>
                <w:rFonts w:hint="eastAsia"/>
                <w:snapToGrid w:val="0"/>
                <w:kern w:val="0"/>
                <w:sz w:val="21"/>
                <w:szCs w:val="21"/>
              </w:rPr>
              <w:t>项目场界500m范围内的居住区和农村地区中人群较集中的区域等保护目标。</w:t>
            </w:r>
          </w:p>
          <w:p>
            <w:pPr>
              <w:adjustRightInd w:val="0"/>
              <w:snapToGrid w:val="0"/>
              <w:ind w:firstLine="420"/>
              <w:rPr>
                <w:snapToGrid w:val="0"/>
                <w:kern w:val="0"/>
                <w:sz w:val="21"/>
                <w:szCs w:val="21"/>
              </w:rPr>
            </w:pPr>
            <w:r>
              <w:rPr>
                <w:rFonts w:hint="eastAsia"/>
                <w:snapToGrid w:val="0"/>
                <w:kern w:val="0"/>
                <w:sz w:val="21"/>
                <w:szCs w:val="21"/>
              </w:rPr>
              <w:t>⑤土壤环境敏感点：项目周边主要分布有耕地、林地，土壤环境敏感点为井场周边200m范围内分布的耕地。</w:t>
            </w:r>
          </w:p>
          <w:p>
            <w:pPr>
              <w:adjustRightInd w:val="0"/>
              <w:snapToGrid w:val="0"/>
              <w:ind w:firstLine="420"/>
              <w:rPr>
                <w:snapToGrid w:val="0"/>
                <w:kern w:val="0"/>
                <w:sz w:val="21"/>
                <w:szCs w:val="21"/>
              </w:rPr>
            </w:pPr>
            <w:r>
              <w:rPr>
                <w:rFonts w:hint="eastAsia"/>
                <w:snapToGrid w:val="0"/>
                <w:kern w:val="0"/>
                <w:sz w:val="21"/>
                <w:szCs w:val="21"/>
              </w:rPr>
              <w:t>⑥声环境敏感点：井口周边300m范围内居民。</w:t>
            </w:r>
          </w:p>
          <w:p>
            <w:pPr>
              <w:adjustRightInd w:val="0"/>
              <w:snapToGrid w:val="0"/>
              <w:ind w:firstLine="420"/>
              <w:rPr>
                <w:snapToGrid w:val="0"/>
                <w:kern w:val="0"/>
                <w:sz w:val="21"/>
                <w:szCs w:val="21"/>
              </w:rPr>
            </w:pPr>
            <w:r>
              <w:rPr>
                <w:rFonts w:hint="eastAsia"/>
                <w:snapToGrid w:val="0"/>
                <w:kern w:val="0"/>
                <w:sz w:val="21"/>
                <w:szCs w:val="21"/>
              </w:rPr>
              <w:t>⑦环境风险敏感目标：距离井场边界5km的范围内的场镇、学校、医院等人口相对密集的场所等。</w:t>
            </w:r>
          </w:p>
          <w:p>
            <w:pPr>
              <w:adjustRightInd w:val="0"/>
              <w:snapToGrid w:val="0"/>
              <w:ind w:firstLine="0" w:firstLineChars="0"/>
              <w:jc w:val="center"/>
              <w:rPr>
                <w:b/>
                <w:snapToGrid w:val="0"/>
                <w:kern w:val="0"/>
                <w:sz w:val="21"/>
                <w:szCs w:val="21"/>
              </w:rPr>
            </w:pPr>
            <w:r>
              <w:rPr>
                <w:rFonts w:hint="eastAsia"/>
                <w:b/>
                <w:snapToGrid w:val="0"/>
                <w:kern w:val="0"/>
                <w:sz w:val="21"/>
                <w:szCs w:val="21"/>
              </w:rPr>
              <w:t>表3-1</w:t>
            </w:r>
            <w:r>
              <w:rPr>
                <w:b/>
                <w:snapToGrid w:val="0"/>
                <w:kern w:val="0"/>
                <w:sz w:val="21"/>
                <w:szCs w:val="21"/>
              </w:rPr>
              <w:t>6</w:t>
            </w:r>
            <w:r>
              <w:rPr>
                <w:rFonts w:hint="eastAsia"/>
                <w:b/>
                <w:snapToGrid w:val="0"/>
                <w:kern w:val="0"/>
                <w:sz w:val="21"/>
                <w:szCs w:val="21"/>
              </w:rPr>
              <w:t>项目主要环境保护目标</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746"/>
              <w:gridCol w:w="746"/>
              <w:gridCol w:w="1343"/>
              <w:gridCol w:w="2070"/>
              <w:gridCol w:w="1747"/>
              <w:gridCol w:w="717"/>
              <w:gridCol w:w="1553"/>
              <w:gridCol w:w="1435"/>
              <w:gridCol w:w="1590"/>
              <w:gridCol w:w="11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blHeader/>
                <w:jc w:val="center"/>
              </w:trPr>
              <w:tc>
                <w:tcPr>
                  <w:tcW w:w="284"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环境</w:t>
                  </w:r>
                </w:p>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要素</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环境保护目标</w:t>
                  </w:r>
                </w:p>
              </w:tc>
              <w:tc>
                <w:tcPr>
                  <w:tcW w:w="1453" w:type="pct"/>
                  <w:gridSpan w:val="2"/>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与井口方位及距离m</w:t>
                  </w:r>
                </w:p>
              </w:tc>
              <w:tc>
                <w:tcPr>
                  <w:tcW w:w="864" w:type="pct"/>
                  <w:gridSpan w:val="2"/>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与燃烧池距离m</w:t>
                  </w:r>
                </w:p>
              </w:tc>
              <w:tc>
                <w:tcPr>
                  <w:tcW w:w="546"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highlight w:val="yellow"/>
                    </w:rPr>
                  </w:pPr>
                  <w:r>
                    <w:rPr>
                      <w:snapToGrid w:val="0"/>
                      <w:kern w:val="0"/>
                      <w:sz w:val="21"/>
                      <w:szCs w:val="21"/>
                    </w:rPr>
                    <w:t>与井场高差m</w:t>
                  </w:r>
                </w:p>
              </w:tc>
              <w:tc>
                <w:tcPr>
                  <w:tcW w:w="605"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影响规模、功能</w:t>
                  </w:r>
                </w:p>
              </w:tc>
              <w:tc>
                <w:tcPr>
                  <w:tcW w:w="453"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影响因素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blHeader/>
                <w:jc w:val="center"/>
              </w:trPr>
              <w:tc>
                <w:tcPr>
                  <w:tcW w:w="284"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序号</w:t>
                  </w:r>
                </w:p>
              </w:tc>
              <w:tc>
                <w:tcPr>
                  <w:tcW w:w="511"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房屋编号</w:t>
                  </w:r>
                </w:p>
              </w:tc>
              <w:tc>
                <w:tcPr>
                  <w:tcW w:w="1453" w:type="pct"/>
                  <w:gridSpan w:val="2"/>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864" w:type="pct"/>
                  <w:gridSpan w:val="2"/>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546"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highlight w:val="yellow"/>
                    </w:rPr>
                  </w:pPr>
                </w:p>
              </w:tc>
              <w:tc>
                <w:tcPr>
                  <w:tcW w:w="605"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453"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声环境、大气环境</w:t>
                  </w: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w:t>
                  </w:r>
                </w:p>
              </w:tc>
              <w:tc>
                <w:tcPr>
                  <w:tcW w:w="511" w:type="pct"/>
                  <w:tcBorders>
                    <w:top w:val="single" w:color="auto" w:sz="2" w:space="0"/>
                    <w:left w:val="single" w:color="auto" w:sz="4" w:space="0"/>
                    <w:bottom w:val="single" w:color="auto" w:sz="2" w:space="0"/>
                    <w:right w:val="single" w:color="auto" w:sz="2" w:space="0"/>
                  </w:tcBorders>
                  <w:vAlign w:val="center"/>
                </w:tcPr>
                <w:p>
                  <w:pPr>
                    <w:widowControl/>
                    <w:adjustRightInd w:val="0"/>
                    <w:snapToGrid w:val="0"/>
                    <w:spacing w:line="240" w:lineRule="auto"/>
                    <w:ind w:firstLine="0" w:firstLineChars="0"/>
                    <w:jc w:val="center"/>
                    <w:rPr>
                      <w:kern w:val="0"/>
                      <w:sz w:val="21"/>
                      <w:szCs w:val="21"/>
                    </w:rPr>
                  </w:pPr>
                  <w:r>
                    <w:rPr>
                      <w:sz w:val="21"/>
                      <w:szCs w:val="21"/>
                    </w:rPr>
                    <w:t>1#</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33°</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113~137</w:t>
                  </w:r>
                </w:p>
              </w:tc>
              <w:tc>
                <w:tcPr>
                  <w:tcW w:w="864" w:type="pct"/>
                  <w:gridSpan w:val="2"/>
                  <w:tcBorders>
                    <w:top w:val="single" w:color="auto" w:sz="2" w:space="0"/>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228~260</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15~20</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3户7人</w:t>
                  </w:r>
                </w:p>
              </w:tc>
              <w:tc>
                <w:tcPr>
                  <w:tcW w:w="453"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钻前施工噪声、钻井噪声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2</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南偏东</w:t>
                  </w:r>
                  <w:r>
                    <w:rPr>
                      <w:sz w:val="21"/>
                      <w:szCs w:val="21"/>
                    </w:rPr>
                    <w:t>42°</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229~267</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206~224</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-4~1</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2户8人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3</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27°</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214~254</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176~197</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-75~-71</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3户9人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r>
                    <w:rPr>
                      <w:snapToGrid w:val="0"/>
                      <w:kern w:val="0"/>
                      <w:sz w:val="21"/>
                      <w:szCs w:val="21"/>
                    </w:rPr>
                    <w:t>大气环境</w:t>
                  </w: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4</w:t>
                  </w:r>
                </w:p>
              </w:tc>
              <w:tc>
                <w:tcPr>
                  <w:tcW w:w="511" w:type="pct"/>
                  <w:tcBorders>
                    <w:top w:val="single" w:color="auto" w:sz="2" w:space="0"/>
                    <w:left w:val="single" w:color="auto" w:sz="4" w:space="0"/>
                    <w:bottom w:val="single" w:color="auto" w:sz="2" w:space="0"/>
                    <w:right w:val="single" w:color="auto" w:sz="2" w:space="0"/>
                  </w:tcBorders>
                  <w:vAlign w:val="center"/>
                </w:tcPr>
                <w:p>
                  <w:pPr>
                    <w:widowControl/>
                    <w:adjustRightInd w:val="0"/>
                    <w:snapToGrid w:val="0"/>
                    <w:spacing w:line="240" w:lineRule="auto"/>
                    <w:ind w:firstLine="0" w:firstLineChars="0"/>
                    <w:jc w:val="center"/>
                    <w:rPr>
                      <w:kern w:val="0"/>
                      <w:sz w:val="21"/>
                      <w:szCs w:val="21"/>
                    </w:rPr>
                  </w:pPr>
                  <w:r>
                    <w:rPr>
                      <w:sz w:val="21"/>
                      <w:szCs w:val="21"/>
                    </w:rPr>
                    <w:t>1#</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13°</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307~325</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356~399</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21~28</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3户8人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5</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17°</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385~443</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476~527</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40~41</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4户13人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6</w:t>
                  </w:r>
                </w:p>
              </w:tc>
              <w:tc>
                <w:tcPr>
                  <w:tcW w:w="511" w:type="pct"/>
                  <w:tcBorders>
                    <w:top w:val="single" w:color="auto" w:sz="2" w:space="0"/>
                    <w:left w:val="single" w:color="auto" w:sz="4" w:space="0"/>
                    <w:bottom w:val="single" w:color="auto" w:sz="2" w:space="0"/>
                    <w:right w:val="single" w:color="auto" w:sz="2" w:space="0"/>
                  </w:tcBorders>
                  <w:vAlign w:val="center"/>
                </w:tcPr>
                <w:p>
                  <w:pPr>
                    <w:widowControl/>
                    <w:adjustRightInd w:val="0"/>
                    <w:snapToGrid w:val="0"/>
                    <w:spacing w:line="240" w:lineRule="auto"/>
                    <w:ind w:firstLine="0" w:firstLineChars="0"/>
                    <w:jc w:val="center"/>
                    <w:rPr>
                      <w:kern w:val="0"/>
                      <w:sz w:val="21"/>
                      <w:szCs w:val="21"/>
                    </w:rPr>
                  </w:pPr>
                  <w:r>
                    <w:rPr>
                      <w:sz w:val="21"/>
                      <w:szCs w:val="21"/>
                    </w:rPr>
                    <w:t>4#</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13°</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307~325</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356~399</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21~28</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3户8人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7</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5#</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17°</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385~443</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476~527</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40~41</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4户13人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8</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6#</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59°</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338~376</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470~503</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34~38</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6户19人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9</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7#</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7°</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451~483</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423~460</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-84~-74</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2户5人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42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10</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8#</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33°</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304~368</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210~262</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-84~-80</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3户7人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11</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9#</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36°</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 xml:space="preserve">484 </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 xml:space="preserve">385 </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-102</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1户2人</w:t>
                  </w:r>
                </w:p>
              </w:tc>
              <w:tc>
                <w:tcPr>
                  <w:tcW w:w="453" w:type="pct"/>
                  <w:vMerge w:val="restart"/>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施工扬尘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12</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10#</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46°</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428~454</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298~343</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-98~-94</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12户37人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13</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11#</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86°</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407~459</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283~331</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-86~-81</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2户4人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14</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12#</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南偏东</w:t>
                  </w:r>
                  <w:r>
                    <w:rPr>
                      <w:sz w:val="21"/>
                      <w:szCs w:val="21"/>
                    </w:rPr>
                    <w:t>61°</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368~406</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299~322</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-45~-32</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4户9人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15</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13#</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南偏东</w:t>
                  </w:r>
                  <w:r>
                    <w:rPr>
                      <w:sz w:val="21"/>
                      <w:szCs w:val="21"/>
                    </w:rPr>
                    <w:t>50°</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439~495</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371~423</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-46~-44</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12户29人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284" w:type="pct"/>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16</w:t>
                  </w:r>
                </w:p>
              </w:tc>
              <w:tc>
                <w:tcPr>
                  <w:tcW w:w="511" w:type="pct"/>
                  <w:tcBorders>
                    <w:top w:val="single" w:color="auto" w:sz="2" w:space="0"/>
                    <w:left w:val="single" w:color="auto" w:sz="4"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14#</w:t>
                  </w:r>
                </w:p>
              </w:tc>
              <w:tc>
                <w:tcPr>
                  <w:tcW w:w="78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南偏东</w:t>
                  </w:r>
                  <w:r>
                    <w:rPr>
                      <w:sz w:val="21"/>
                      <w:szCs w:val="21"/>
                    </w:rPr>
                    <w:t>36°</w:t>
                  </w:r>
                </w:p>
              </w:tc>
              <w:tc>
                <w:tcPr>
                  <w:tcW w:w="66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473~494</w:t>
                  </w:r>
                </w:p>
              </w:tc>
              <w:tc>
                <w:tcPr>
                  <w:tcW w:w="864" w:type="pct"/>
                  <w:gridSpan w:val="2"/>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435~460</w:t>
                  </w:r>
                </w:p>
              </w:tc>
              <w:tc>
                <w:tcPr>
                  <w:tcW w:w="54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-30</w:t>
                  </w:r>
                </w:p>
              </w:tc>
              <w:tc>
                <w:tcPr>
                  <w:tcW w:w="605"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sz w:val="21"/>
                      <w:szCs w:val="21"/>
                    </w:rPr>
                    <w:t>3户6人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w:t>
                  </w:r>
                </w:p>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要素</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环境保护目标</w:t>
                  </w:r>
                </w:p>
              </w:tc>
              <w:tc>
                <w:tcPr>
                  <w:tcW w:w="1726"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与井口方位及距离</w:t>
                  </w:r>
                  <w:r>
                    <w:rPr>
                      <w:snapToGrid w:val="0"/>
                      <w:kern w:val="0"/>
                      <w:sz w:val="21"/>
                      <w:szCs w:val="21"/>
                    </w:rPr>
                    <w:t>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环境保护功能区</w:t>
                  </w:r>
                </w:p>
              </w:tc>
              <w:tc>
                <w:tcPr>
                  <w:tcW w:w="453"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影响因素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地表水环境</w:t>
                  </w:r>
                </w:p>
              </w:tc>
              <w:tc>
                <w:tcPr>
                  <w:tcW w:w="795" w:type="pct"/>
                  <w:gridSpan w:val="2"/>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大滩沟水库</w:t>
                  </w:r>
                </w:p>
              </w:tc>
              <w:tc>
                <w:tcPr>
                  <w:tcW w:w="1726" w:type="pct"/>
                  <w:gridSpan w:val="3"/>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井口西南侧约</w:t>
                  </w:r>
                  <w:r>
                    <w:rPr>
                      <w:snapToGrid w:val="0"/>
                      <w:kern w:val="0"/>
                      <w:sz w:val="21"/>
                      <w:szCs w:val="21"/>
                    </w:rPr>
                    <w:t>1.42km</w:t>
                  </w:r>
                </w:p>
              </w:tc>
              <w:tc>
                <w:tcPr>
                  <w:tcW w:w="1742" w:type="pct"/>
                  <w:gridSpan w:val="3"/>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北山镇饮用水水源</w:t>
                  </w:r>
                </w:p>
              </w:tc>
              <w:tc>
                <w:tcPr>
                  <w:tcW w:w="453"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废水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高墩子河</w:t>
                  </w:r>
                </w:p>
              </w:tc>
              <w:tc>
                <w:tcPr>
                  <w:tcW w:w="1726" w:type="pct"/>
                  <w:gridSpan w:val="3"/>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井口东北侧约2</w:t>
                  </w:r>
                  <w:r>
                    <w:rPr>
                      <w:snapToGrid w:val="0"/>
                      <w:kern w:val="0"/>
                      <w:sz w:val="21"/>
                      <w:szCs w:val="21"/>
                    </w:rPr>
                    <w:t>.58km</w:t>
                  </w:r>
                </w:p>
              </w:tc>
              <w:tc>
                <w:tcPr>
                  <w:tcW w:w="1742" w:type="pct"/>
                  <w:gridSpan w:val="3"/>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主要</w:t>
                  </w:r>
                  <w:r>
                    <w:rPr>
                      <w:snapToGrid w:val="0"/>
                      <w:kern w:val="0"/>
                      <w:sz w:val="21"/>
                      <w:szCs w:val="21"/>
                    </w:rPr>
                    <w:t>功能为行洪、灌溉</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地下水环境</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散居居民饮用水水井</w:t>
                  </w:r>
                </w:p>
              </w:tc>
              <w:tc>
                <w:tcPr>
                  <w:tcW w:w="1726"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Ansi="宋体"/>
                      <w:kern w:val="0"/>
                      <w:sz w:val="21"/>
                      <w:szCs w:val="21"/>
                    </w:rPr>
                    <w:t>平安</w:t>
                  </w:r>
                  <w:r>
                    <w:rPr>
                      <w:rFonts w:hint="eastAsia" w:hAnsi="宋体"/>
                      <w:kern w:val="0"/>
                      <w:sz w:val="21"/>
                      <w:szCs w:val="21"/>
                    </w:rPr>
                    <w:t>7井</w:t>
                  </w:r>
                  <w:r>
                    <w:rPr>
                      <w:rFonts w:hAnsi="宋体"/>
                      <w:kern w:val="0"/>
                      <w:sz w:val="21"/>
                      <w:szCs w:val="21"/>
                    </w:rPr>
                    <w:t>周边分布有分散式水井</w:t>
                  </w:r>
                  <w:r>
                    <w:rPr>
                      <w:rFonts w:hint="eastAsia"/>
                      <w:kern w:val="0"/>
                      <w:sz w:val="21"/>
                      <w:szCs w:val="21"/>
                    </w:rPr>
                    <w:t>18</w:t>
                  </w:r>
                  <w:r>
                    <w:rPr>
                      <w:rFonts w:hAnsi="宋体"/>
                      <w:kern w:val="0"/>
                      <w:sz w:val="21"/>
                      <w:szCs w:val="21"/>
                    </w:rPr>
                    <w:t>口，共服务居民约</w:t>
                  </w:r>
                  <w:r>
                    <w:rPr>
                      <w:rFonts w:hint="eastAsia"/>
                      <w:kern w:val="0"/>
                      <w:sz w:val="21"/>
                      <w:szCs w:val="21"/>
                    </w:rPr>
                    <w:t>55</w:t>
                  </w:r>
                  <w:r>
                    <w:rPr>
                      <w:rFonts w:hAnsi="宋体"/>
                      <w:kern w:val="0"/>
                      <w:sz w:val="21"/>
                      <w:szCs w:val="21"/>
                    </w:rPr>
                    <w:t>户，其中项目地下水流向上游及两侧分布有</w:t>
                  </w:r>
                  <w:r>
                    <w:rPr>
                      <w:rFonts w:hint="eastAsia" w:hAnsi="宋体"/>
                      <w:kern w:val="0"/>
                      <w:sz w:val="21"/>
                      <w:szCs w:val="21"/>
                    </w:rPr>
                    <w:t>9</w:t>
                  </w:r>
                  <w:r>
                    <w:rPr>
                      <w:rFonts w:hAnsi="宋体"/>
                      <w:kern w:val="0"/>
                      <w:sz w:val="21"/>
                      <w:szCs w:val="21"/>
                    </w:rPr>
                    <w:t>口水井，下游分布有</w:t>
                  </w:r>
                  <w:r>
                    <w:rPr>
                      <w:rFonts w:hint="eastAsia"/>
                      <w:kern w:val="0"/>
                      <w:sz w:val="21"/>
                      <w:szCs w:val="21"/>
                    </w:rPr>
                    <w:t>9</w:t>
                  </w:r>
                  <w:r>
                    <w:rPr>
                      <w:rFonts w:hAnsi="宋体"/>
                      <w:kern w:val="0"/>
                      <w:sz w:val="21"/>
                      <w:szCs w:val="21"/>
                    </w:rPr>
                    <w:t>口水井</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highlight w:val="yellow"/>
                    </w:rPr>
                  </w:pPr>
                  <w:r>
                    <w:rPr>
                      <w:rFonts w:hint="eastAsia"/>
                      <w:snapToGrid w:val="0"/>
                      <w:kern w:val="0"/>
                      <w:sz w:val="21"/>
                      <w:szCs w:val="21"/>
                    </w:rPr>
                    <w:t>饮用水井水质</w:t>
                  </w:r>
                </w:p>
              </w:tc>
              <w:tc>
                <w:tcPr>
                  <w:tcW w:w="453"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泄漏，地下水环境影响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highlight w:val="yellow"/>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具有供水意义的含水层</w:t>
                  </w:r>
                </w:p>
              </w:tc>
              <w:tc>
                <w:tcPr>
                  <w:tcW w:w="3468" w:type="pct"/>
                  <w:gridSpan w:val="6"/>
                  <w:tcBorders>
                    <w:top w:val="single" w:color="auto" w:sz="2" w:space="0"/>
                    <w:left w:val="single" w:color="auto" w:sz="2" w:space="0"/>
                    <w:bottom w:val="single" w:color="auto" w:sz="2" w:space="0"/>
                    <w:right w:val="single" w:color="auto" w:sz="2" w:space="0"/>
                  </w:tcBorders>
                  <w:shd w:val="clear" w:color="auto" w:fill="auto"/>
                  <w:vAlign w:val="center"/>
                </w:tcPr>
                <w:p>
                  <w:pPr>
                    <w:autoSpaceDE w:val="0"/>
                    <w:autoSpaceDN w:val="0"/>
                    <w:adjustRightInd w:val="0"/>
                    <w:spacing w:line="240" w:lineRule="auto"/>
                    <w:ind w:firstLine="0" w:firstLineChars="0"/>
                    <w:jc w:val="center"/>
                    <w:rPr>
                      <w:snapToGrid w:val="0"/>
                      <w:kern w:val="0"/>
                      <w:sz w:val="21"/>
                      <w:szCs w:val="21"/>
                      <w:highlight w:val="yellow"/>
                    </w:rPr>
                  </w:pPr>
                  <w:r>
                    <w:rPr>
                      <w:rFonts w:hint="eastAsia"/>
                      <w:snapToGrid w:val="0"/>
                      <w:kern w:val="0"/>
                      <w:sz w:val="21"/>
                      <w:szCs w:val="21"/>
                    </w:rPr>
                    <w:t>构造裂隙含水层</w:t>
                  </w:r>
                </w:p>
              </w:tc>
              <w:tc>
                <w:tcPr>
                  <w:tcW w:w="453" w:type="pct"/>
                  <w:vMerge w:val="continue"/>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土壤</w:t>
                  </w:r>
                </w:p>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井口周边分布的水田、林地</w:t>
                  </w:r>
                </w:p>
              </w:tc>
              <w:tc>
                <w:tcPr>
                  <w:tcW w:w="3468" w:type="pct"/>
                  <w:gridSpan w:val="6"/>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井口周边</w:t>
                  </w:r>
                  <w:r>
                    <w:rPr>
                      <w:snapToGrid w:val="0"/>
                      <w:kern w:val="0"/>
                      <w:sz w:val="21"/>
                      <w:szCs w:val="21"/>
                    </w:rPr>
                    <w:t>200m</w:t>
                  </w:r>
                  <w:r>
                    <w:rPr>
                      <w:rFonts w:hint="eastAsia"/>
                      <w:snapToGrid w:val="0"/>
                      <w:kern w:val="0"/>
                      <w:sz w:val="21"/>
                      <w:szCs w:val="21"/>
                    </w:rPr>
                    <w:t>范围内</w:t>
                  </w:r>
                </w:p>
              </w:tc>
              <w:tc>
                <w:tcPr>
                  <w:tcW w:w="453" w:type="pc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废水、废渣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生态</w:t>
                  </w:r>
                </w:p>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耕地</w:t>
                  </w:r>
                </w:p>
              </w:tc>
              <w:tc>
                <w:tcPr>
                  <w:tcW w:w="1726"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工程占地</w:t>
                  </w:r>
                </w:p>
              </w:tc>
              <w:tc>
                <w:tcPr>
                  <w:tcW w:w="1742" w:type="pct"/>
                  <w:gridSpan w:val="3"/>
                  <w:vMerge w:val="restar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属农业生态系统，受人类活动影响强烈，植被以旱地、水田农作物为主</w:t>
                  </w:r>
                </w:p>
              </w:tc>
              <w:tc>
                <w:tcPr>
                  <w:tcW w:w="453" w:type="pct"/>
                  <w:vMerge w:val="restart"/>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废水、废渣、废气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植被</w:t>
                  </w:r>
                </w:p>
              </w:tc>
              <w:tc>
                <w:tcPr>
                  <w:tcW w:w="1726"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井场周围</w:t>
                  </w:r>
                  <w:r>
                    <w:rPr>
                      <w:snapToGrid w:val="0"/>
                      <w:kern w:val="0"/>
                      <w:sz w:val="21"/>
                      <w:szCs w:val="21"/>
                    </w:rPr>
                    <w:t>500m</w:t>
                  </w:r>
                  <w:r>
                    <w:rPr>
                      <w:rFonts w:hint="eastAsia"/>
                      <w:snapToGrid w:val="0"/>
                      <w:kern w:val="0"/>
                      <w:sz w:val="21"/>
                      <w:szCs w:val="21"/>
                    </w:rPr>
                    <w:t>范围及道路两侧</w:t>
                  </w:r>
                  <w:r>
                    <w:rPr>
                      <w:snapToGrid w:val="0"/>
                      <w:kern w:val="0"/>
                      <w:sz w:val="21"/>
                      <w:szCs w:val="21"/>
                    </w:rPr>
                    <w:t>300m</w:t>
                  </w:r>
                </w:p>
              </w:tc>
              <w:tc>
                <w:tcPr>
                  <w:tcW w:w="1742" w:type="pct"/>
                  <w:gridSpan w:val="3"/>
                  <w:vMerge w:val="continue"/>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453" w:type="pct"/>
                  <w:vMerge w:val="continue"/>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环境</w:t>
                  </w:r>
                </w:p>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风险</w:t>
                  </w:r>
                </w:p>
              </w:tc>
              <w:tc>
                <w:tcPr>
                  <w:tcW w:w="795" w:type="pct"/>
                  <w:gridSpan w:val="2"/>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500m范围内散居居民</w:t>
                  </w:r>
                </w:p>
              </w:tc>
              <w:tc>
                <w:tcPr>
                  <w:tcW w:w="1726" w:type="pct"/>
                  <w:gridSpan w:val="3"/>
                  <w:tcBorders>
                    <w:top w:val="single" w:color="auto" w:sz="2"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500m范围</w:t>
                  </w:r>
                  <w:r>
                    <w:rPr>
                      <w:rFonts w:hint="eastAsia"/>
                      <w:snapToGrid w:val="0"/>
                      <w:kern w:val="0"/>
                      <w:sz w:val="21"/>
                      <w:szCs w:val="21"/>
                    </w:rPr>
                    <w:t>内</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105</w:t>
                  </w:r>
                  <w:r>
                    <w:rPr>
                      <w:rFonts w:hint="eastAsia"/>
                      <w:snapToGrid w:val="0"/>
                      <w:kern w:val="0"/>
                      <w:sz w:val="21"/>
                      <w:szCs w:val="21"/>
                    </w:rPr>
                    <w:t>人</w:t>
                  </w:r>
                </w:p>
              </w:tc>
              <w:tc>
                <w:tcPr>
                  <w:tcW w:w="453" w:type="pct"/>
                  <w:vMerge w:val="restart"/>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井喷事故，地表水、地下水污染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4" w:space="0"/>
                    <w:right w:val="single" w:color="auto" w:sz="2" w:space="0"/>
                  </w:tcBorders>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高楼村</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widowControl/>
                    <w:adjustRightInd w:val="0"/>
                    <w:snapToGrid w:val="0"/>
                    <w:spacing w:line="240" w:lineRule="auto"/>
                    <w:ind w:firstLine="0" w:firstLineChars="0"/>
                    <w:jc w:val="center"/>
                    <w:rPr>
                      <w:kern w:val="0"/>
                      <w:sz w:val="21"/>
                      <w:szCs w:val="21"/>
                    </w:rPr>
                  </w:pPr>
                  <w:r>
                    <w:rPr>
                      <w:rFonts w:hint="eastAsia"/>
                      <w:sz w:val="21"/>
                      <w:szCs w:val="21"/>
                    </w:rPr>
                    <w:t>东北侧约2960m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高楼村小</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东北侧约2580m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约80人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梓桐镇</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东北侧约4360m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约2000人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梓桐镇中心学校</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东北侧约4450m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两河村</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东北侧约3360m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约450人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鱼河村</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东北侧约4020m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约600人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三台村</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东北侧约2450m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石岗村</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东北侧约1220m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约700人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铁佛村</w:t>
                  </w:r>
                </w:p>
              </w:tc>
              <w:tc>
                <w:tcPr>
                  <w:tcW w:w="1726" w:type="pct"/>
                  <w:gridSpan w:val="3"/>
                  <w:tcBorders>
                    <w:top w:val="single" w:color="auto" w:sz="4" w:space="0"/>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东南侧约1850m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三关村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东南侧约3200m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约600人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石笋村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东南侧约4200m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约600人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双鱼村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东南侧约2790m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约400人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陡坑村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东南侧约3970m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约700人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北山镇育才小学</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西南侧约4060m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约150人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石龙村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西南侧约970m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约700人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衙门村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西南侧约3350m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约600人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深滩村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西南侧约1940m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约300人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北山镇</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西南侧约3130m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约2500人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北山镇中心学校</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西南侧约3990m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约800人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剑峰村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西北侧约3720m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立马村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西北侧约1350m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约600人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迎风村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西北侧约3550m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约700人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大营村</w:t>
                  </w:r>
                </w:p>
              </w:tc>
              <w:tc>
                <w:tcPr>
                  <w:tcW w:w="1726" w:type="pct"/>
                  <w:gridSpan w:val="3"/>
                  <w:tcBorders>
                    <w:left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西北侧约4300m</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djustRightInd w:val="0"/>
                    <w:snapToGrid w:val="0"/>
                    <w:spacing w:line="240" w:lineRule="auto"/>
                    <w:ind w:firstLine="0" w:firstLineChars="0"/>
                    <w:jc w:val="center"/>
                    <w:rPr>
                      <w:sz w:val="21"/>
                      <w:szCs w:val="21"/>
                    </w:rPr>
                  </w:pPr>
                  <w:r>
                    <w:rPr>
                      <w:rFonts w:hint="eastAsia"/>
                      <w:sz w:val="21"/>
                      <w:szCs w:val="21"/>
                    </w:rPr>
                    <w:t>约500人</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井场所在水文地质单元潜水含水层、居民水井</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w:t>
                  </w:r>
                </w:p>
              </w:tc>
              <w:tc>
                <w:tcPr>
                  <w:tcW w:w="1742" w:type="pct"/>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居民饮水、灌溉</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大滩沟水库</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井口西南侧约</w:t>
                  </w:r>
                  <w:r>
                    <w:rPr>
                      <w:snapToGrid w:val="0"/>
                      <w:kern w:val="0"/>
                      <w:sz w:val="21"/>
                      <w:szCs w:val="21"/>
                    </w:rPr>
                    <w:t>1.42km</w:t>
                  </w:r>
                </w:p>
              </w:tc>
              <w:tc>
                <w:tcPr>
                  <w:tcW w:w="1742" w:type="pct"/>
                  <w:gridSpan w:val="3"/>
                  <w:tcBorders>
                    <w:top w:val="single" w:color="auto" w:sz="2" w:space="0"/>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snapToGrid w:val="0"/>
                      <w:kern w:val="0"/>
                      <w:sz w:val="21"/>
                      <w:szCs w:val="21"/>
                    </w:rPr>
                    <w:t>北山镇饮用水水源</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84"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c>
                <w:tcPr>
                  <w:tcW w:w="795" w:type="pct"/>
                  <w:gridSpan w:val="2"/>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高墩子河</w:t>
                  </w:r>
                </w:p>
              </w:tc>
              <w:tc>
                <w:tcPr>
                  <w:tcW w:w="1726" w:type="pct"/>
                  <w:gridSpan w:val="3"/>
                  <w:tcBorders>
                    <w:top w:val="single" w:color="auto" w:sz="4" w:space="0"/>
                    <w:left w:val="single" w:color="auto" w:sz="2" w:space="0"/>
                    <w:bottom w:val="single" w:color="auto" w:sz="4"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井口东北侧约2</w:t>
                  </w:r>
                  <w:r>
                    <w:rPr>
                      <w:snapToGrid w:val="0"/>
                      <w:kern w:val="0"/>
                      <w:sz w:val="21"/>
                      <w:szCs w:val="21"/>
                    </w:rPr>
                    <w:t>.58km</w:t>
                  </w:r>
                </w:p>
              </w:tc>
              <w:tc>
                <w:tcPr>
                  <w:tcW w:w="1742" w:type="pct"/>
                  <w:gridSpan w:val="3"/>
                  <w:tcBorders>
                    <w:left w:val="single" w:color="auto" w:sz="2" w:space="0"/>
                    <w:bottom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r>
                    <w:rPr>
                      <w:rFonts w:hint="eastAsia"/>
                      <w:snapToGrid w:val="0"/>
                      <w:kern w:val="0"/>
                      <w:sz w:val="21"/>
                      <w:szCs w:val="21"/>
                    </w:rPr>
                    <w:t>主要功能为行洪、灌溉项目，无饮用水水源功能</w:t>
                  </w:r>
                </w:p>
              </w:tc>
              <w:tc>
                <w:tcPr>
                  <w:tcW w:w="453" w:type="pct"/>
                  <w:vMerge w:val="continue"/>
                  <w:tcBorders>
                    <w:left w:val="single" w:color="auto" w:sz="2" w:space="0"/>
                    <w:right w:val="single" w:color="auto" w:sz="2" w:space="0"/>
                  </w:tcBorders>
                  <w:vAlign w:val="center"/>
                </w:tcPr>
                <w:p>
                  <w:pPr>
                    <w:autoSpaceDE w:val="0"/>
                    <w:autoSpaceDN w:val="0"/>
                    <w:adjustRightInd w:val="0"/>
                    <w:spacing w:line="240" w:lineRule="auto"/>
                    <w:ind w:firstLine="0" w:firstLineChars="0"/>
                    <w:jc w:val="center"/>
                    <w:rPr>
                      <w:snapToGrid w:val="0"/>
                      <w:kern w:val="0"/>
                      <w:sz w:val="21"/>
                      <w:szCs w:val="21"/>
                    </w:rPr>
                  </w:pPr>
                </w:p>
              </w:tc>
            </w:tr>
          </w:tbl>
          <w:p>
            <w:pPr>
              <w:adjustRightInd w:val="0"/>
              <w:snapToGrid w:val="0"/>
              <w:ind w:firstLine="420"/>
              <w:rPr>
                <w:kern w:val="0"/>
                <w:sz w:val="21"/>
                <w:szCs w:val="21"/>
              </w:rPr>
            </w:pPr>
          </w:p>
        </w:tc>
      </w:tr>
    </w:tbl>
    <w:p>
      <w:pPr>
        <w:adjustRightInd w:val="0"/>
        <w:snapToGrid w:val="0"/>
        <w:ind w:firstLine="420"/>
        <w:jc w:val="center"/>
        <w:rPr>
          <w:kern w:val="0"/>
          <w:sz w:val="21"/>
          <w:szCs w:val="21"/>
        </w:rPr>
      </w:pPr>
    </w:p>
    <w:p>
      <w:pPr>
        <w:adjustRightInd w:val="0"/>
        <w:snapToGrid w:val="0"/>
        <w:ind w:firstLine="420"/>
        <w:jc w:val="center"/>
        <w:rPr>
          <w:kern w:val="0"/>
          <w:sz w:val="21"/>
          <w:szCs w:val="21"/>
        </w:rPr>
      </w:pPr>
    </w:p>
    <w:p>
      <w:pPr>
        <w:adjustRightInd w:val="0"/>
        <w:snapToGrid w:val="0"/>
        <w:ind w:firstLine="420"/>
        <w:jc w:val="center"/>
        <w:rPr>
          <w:kern w:val="0"/>
          <w:sz w:val="21"/>
          <w:szCs w:val="21"/>
        </w:rPr>
        <w:sectPr>
          <w:pgSz w:w="16838" w:h="11906" w:orient="landscape"/>
          <w:pgMar w:top="1440" w:right="1440" w:bottom="1440" w:left="1440" w:header="851" w:footer="1077" w:gutter="0"/>
          <w:cols w:space="425" w:num="1"/>
          <w:docGrid w:linePitch="312" w:charSpace="0"/>
        </w:sectPr>
      </w:pPr>
    </w:p>
    <w:tbl>
      <w:tblPr>
        <w:tblStyle w:val="2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8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评价</w:t>
            </w:r>
          </w:p>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标准</w:t>
            </w:r>
          </w:p>
        </w:tc>
        <w:tc>
          <w:tcPr>
            <w:tcW w:w="8432" w:type="dxa"/>
            <w:vAlign w:val="center"/>
          </w:tcPr>
          <w:p>
            <w:pPr>
              <w:adjustRightInd w:val="0"/>
              <w:snapToGrid w:val="0"/>
              <w:ind w:firstLine="0" w:firstLineChars="0"/>
              <w:rPr>
                <w:b/>
                <w:snapToGrid w:val="0"/>
                <w:kern w:val="0"/>
                <w:sz w:val="21"/>
                <w:szCs w:val="21"/>
              </w:rPr>
            </w:pPr>
            <w:r>
              <w:rPr>
                <w:rFonts w:hint="eastAsia"/>
                <w:b/>
                <w:snapToGrid w:val="0"/>
                <w:kern w:val="0"/>
                <w:sz w:val="21"/>
                <w:szCs w:val="21"/>
              </w:rPr>
              <w:t>1、环境质量标准</w:t>
            </w:r>
          </w:p>
          <w:p>
            <w:pPr>
              <w:adjustRightInd w:val="0"/>
              <w:snapToGrid w:val="0"/>
              <w:ind w:firstLine="0" w:firstLineChars="0"/>
              <w:rPr>
                <w:b/>
                <w:snapToGrid w:val="0"/>
                <w:kern w:val="0"/>
                <w:sz w:val="21"/>
                <w:szCs w:val="21"/>
              </w:rPr>
            </w:pPr>
            <w:r>
              <w:rPr>
                <w:rFonts w:hint="eastAsia"/>
                <w:b/>
                <w:snapToGrid w:val="0"/>
                <w:kern w:val="0"/>
                <w:sz w:val="21"/>
                <w:szCs w:val="21"/>
              </w:rPr>
              <w:t>1.1大气环境</w:t>
            </w:r>
          </w:p>
          <w:p>
            <w:pPr>
              <w:adjustRightInd w:val="0"/>
              <w:snapToGrid w:val="0"/>
              <w:ind w:firstLine="420"/>
              <w:rPr>
                <w:snapToGrid w:val="0"/>
                <w:kern w:val="0"/>
                <w:sz w:val="21"/>
                <w:szCs w:val="21"/>
              </w:rPr>
            </w:pPr>
            <w:r>
              <w:rPr>
                <w:rFonts w:hint="eastAsia"/>
                <w:snapToGrid w:val="0"/>
                <w:kern w:val="0"/>
                <w:sz w:val="21"/>
                <w:szCs w:val="21"/>
              </w:rPr>
              <w:t>环境空气执行《环境空气质量标准》（GB3095-2012）中的二级标准。H</w:t>
            </w:r>
            <w:r>
              <w:rPr>
                <w:rFonts w:hint="eastAsia"/>
                <w:snapToGrid w:val="0"/>
                <w:kern w:val="0"/>
                <w:sz w:val="21"/>
                <w:szCs w:val="21"/>
                <w:vertAlign w:val="subscript"/>
              </w:rPr>
              <w:t>2</w:t>
            </w:r>
            <w:r>
              <w:rPr>
                <w:rFonts w:hint="eastAsia"/>
                <w:snapToGrid w:val="0"/>
                <w:kern w:val="0"/>
                <w:sz w:val="21"/>
                <w:szCs w:val="21"/>
              </w:rPr>
              <w:t>S执行《环境影响评价技术导则大气环境》（HJ2.2-2018）中表D.1的其他污染物空气质量浓度参考限值，非甲烷总烃执行</w:t>
            </w:r>
            <w:r>
              <w:rPr>
                <w:rFonts w:hint="eastAsia" w:hAnsi="宋体"/>
                <w:snapToGrid w:val="0"/>
                <w:kern w:val="0"/>
                <w:sz w:val="21"/>
                <w:szCs w:val="21"/>
              </w:rPr>
              <w:t>《大气污染物综合排放标准详解》中制定非甲烷总烃排放标准时选用的环境质量标准</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表3-1</w:t>
            </w:r>
            <w:r>
              <w:rPr>
                <w:b/>
                <w:snapToGrid w:val="0"/>
                <w:kern w:val="0"/>
                <w:sz w:val="21"/>
                <w:szCs w:val="21"/>
              </w:rPr>
              <w:t>7</w:t>
            </w:r>
            <w:r>
              <w:rPr>
                <w:rFonts w:hint="eastAsia"/>
                <w:b/>
                <w:snapToGrid w:val="0"/>
                <w:kern w:val="0"/>
                <w:sz w:val="21"/>
                <w:szCs w:val="21"/>
              </w:rPr>
              <w:t>环境空气质量标准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2461"/>
              <w:gridCol w:w="2031"/>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rFonts w:hint="eastAsia" w:hAnsi="宋体"/>
                      <w:b/>
                      <w:snapToGrid w:val="0"/>
                      <w:kern w:val="0"/>
                      <w:sz w:val="21"/>
                      <w:szCs w:val="21"/>
                    </w:rPr>
                    <w:t>污染物名称</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rFonts w:hint="eastAsia" w:hAnsi="宋体"/>
                      <w:b/>
                      <w:snapToGrid w:val="0"/>
                      <w:kern w:val="0"/>
                      <w:sz w:val="21"/>
                      <w:szCs w:val="21"/>
                    </w:rPr>
                    <w:t>取值时间</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rFonts w:hint="eastAsia" w:hAnsi="宋体"/>
                      <w:b/>
                      <w:snapToGrid w:val="0"/>
                      <w:kern w:val="0"/>
                      <w:sz w:val="21"/>
                      <w:szCs w:val="21"/>
                    </w:rPr>
                    <w:t>浓度限值</w:t>
                  </w:r>
                </w:p>
                <w:p>
                  <w:pPr>
                    <w:spacing w:line="240" w:lineRule="auto"/>
                    <w:ind w:firstLine="0" w:firstLineChars="0"/>
                    <w:jc w:val="center"/>
                    <w:rPr>
                      <w:b/>
                      <w:snapToGrid w:val="0"/>
                      <w:kern w:val="0"/>
                      <w:sz w:val="21"/>
                      <w:szCs w:val="21"/>
                    </w:rPr>
                  </w:pPr>
                  <w:r>
                    <w:rPr>
                      <w:rFonts w:hint="eastAsia" w:hAnsi="宋体"/>
                      <w:b/>
                      <w:snapToGrid w:val="0"/>
                      <w:kern w:val="0"/>
                      <w:sz w:val="21"/>
                      <w:szCs w:val="21"/>
                    </w:rPr>
                    <w:t>（</w:t>
                  </w:r>
                  <w:r>
                    <w:rPr>
                      <w:b/>
                      <w:snapToGrid w:val="0"/>
                      <w:kern w:val="0"/>
                      <w:sz w:val="21"/>
                      <w:szCs w:val="21"/>
                    </w:rPr>
                    <w:t>μg/m</w:t>
                  </w:r>
                  <w:r>
                    <w:rPr>
                      <w:b/>
                      <w:snapToGrid w:val="0"/>
                      <w:kern w:val="0"/>
                      <w:sz w:val="21"/>
                      <w:szCs w:val="21"/>
                      <w:vertAlign w:val="superscript"/>
                    </w:rPr>
                    <w:t>3</w:t>
                  </w:r>
                  <w:r>
                    <w:rPr>
                      <w:rFonts w:hint="eastAsia" w:hAnsi="宋体"/>
                      <w:b/>
                      <w:snapToGrid w:val="0"/>
                      <w:kern w:val="0"/>
                      <w:sz w:val="21"/>
                      <w:szCs w:val="21"/>
                    </w:rPr>
                    <w:t>）</w:t>
                  </w:r>
                </w:p>
              </w:tc>
              <w:tc>
                <w:tcPr>
                  <w:tcW w:w="15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rFonts w:hint="eastAsia" w:hAnsi="宋体"/>
                      <w:b/>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SO</w:t>
                  </w:r>
                  <w:r>
                    <w:rPr>
                      <w:snapToGrid w:val="0"/>
                      <w:kern w:val="0"/>
                      <w:sz w:val="21"/>
                      <w:szCs w:val="21"/>
                      <w:vertAlign w:val="subscript"/>
                    </w:rPr>
                    <w:t>2</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500</w:t>
                  </w:r>
                </w:p>
              </w:tc>
              <w:tc>
                <w:tcPr>
                  <w:tcW w:w="1545"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《环境空气质量标准》</w:t>
                  </w:r>
                </w:p>
                <w:p>
                  <w:pPr>
                    <w:spacing w:line="240" w:lineRule="auto"/>
                    <w:ind w:firstLine="0" w:firstLineChars="0"/>
                    <w:jc w:val="center"/>
                    <w:rPr>
                      <w:snapToGrid w:val="0"/>
                      <w:kern w:val="0"/>
                      <w:sz w:val="21"/>
                      <w:szCs w:val="21"/>
                    </w:rPr>
                  </w:pPr>
                  <w:r>
                    <w:rPr>
                      <w:rFonts w:hint="eastAsia" w:hAnsi="宋体"/>
                      <w:snapToGrid w:val="0"/>
                      <w:kern w:val="0"/>
                      <w:sz w:val="21"/>
                      <w:szCs w:val="21"/>
                    </w:rPr>
                    <w:t>（</w:t>
                  </w:r>
                  <w:r>
                    <w:rPr>
                      <w:snapToGrid w:val="0"/>
                      <w:kern w:val="0"/>
                      <w:sz w:val="21"/>
                      <w:szCs w:val="21"/>
                    </w:rPr>
                    <w:t>GB3095-2012</w:t>
                  </w:r>
                  <w:r>
                    <w:rPr>
                      <w:rFonts w:hint="eastAsia" w:hAnsi="宋体"/>
                      <w:snapToGrid w:val="0"/>
                      <w:kern w:val="0"/>
                      <w:sz w:val="21"/>
                      <w:szCs w:val="21"/>
                    </w:rPr>
                    <w:t>）</w:t>
                  </w:r>
                </w:p>
                <w:p>
                  <w:pPr>
                    <w:spacing w:line="240" w:lineRule="auto"/>
                    <w:ind w:firstLine="0" w:firstLineChars="0"/>
                    <w:jc w:val="center"/>
                    <w:rPr>
                      <w:snapToGrid w:val="0"/>
                      <w:kern w:val="0"/>
                      <w:sz w:val="21"/>
                      <w:szCs w:val="21"/>
                    </w:rPr>
                  </w:pPr>
                  <w:r>
                    <w:rPr>
                      <w:rFonts w:hint="eastAsia" w:hAnsi="宋体"/>
                      <w:snapToGrid w:val="0"/>
                      <w:kern w:val="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150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年平均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6</w:t>
                  </w:r>
                  <w:r>
                    <w:rPr>
                      <w:snapToGrid w:val="0"/>
                      <w:kern w:val="0"/>
                      <w:sz w:val="21"/>
                      <w:szCs w:val="21"/>
                    </w:rPr>
                    <w:t>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PM</w:t>
                  </w:r>
                  <w:r>
                    <w:rPr>
                      <w:snapToGrid w:val="0"/>
                      <w:kern w:val="0"/>
                      <w:sz w:val="21"/>
                      <w:szCs w:val="21"/>
                      <w:vertAlign w:val="subscript"/>
                    </w:rPr>
                    <w:t>10</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50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年平均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7</w:t>
                  </w:r>
                  <w:r>
                    <w:rPr>
                      <w:snapToGrid w:val="0"/>
                      <w:kern w:val="0"/>
                      <w:sz w:val="21"/>
                      <w:szCs w:val="21"/>
                    </w:rPr>
                    <w:t>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PM</w:t>
                  </w:r>
                  <w:r>
                    <w:rPr>
                      <w:snapToGrid w:val="0"/>
                      <w:kern w:val="0"/>
                      <w:sz w:val="21"/>
                      <w:szCs w:val="21"/>
                      <w:vertAlign w:val="subscript"/>
                    </w:rPr>
                    <w:t>2.5</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7</w:t>
                  </w:r>
                  <w:r>
                    <w:rPr>
                      <w:snapToGrid w:val="0"/>
                      <w:kern w:val="0"/>
                      <w:sz w:val="21"/>
                      <w:szCs w:val="21"/>
                    </w:rPr>
                    <w:t>5</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年平均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3</w:t>
                  </w:r>
                  <w:r>
                    <w:rPr>
                      <w:snapToGrid w:val="0"/>
                      <w:kern w:val="0"/>
                      <w:sz w:val="21"/>
                      <w:szCs w:val="21"/>
                    </w:rPr>
                    <w:t>5</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NO</w:t>
                  </w:r>
                  <w:r>
                    <w:rPr>
                      <w:snapToGrid w:val="0"/>
                      <w:kern w:val="0"/>
                      <w:sz w:val="21"/>
                      <w:szCs w:val="21"/>
                      <w:vertAlign w:val="subscript"/>
                    </w:rPr>
                    <w:t>2</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2</w:t>
                  </w:r>
                  <w:r>
                    <w:rPr>
                      <w:snapToGrid w:val="0"/>
                      <w:kern w:val="0"/>
                      <w:sz w:val="21"/>
                      <w:szCs w:val="21"/>
                    </w:rPr>
                    <w:t>00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8</w:t>
                  </w:r>
                  <w:r>
                    <w:rPr>
                      <w:snapToGrid w:val="0"/>
                      <w:kern w:val="0"/>
                      <w:sz w:val="21"/>
                      <w:szCs w:val="21"/>
                    </w:rPr>
                    <w:t>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年平均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4</w:t>
                  </w:r>
                  <w:r>
                    <w:rPr>
                      <w:snapToGrid w:val="0"/>
                      <w:kern w:val="0"/>
                      <w:sz w:val="21"/>
                      <w:szCs w:val="21"/>
                    </w:rPr>
                    <w:t>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CO</w:t>
                  </w:r>
                  <w:r>
                    <w:rPr>
                      <w:rFonts w:hint="eastAsia" w:hAnsi="宋体"/>
                      <w:snapToGrid w:val="0"/>
                      <w:kern w:val="0"/>
                      <w:sz w:val="21"/>
                      <w:szCs w:val="21"/>
                    </w:rPr>
                    <w:t>（m</w:t>
                  </w:r>
                  <w:r>
                    <w:rPr>
                      <w:snapToGrid w:val="0"/>
                      <w:kern w:val="0"/>
                      <w:sz w:val="21"/>
                      <w:szCs w:val="21"/>
                    </w:rPr>
                    <w:t>g/m</w:t>
                  </w:r>
                  <w:r>
                    <w:rPr>
                      <w:snapToGrid w:val="0"/>
                      <w:kern w:val="0"/>
                      <w:sz w:val="21"/>
                      <w:szCs w:val="21"/>
                      <w:vertAlign w:val="superscript"/>
                    </w:rPr>
                    <w:t>3</w:t>
                  </w:r>
                  <w:r>
                    <w:rPr>
                      <w:rFonts w:hint="eastAsia" w:hAnsi="宋体"/>
                      <w:snapToGrid w:val="0"/>
                      <w:kern w:val="0"/>
                      <w:sz w:val="21"/>
                      <w:szCs w:val="21"/>
                    </w:rPr>
                    <w:t>）</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4</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O</w:t>
                  </w:r>
                  <w:r>
                    <w:rPr>
                      <w:snapToGrid w:val="0"/>
                      <w:kern w:val="0"/>
                      <w:sz w:val="21"/>
                      <w:szCs w:val="21"/>
                      <w:vertAlign w:val="subscript"/>
                    </w:rPr>
                    <w:t>3</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2</w:t>
                  </w:r>
                  <w:r>
                    <w:rPr>
                      <w:snapToGrid w:val="0"/>
                      <w:kern w:val="0"/>
                      <w:sz w:val="21"/>
                      <w:szCs w:val="21"/>
                    </w:rPr>
                    <w:t>00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日最大</w:t>
                  </w:r>
                  <w:r>
                    <w:rPr>
                      <w:snapToGrid w:val="0"/>
                      <w:kern w:val="0"/>
                      <w:sz w:val="21"/>
                      <w:szCs w:val="21"/>
                    </w:rPr>
                    <w:t>8</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60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T</w:t>
                  </w:r>
                  <w:r>
                    <w:rPr>
                      <w:snapToGrid w:val="0"/>
                      <w:kern w:val="0"/>
                      <w:sz w:val="21"/>
                      <w:szCs w:val="21"/>
                    </w:rPr>
                    <w:t>SP</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napToGrid w:val="0"/>
                      <w:kern w:val="0"/>
                      <w:sz w:val="21"/>
                      <w:szCs w:val="21"/>
                    </w:rPr>
                  </w:pPr>
                  <w:r>
                    <w:rPr>
                      <w:snapToGrid w:val="0"/>
                      <w:kern w:val="0"/>
                      <w:sz w:val="21"/>
                      <w:szCs w:val="21"/>
                    </w:rPr>
                    <w:t>24</w:t>
                  </w:r>
                  <w:r>
                    <w:rPr>
                      <w:rFonts w:hint="eastAsia" w:hAnsi="宋体"/>
                      <w:snapToGrid w:val="0"/>
                      <w:kern w:val="0"/>
                      <w:sz w:val="21"/>
                      <w:szCs w:val="21"/>
                    </w:rPr>
                    <w:t>小时平均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3</w:t>
                  </w:r>
                  <w:r>
                    <w:rPr>
                      <w:snapToGrid w:val="0"/>
                      <w:kern w:val="0"/>
                      <w:sz w:val="21"/>
                      <w:szCs w:val="21"/>
                    </w:rPr>
                    <w:t>00</w:t>
                  </w:r>
                </w:p>
              </w:tc>
              <w:tc>
                <w:tcPr>
                  <w:tcW w:w="1545" w:type="pct"/>
                  <w:vMerge w:val="continue"/>
                  <w:tcBorders>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年平均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200</w:t>
                  </w:r>
                </w:p>
              </w:tc>
              <w:tc>
                <w:tcPr>
                  <w:tcW w:w="1545"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H</w:t>
                  </w:r>
                  <w:r>
                    <w:rPr>
                      <w:snapToGrid w:val="0"/>
                      <w:kern w:val="0"/>
                      <w:sz w:val="21"/>
                      <w:szCs w:val="21"/>
                      <w:vertAlign w:val="subscript"/>
                    </w:rPr>
                    <w:t>2</w:t>
                  </w:r>
                  <w:r>
                    <w:rPr>
                      <w:snapToGrid w:val="0"/>
                      <w:kern w:val="0"/>
                      <w:sz w:val="21"/>
                      <w:szCs w:val="21"/>
                    </w:rPr>
                    <w:t>S</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1h</w:t>
                  </w:r>
                  <w:r>
                    <w:rPr>
                      <w:rFonts w:hAnsi="宋体"/>
                      <w:snapToGrid w:val="0"/>
                      <w:kern w:val="0"/>
                      <w:sz w:val="21"/>
                      <w:szCs w:val="21"/>
                    </w:rPr>
                    <w:t>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10</w:t>
                  </w:r>
                </w:p>
              </w:tc>
              <w:tc>
                <w:tcPr>
                  <w:tcW w:w="15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Ansi="宋体"/>
                      <w:snapToGrid w:val="0"/>
                      <w:kern w:val="0"/>
                      <w:sz w:val="21"/>
                      <w:szCs w:val="21"/>
                    </w:rPr>
                    <w:t>《环境影响评价技术导则大气环境》（</w:t>
                  </w:r>
                  <w:r>
                    <w:rPr>
                      <w:snapToGrid w:val="0"/>
                      <w:kern w:val="0"/>
                      <w:sz w:val="21"/>
                      <w:szCs w:val="21"/>
                    </w:rPr>
                    <w:t>HJ2.2-2018</w:t>
                  </w:r>
                  <w:r>
                    <w:rPr>
                      <w:rFonts w:hAnsi="宋体"/>
                      <w:snapToGrid w:val="0"/>
                      <w:kern w:val="0"/>
                      <w:sz w:val="21"/>
                      <w:szCs w:val="21"/>
                    </w:rPr>
                    <w:t>）中表</w:t>
                  </w:r>
                  <w:r>
                    <w:rPr>
                      <w:snapToGrid w:val="0"/>
                      <w:kern w:val="0"/>
                      <w:sz w:val="21"/>
                      <w:szCs w:val="21"/>
                    </w:rPr>
                    <w:t>D.1</w:t>
                  </w:r>
                  <w:r>
                    <w:rPr>
                      <w:rFonts w:hAnsi="宋体"/>
                      <w:snapToGrid w:val="0"/>
                      <w:kern w:val="0"/>
                      <w:sz w:val="21"/>
                      <w:szCs w:val="21"/>
                    </w:rPr>
                    <w:t>的其他污染物空气质量浓度参考限值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非甲烷总烃</w:t>
                  </w:r>
                  <w:r>
                    <w:rPr>
                      <w:rFonts w:hint="eastAsia" w:hAnsi="宋体"/>
                      <w:snapToGrid w:val="0"/>
                      <w:kern w:val="0"/>
                      <w:sz w:val="21"/>
                      <w:szCs w:val="21"/>
                    </w:rPr>
                    <w:t>（m</w:t>
                  </w:r>
                  <w:r>
                    <w:rPr>
                      <w:snapToGrid w:val="0"/>
                      <w:kern w:val="0"/>
                      <w:sz w:val="21"/>
                      <w:szCs w:val="21"/>
                    </w:rPr>
                    <w:t>g/m</w:t>
                  </w:r>
                  <w:r>
                    <w:rPr>
                      <w:snapToGrid w:val="0"/>
                      <w:kern w:val="0"/>
                      <w:sz w:val="21"/>
                      <w:szCs w:val="21"/>
                      <w:vertAlign w:val="superscript"/>
                    </w:rPr>
                    <w:t>3</w:t>
                  </w:r>
                  <w:r>
                    <w:rPr>
                      <w:rFonts w:hint="eastAsia" w:hAnsi="宋体"/>
                      <w:snapToGrid w:val="0"/>
                      <w:kern w:val="0"/>
                      <w:sz w:val="21"/>
                      <w:szCs w:val="21"/>
                    </w:rPr>
                    <w:t>）</w:t>
                  </w:r>
                </w:p>
              </w:tc>
              <w:tc>
                <w:tcPr>
                  <w:tcW w:w="14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1h</w:t>
                  </w:r>
                  <w:r>
                    <w:rPr>
                      <w:rFonts w:hAnsi="宋体"/>
                      <w:snapToGrid w:val="0"/>
                      <w:kern w:val="0"/>
                      <w:sz w:val="21"/>
                      <w:szCs w:val="21"/>
                    </w:rPr>
                    <w:t>平均</w:t>
                  </w:r>
                </w:p>
              </w:tc>
              <w:tc>
                <w:tcPr>
                  <w:tcW w:w="11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2</w:t>
                  </w:r>
                </w:p>
              </w:tc>
              <w:tc>
                <w:tcPr>
                  <w:tcW w:w="154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《大气污染物综合排放标准详解》</w:t>
                  </w:r>
                </w:p>
              </w:tc>
            </w:tr>
          </w:tbl>
          <w:p>
            <w:pPr>
              <w:adjustRightInd w:val="0"/>
              <w:snapToGrid w:val="0"/>
              <w:ind w:firstLine="0" w:firstLineChars="0"/>
              <w:rPr>
                <w:b/>
                <w:snapToGrid w:val="0"/>
                <w:kern w:val="0"/>
                <w:sz w:val="21"/>
                <w:szCs w:val="21"/>
              </w:rPr>
            </w:pPr>
            <w:r>
              <w:rPr>
                <w:rFonts w:hint="eastAsia"/>
                <w:b/>
                <w:snapToGrid w:val="0"/>
                <w:kern w:val="0"/>
                <w:sz w:val="21"/>
                <w:szCs w:val="21"/>
              </w:rPr>
              <w:t>1.2地表水环境</w:t>
            </w:r>
          </w:p>
          <w:p>
            <w:pPr>
              <w:adjustRightInd w:val="0"/>
              <w:snapToGrid w:val="0"/>
              <w:ind w:firstLine="420"/>
              <w:rPr>
                <w:snapToGrid w:val="0"/>
                <w:kern w:val="0"/>
                <w:sz w:val="21"/>
                <w:szCs w:val="21"/>
              </w:rPr>
            </w:pPr>
            <w:r>
              <w:rPr>
                <w:rFonts w:hint="eastAsia"/>
                <w:snapToGrid w:val="0"/>
                <w:kern w:val="0"/>
                <w:sz w:val="21"/>
                <w:szCs w:val="21"/>
              </w:rPr>
              <w:t>执行《地表水环境质量标准》（GB3838-2002）III类标准，标准值见表3-1</w:t>
            </w:r>
            <w:r>
              <w:rPr>
                <w:snapToGrid w:val="0"/>
                <w:kern w:val="0"/>
                <w:sz w:val="21"/>
                <w:szCs w:val="21"/>
              </w:rPr>
              <w:t>8</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表3-1</w:t>
            </w:r>
            <w:r>
              <w:rPr>
                <w:b/>
                <w:snapToGrid w:val="0"/>
                <w:kern w:val="0"/>
                <w:sz w:val="21"/>
                <w:szCs w:val="21"/>
              </w:rPr>
              <w:t>8</w:t>
            </w:r>
            <w:r>
              <w:rPr>
                <w:rFonts w:hint="eastAsia"/>
                <w:b/>
                <w:snapToGrid w:val="0"/>
                <w:kern w:val="0"/>
                <w:sz w:val="21"/>
                <w:szCs w:val="21"/>
              </w:rPr>
              <w:t>地表水环境质量标准单位：mg/L</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8"/>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b/>
                      <w:snapToGrid w:val="0"/>
                      <w:kern w:val="0"/>
                      <w:sz w:val="21"/>
                      <w:szCs w:val="21"/>
                    </w:rPr>
                  </w:pPr>
                  <w:r>
                    <w:rPr>
                      <w:rFonts w:hint="eastAsia" w:hAnsi="宋体"/>
                      <w:b/>
                      <w:snapToGrid w:val="0"/>
                      <w:kern w:val="0"/>
                      <w:sz w:val="21"/>
                      <w:szCs w:val="21"/>
                    </w:rPr>
                    <w:t>项目</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b/>
                      <w:snapToGrid w:val="0"/>
                      <w:kern w:val="0"/>
                      <w:sz w:val="21"/>
                      <w:szCs w:val="21"/>
                    </w:rPr>
                  </w:pPr>
                  <w:r>
                    <w:rPr>
                      <w:rFonts w:hint="eastAsia" w:ascii="宋体" w:hAnsi="宋体"/>
                      <w:b/>
                      <w:snapToGrid w:val="0"/>
                      <w:kern w:val="0"/>
                      <w:sz w:val="21"/>
                      <w:szCs w:val="21"/>
                    </w:rPr>
                    <w:t>Ⅲ</w:t>
                  </w:r>
                  <w:r>
                    <w:rPr>
                      <w:rFonts w:hint="eastAsia" w:hAnsi="宋体"/>
                      <w:b/>
                      <w:snapToGrid w:val="0"/>
                      <w:kern w:val="0"/>
                      <w:sz w:val="21"/>
                      <w:szCs w:val="21"/>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pH</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6</w:t>
                  </w:r>
                  <w:r>
                    <w:rPr>
                      <w:rFonts w:hint="eastAsia" w:hAnsi="宋体"/>
                      <w:snapToGrid w:val="0"/>
                      <w:kern w:val="0"/>
                      <w:sz w:val="21"/>
                      <w:szCs w:val="21"/>
                    </w:rPr>
                    <w:t>～</w:t>
                  </w:r>
                  <w:r>
                    <w:rPr>
                      <w:snapToGrid w:val="0"/>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COD</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BOD</w:t>
                  </w:r>
                  <w:r>
                    <w:rPr>
                      <w:snapToGrid w:val="0"/>
                      <w:kern w:val="0"/>
                      <w:sz w:val="21"/>
                      <w:szCs w:val="21"/>
                      <w:vertAlign w:val="subscript"/>
                    </w:rPr>
                    <w:t>5</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NH</w:t>
                  </w:r>
                  <w:r>
                    <w:rPr>
                      <w:snapToGrid w:val="0"/>
                      <w:kern w:val="0"/>
                      <w:sz w:val="21"/>
                      <w:szCs w:val="21"/>
                      <w:vertAlign w:val="subscript"/>
                    </w:rPr>
                    <w:t>3</w:t>
                  </w:r>
                  <w:r>
                    <w:rPr>
                      <w:snapToGrid w:val="0"/>
                      <w:kern w:val="0"/>
                      <w:sz w:val="21"/>
                      <w:szCs w:val="21"/>
                    </w:rPr>
                    <w:t>-N</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硫化物</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氯化物</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石油类</w:t>
                  </w:r>
                </w:p>
              </w:tc>
              <w:tc>
                <w:tcPr>
                  <w:tcW w:w="3481"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snapToGrid w:val="0"/>
                      <w:kern w:val="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备注</w:t>
                  </w:r>
                </w:p>
              </w:tc>
              <w:tc>
                <w:tcPr>
                  <w:tcW w:w="3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上述标准中，</w:t>
                  </w:r>
                  <w:r>
                    <w:rPr>
                      <w:snapToGrid w:val="0"/>
                      <w:kern w:val="0"/>
                      <w:sz w:val="21"/>
                      <w:szCs w:val="21"/>
                    </w:rPr>
                    <w:t>pH</w:t>
                  </w:r>
                  <w:r>
                    <w:rPr>
                      <w:rFonts w:hint="eastAsia" w:hAnsi="宋体"/>
                      <w:snapToGrid w:val="0"/>
                      <w:kern w:val="0"/>
                      <w:sz w:val="21"/>
                      <w:szCs w:val="21"/>
                    </w:rPr>
                    <w:t>无量纲，其余因子单位为</w:t>
                  </w:r>
                  <w:r>
                    <w:rPr>
                      <w:snapToGrid w:val="0"/>
                      <w:kern w:val="0"/>
                      <w:sz w:val="21"/>
                      <w:szCs w:val="21"/>
                    </w:rPr>
                    <w:t>mg/L</w:t>
                  </w:r>
                  <w:r>
                    <w:rPr>
                      <w:rFonts w:hint="eastAsia" w:hAnsi="宋体"/>
                      <w:snapToGrid w:val="0"/>
                      <w:kern w:val="0"/>
                      <w:sz w:val="21"/>
                      <w:szCs w:val="21"/>
                    </w:rPr>
                    <w:t>。</w:t>
                  </w:r>
                </w:p>
              </w:tc>
            </w:tr>
          </w:tbl>
          <w:p>
            <w:pPr>
              <w:adjustRightInd w:val="0"/>
              <w:snapToGrid w:val="0"/>
              <w:ind w:firstLine="0" w:firstLineChars="0"/>
              <w:rPr>
                <w:b/>
                <w:snapToGrid w:val="0"/>
                <w:kern w:val="0"/>
                <w:sz w:val="21"/>
                <w:szCs w:val="21"/>
              </w:rPr>
            </w:pPr>
            <w:r>
              <w:rPr>
                <w:rFonts w:hint="eastAsia"/>
                <w:b/>
                <w:snapToGrid w:val="0"/>
                <w:kern w:val="0"/>
                <w:sz w:val="21"/>
                <w:szCs w:val="21"/>
              </w:rPr>
              <w:t>1.3地下水环境</w:t>
            </w:r>
          </w:p>
          <w:p>
            <w:pPr>
              <w:adjustRightInd w:val="0"/>
              <w:snapToGrid w:val="0"/>
              <w:ind w:firstLine="420"/>
              <w:rPr>
                <w:snapToGrid w:val="0"/>
                <w:kern w:val="0"/>
                <w:sz w:val="21"/>
                <w:szCs w:val="21"/>
              </w:rPr>
            </w:pPr>
            <w:r>
              <w:rPr>
                <w:rFonts w:hint="eastAsia"/>
                <w:snapToGrid w:val="0"/>
                <w:kern w:val="0"/>
                <w:sz w:val="21"/>
                <w:szCs w:val="21"/>
              </w:rPr>
              <w:t>执行《地下水质量标准》（GB/T14848-2017）III类标准，标准值见表3-</w:t>
            </w:r>
            <w:r>
              <w:rPr>
                <w:snapToGrid w:val="0"/>
                <w:kern w:val="0"/>
                <w:sz w:val="21"/>
                <w:szCs w:val="21"/>
              </w:rPr>
              <w:t>19</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表3-</w:t>
            </w:r>
            <w:r>
              <w:rPr>
                <w:b/>
                <w:snapToGrid w:val="0"/>
                <w:kern w:val="0"/>
                <w:sz w:val="21"/>
                <w:szCs w:val="21"/>
              </w:rPr>
              <w:t>19</w:t>
            </w:r>
            <w:r>
              <w:rPr>
                <w:rFonts w:hint="eastAsia"/>
                <w:b/>
                <w:snapToGrid w:val="0"/>
                <w:kern w:val="0"/>
                <w:sz w:val="21"/>
                <w:szCs w:val="21"/>
              </w:rPr>
              <w:t>地下水质量标准单位：mg/L</w:t>
            </w:r>
          </w:p>
          <w:tbl>
            <w:tblPr>
              <w:tblStyle w:val="22"/>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66"/>
              <w:gridCol w:w="2298"/>
              <w:gridCol w:w="2613"/>
              <w:gridCol w:w="19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8"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240" w:lineRule="auto"/>
                    <w:ind w:firstLine="0" w:firstLineChars="0"/>
                    <w:jc w:val="center"/>
                    <w:rPr>
                      <w:b/>
                      <w:caps/>
                      <w:snapToGrid w:val="0"/>
                      <w:kern w:val="0"/>
                      <w:sz w:val="21"/>
                      <w:szCs w:val="21"/>
                    </w:rPr>
                  </w:pPr>
                  <w:r>
                    <w:rPr>
                      <w:rFonts w:hint="eastAsia" w:hAnsi="宋体"/>
                      <w:b/>
                      <w:caps/>
                      <w:snapToGrid w:val="0"/>
                      <w:kern w:val="0"/>
                      <w:sz w:val="21"/>
                      <w:szCs w:val="21"/>
                    </w:rPr>
                    <w:t>名称</w:t>
                  </w:r>
                </w:p>
              </w:tc>
              <w:tc>
                <w:tcPr>
                  <w:tcW w:w="1329"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240" w:lineRule="auto"/>
                    <w:ind w:firstLine="0" w:firstLineChars="0"/>
                    <w:jc w:val="center"/>
                    <w:rPr>
                      <w:b/>
                      <w:caps/>
                      <w:snapToGrid w:val="0"/>
                      <w:kern w:val="0"/>
                      <w:sz w:val="21"/>
                      <w:szCs w:val="21"/>
                    </w:rPr>
                  </w:pPr>
                  <w:r>
                    <w:rPr>
                      <w:rFonts w:hint="eastAsia" w:ascii="宋体" w:hAnsi="宋体"/>
                      <w:b/>
                      <w:snapToGrid w:val="0"/>
                      <w:kern w:val="0"/>
                      <w:sz w:val="21"/>
                      <w:szCs w:val="21"/>
                    </w:rPr>
                    <w:t>Ⅲ</w:t>
                  </w:r>
                  <w:r>
                    <w:rPr>
                      <w:rFonts w:hint="eastAsia" w:hAnsi="宋体"/>
                      <w:b/>
                      <w:caps/>
                      <w:snapToGrid w:val="0"/>
                      <w:kern w:val="0"/>
                      <w:sz w:val="21"/>
                      <w:szCs w:val="21"/>
                    </w:rPr>
                    <w:t>类标准浓度限值</w:t>
                  </w:r>
                </w:p>
              </w:tc>
              <w:tc>
                <w:tcPr>
                  <w:tcW w:w="1511"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b/>
                      <w:caps/>
                      <w:snapToGrid w:val="0"/>
                      <w:kern w:val="0"/>
                      <w:sz w:val="21"/>
                      <w:szCs w:val="21"/>
                    </w:rPr>
                    <w:t>名称</w:t>
                  </w:r>
                </w:p>
              </w:tc>
              <w:tc>
                <w:tcPr>
                  <w:tcW w:w="1139"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240" w:lineRule="auto"/>
                    <w:ind w:firstLine="0" w:firstLineChars="0"/>
                    <w:jc w:val="center"/>
                    <w:rPr>
                      <w:snapToGrid w:val="0"/>
                      <w:kern w:val="0"/>
                      <w:sz w:val="21"/>
                      <w:szCs w:val="21"/>
                    </w:rPr>
                  </w:pPr>
                  <w:r>
                    <w:rPr>
                      <w:rFonts w:hint="eastAsia" w:ascii="宋体" w:hAnsi="宋体"/>
                      <w:b/>
                      <w:snapToGrid w:val="0"/>
                      <w:kern w:val="0"/>
                      <w:sz w:val="21"/>
                      <w:szCs w:val="21"/>
                    </w:rPr>
                    <w:t>Ⅲ</w:t>
                  </w:r>
                  <w:r>
                    <w:rPr>
                      <w:rFonts w:hint="eastAsia" w:hAnsi="宋体"/>
                      <w:b/>
                      <w:caps/>
                      <w:snapToGrid w:val="0"/>
                      <w:kern w:val="0"/>
                      <w:sz w:val="21"/>
                      <w:szCs w:val="21"/>
                    </w:rPr>
                    <w:t>类标准浓度限值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pH</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6.5</w:t>
                  </w:r>
                  <w:r>
                    <w:rPr>
                      <w:rFonts w:hint="eastAsia" w:hAnsi="宋体"/>
                      <w:snapToGrid w:val="0"/>
                      <w:kern w:val="0"/>
                      <w:sz w:val="21"/>
                      <w:szCs w:val="21"/>
                    </w:rPr>
                    <w:t>～</w:t>
                  </w:r>
                  <w:r>
                    <w:rPr>
                      <w:snapToGrid w:val="0"/>
                      <w:kern w:val="0"/>
                      <w:sz w:val="21"/>
                      <w:szCs w:val="21"/>
                    </w:rPr>
                    <w:t>8.5</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耗氧量</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氨氮</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≤0.5</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总大肠菌群（</w:t>
                  </w:r>
                  <w:r>
                    <w:rPr>
                      <w:snapToGrid w:val="0"/>
                      <w:kern w:val="0"/>
                      <w:sz w:val="21"/>
                      <w:szCs w:val="21"/>
                    </w:rPr>
                    <w:t>MPN/100mL</w:t>
                  </w:r>
                  <w:r>
                    <w:rPr>
                      <w:rFonts w:hint="eastAsia" w:hAnsi="宋体"/>
                      <w:snapToGrid w:val="0"/>
                      <w:kern w:val="0"/>
                      <w:sz w:val="21"/>
                      <w:szCs w:val="21"/>
                    </w:rPr>
                    <w:t>）</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亚硝酸盐</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w:t>
                  </w:r>
                  <w:r>
                    <w:rPr>
                      <w:rFonts w:hint="eastAsia"/>
                      <w:snapToGrid w:val="0"/>
                      <w:kern w:val="0"/>
                      <w:sz w:val="21"/>
                      <w:szCs w:val="21"/>
                    </w:rPr>
                    <w:t>1.00</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菌落总数（</w:t>
                  </w:r>
                  <w:r>
                    <w:rPr>
                      <w:snapToGrid w:val="0"/>
                      <w:kern w:val="0"/>
                      <w:sz w:val="21"/>
                      <w:szCs w:val="21"/>
                    </w:rPr>
                    <w:t>CFU/mL</w:t>
                  </w:r>
                  <w:r>
                    <w:rPr>
                      <w:rFonts w:hint="eastAsia" w:hAnsi="宋体"/>
                      <w:snapToGrid w:val="0"/>
                      <w:kern w:val="0"/>
                      <w:sz w:val="21"/>
                      <w:szCs w:val="21"/>
                    </w:rPr>
                    <w:t>）</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硝酸盐</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≤20</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石油类</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挥发性酚类</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≤0.002</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硫化物</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氰化物</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≤0.05</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hAnsi="宋体"/>
                      <w:snapToGrid w:val="0"/>
                      <w:kern w:val="0"/>
                      <w:sz w:val="21"/>
                      <w:szCs w:val="21"/>
                    </w:rPr>
                    <w:t>镉</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砷</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≤0.01</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sz w:val="21"/>
                      <w:szCs w:val="21"/>
                    </w:rPr>
                    <w:t>氟化物</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汞</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≤0.001</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Ansi="宋体"/>
                      <w:snapToGrid w:val="0"/>
                      <w:kern w:val="0"/>
                      <w:sz w:val="21"/>
                      <w:szCs w:val="21"/>
                    </w:rPr>
                  </w:pPr>
                  <w:r>
                    <w:rPr>
                      <w:rFonts w:hint="eastAsia"/>
                      <w:sz w:val="21"/>
                      <w:szCs w:val="21"/>
                    </w:rPr>
                    <w:t>铅</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六价铬</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≤0.05</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z w:val="21"/>
                      <w:szCs w:val="21"/>
                    </w:rPr>
                    <w:t>钡</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总硬度</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≤450</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钠</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铁</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≤0.3</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氯化物</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锰</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≤0.1</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硫酸盐</w:t>
                  </w: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102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溶解性总固体</w:t>
                  </w:r>
                </w:p>
              </w:tc>
              <w:tc>
                <w:tcPr>
                  <w:tcW w:w="132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r>
                    <w:rPr>
                      <w:snapToGrid w:val="0"/>
                      <w:kern w:val="0"/>
                      <w:sz w:val="21"/>
                      <w:szCs w:val="21"/>
                    </w:rPr>
                    <w:t>≤1000</w:t>
                  </w:r>
                </w:p>
              </w:tc>
              <w:tc>
                <w:tcPr>
                  <w:tcW w:w="151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p>
              </w:tc>
              <w:tc>
                <w:tcPr>
                  <w:tcW w:w="113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snapToGrid w:val="0"/>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left"/>
                    <w:rPr>
                      <w:snapToGrid w:val="0"/>
                      <w:kern w:val="0"/>
                      <w:sz w:val="21"/>
                      <w:szCs w:val="21"/>
                    </w:rPr>
                  </w:pPr>
                  <w:r>
                    <w:rPr>
                      <w:rFonts w:hint="eastAsia" w:hAnsi="宋体"/>
                      <w:snapToGrid w:val="0"/>
                      <w:kern w:val="0"/>
                      <w:sz w:val="21"/>
                      <w:szCs w:val="21"/>
                    </w:rPr>
                    <w:t>注：石油类参照《地表水环境质量标准》（</w:t>
                  </w:r>
                  <w:r>
                    <w:rPr>
                      <w:snapToGrid w:val="0"/>
                      <w:kern w:val="0"/>
                      <w:sz w:val="21"/>
                      <w:szCs w:val="21"/>
                    </w:rPr>
                    <w:t>GB3838-2002</w:t>
                  </w:r>
                  <w:r>
                    <w:rPr>
                      <w:rFonts w:hint="eastAsia" w:hAnsi="宋体"/>
                      <w:snapToGrid w:val="0"/>
                      <w:kern w:val="0"/>
                      <w:sz w:val="21"/>
                      <w:szCs w:val="21"/>
                    </w:rPr>
                    <w:t>）III类标准</w:t>
                  </w:r>
                </w:p>
              </w:tc>
            </w:tr>
          </w:tbl>
          <w:p>
            <w:pPr>
              <w:adjustRightInd w:val="0"/>
              <w:snapToGrid w:val="0"/>
              <w:ind w:firstLine="0" w:firstLineChars="0"/>
              <w:rPr>
                <w:b/>
                <w:snapToGrid w:val="0"/>
                <w:kern w:val="0"/>
                <w:sz w:val="21"/>
                <w:szCs w:val="21"/>
              </w:rPr>
            </w:pPr>
            <w:r>
              <w:rPr>
                <w:rFonts w:hint="eastAsia"/>
                <w:b/>
                <w:snapToGrid w:val="0"/>
                <w:kern w:val="0"/>
                <w:sz w:val="21"/>
                <w:szCs w:val="21"/>
              </w:rPr>
              <w:t>1.4声环境</w:t>
            </w:r>
          </w:p>
          <w:p>
            <w:pPr>
              <w:adjustRightInd w:val="0"/>
              <w:snapToGrid w:val="0"/>
              <w:ind w:firstLine="420"/>
              <w:rPr>
                <w:snapToGrid w:val="0"/>
                <w:kern w:val="0"/>
                <w:sz w:val="21"/>
                <w:szCs w:val="21"/>
              </w:rPr>
            </w:pPr>
            <w:r>
              <w:rPr>
                <w:rFonts w:hint="eastAsia"/>
                <w:snapToGrid w:val="0"/>
                <w:kern w:val="0"/>
                <w:sz w:val="21"/>
                <w:szCs w:val="21"/>
              </w:rPr>
              <w:t>工程位于农村环境，周边无工业企业分布，属于2类声功能区，执行《声环境质量标准》（GB3096-2008）中的</w:t>
            </w:r>
            <w:r>
              <w:rPr>
                <w:snapToGrid w:val="0"/>
                <w:kern w:val="0"/>
                <w:sz w:val="21"/>
                <w:szCs w:val="21"/>
              </w:rPr>
              <w:t>2</w:t>
            </w:r>
            <w:r>
              <w:rPr>
                <w:rFonts w:hint="eastAsia"/>
                <w:snapToGrid w:val="0"/>
                <w:kern w:val="0"/>
                <w:sz w:val="21"/>
                <w:szCs w:val="21"/>
              </w:rPr>
              <w:t>类标准。</w:t>
            </w:r>
          </w:p>
          <w:p>
            <w:pPr>
              <w:adjustRightInd w:val="0"/>
              <w:snapToGrid w:val="0"/>
              <w:ind w:firstLine="0" w:firstLineChars="0"/>
              <w:jc w:val="center"/>
              <w:rPr>
                <w:b/>
                <w:snapToGrid w:val="0"/>
                <w:kern w:val="0"/>
                <w:sz w:val="21"/>
                <w:szCs w:val="21"/>
              </w:rPr>
            </w:pPr>
            <w:r>
              <w:rPr>
                <w:rFonts w:hint="eastAsia"/>
                <w:b/>
                <w:snapToGrid w:val="0"/>
                <w:kern w:val="0"/>
                <w:sz w:val="21"/>
                <w:szCs w:val="21"/>
              </w:rPr>
              <w:t>表3-2</w:t>
            </w:r>
            <w:r>
              <w:rPr>
                <w:b/>
                <w:snapToGrid w:val="0"/>
                <w:kern w:val="0"/>
                <w:sz w:val="21"/>
                <w:szCs w:val="21"/>
              </w:rPr>
              <w:t>0</w:t>
            </w:r>
            <w:r>
              <w:rPr>
                <w:rFonts w:hint="eastAsia"/>
                <w:b/>
                <w:snapToGrid w:val="0"/>
                <w:kern w:val="0"/>
                <w:sz w:val="21"/>
                <w:szCs w:val="21"/>
              </w:rPr>
              <w:t>声环境质量标准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9"/>
              <w:gridCol w:w="2962"/>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77"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rFonts w:hint="eastAsia" w:hAnsi="宋体"/>
                      <w:b/>
                      <w:snapToGrid w:val="0"/>
                      <w:kern w:val="0"/>
                      <w:sz w:val="21"/>
                      <w:szCs w:val="21"/>
                    </w:rPr>
                    <w:t>标准类别</w:t>
                  </w:r>
                </w:p>
              </w:tc>
              <w:tc>
                <w:tcPr>
                  <w:tcW w:w="3423"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rFonts w:hint="eastAsia" w:hAnsi="宋体"/>
                      <w:b/>
                      <w:snapToGrid w:val="0"/>
                      <w:kern w:val="0"/>
                      <w:sz w:val="21"/>
                      <w:szCs w:val="21"/>
                    </w:rPr>
                    <w:t>等效声级</w:t>
                  </w:r>
                  <w:r>
                    <w:rPr>
                      <w:b/>
                      <w:snapToGrid w:val="0"/>
                      <w:kern w:val="0"/>
                      <w:sz w:val="21"/>
                      <w:szCs w:val="21"/>
                    </w:rPr>
                    <w:t>L</w:t>
                  </w:r>
                  <w:r>
                    <w:rPr>
                      <w:b/>
                      <w:snapToGrid w:val="0"/>
                      <w:kern w:val="0"/>
                      <w:sz w:val="21"/>
                      <w:szCs w:val="21"/>
                      <w:vertAlign w:val="subscript"/>
                    </w:rPr>
                    <w:t>Aeq</w:t>
                  </w:r>
                  <w:r>
                    <w:rPr>
                      <w:rFonts w:hint="eastAsia" w:hAnsi="宋体"/>
                      <w:b/>
                      <w:snapToGrid w:val="0"/>
                      <w:kern w:val="0"/>
                      <w:sz w:val="21"/>
                      <w:szCs w:val="21"/>
                    </w:rPr>
                    <w:t>（</w:t>
                  </w:r>
                  <w:r>
                    <w:rPr>
                      <w:b/>
                      <w:snapToGrid w:val="0"/>
                      <w:kern w:val="0"/>
                      <w:sz w:val="21"/>
                      <w:szCs w:val="21"/>
                    </w:rPr>
                    <w:t>dB</w:t>
                  </w:r>
                  <w:r>
                    <w:rPr>
                      <w:rFonts w:hint="eastAsia" w:hAnsi="宋体"/>
                      <w:b/>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17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rFonts w:hint="eastAsia" w:hAnsi="宋体"/>
                      <w:b/>
                      <w:snapToGrid w:val="0"/>
                      <w:kern w:val="0"/>
                      <w:sz w:val="21"/>
                      <w:szCs w:val="21"/>
                    </w:rPr>
                    <w:t>昼间</w:t>
                  </w:r>
                </w:p>
              </w:tc>
              <w:tc>
                <w:tcPr>
                  <w:tcW w:w="17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rFonts w:hint="eastAsia" w:hAnsi="宋体"/>
                      <w:b/>
                      <w:snapToGrid w:val="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2</w:t>
                  </w:r>
                  <w:r>
                    <w:rPr>
                      <w:rFonts w:hint="eastAsia" w:hAnsi="宋体"/>
                      <w:snapToGrid w:val="0"/>
                      <w:kern w:val="0"/>
                      <w:sz w:val="21"/>
                      <w:szCs w:val="21"/>
                    </w:rPr>
                    <w:t>类</w:t>
                  </w:r>
                </w:p>
              </w:tc>
              <w:tc>
                <w:tcPr>
                  <w:tcW w:w="17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60</w:t>
                  </w:r>
                </w:p>
              </w:tc>
              <w:tc>
                <w:tcPr>
                  <w:tcW w:w="17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50</w:t>
                  </w:r>
                </w:p>
              </w:tc>
            </w:tr>
          </w:tbl>
          <w:p>
            <w:pPr>
              <w:adjustRightInd w:val="0"/>
              <w:snapToGrid w:val="0"/>
              <w:ind w:firstLine="0" w:firstLineChars="0"/>
              <w:rPr>
                <w:b/>
                <w:snapToGrid w:val="0"/>
                <w:kern w:val="0"/>
                <w:sz w:val="21"/>
                <w:szCs w:val="21"/>
              </w:rPr>
            </w:pPr>
            <w:r>
              <w:rPr>
                <w:b/>
                <w:snapToGrid w:val="0"/>
                <w:kern w:val="0"/>
                <w:sz w:val="21"/>
                <w:szCs w:val="21"/>
              </w:rPr>
              <w:t>1.5</w:t>
            </w:r>
            <w:r>
              <w:rPr>
                <w:rFonts w:hint="eastAsia"/>
                <w:b/>
                <w:snapToGrid w:val="0"/>
                <w:kern w:val="0"/>
                <w:sz w:val="21"/>
                <w:szCs w:val="21"/>
              </w:rPr>
              <w:t>土壤环境</w:t>
            </w:r>
          </w:p>
          <w:p>
            <w:pPr>
              <w:adjustRightInd w:val="0"/>
              <w:snapToGrid w:val="0"/>
              <w:ind w:firstLine="420"/>
              <w:rPr>
                <w:snapToGrid w:val="0"/>
                <w:kern w:val="0"/>
                <w:sz w:val="21"/>
                <w:szCs w:val="21"/>
              </w:rPr>
            </w:pPr>
            <w:r>
              <w:rPr>
                <w:rFonts w:hint="eastAsia"/>
                <w:snapToGrid w:val="0"/>
                <w:kern w:val="0"/>
                <w:sz w:val="21"/>
                <w:szCs w:val="21"/>
              </w:rPr>
              <w:t>场地外土壤执行《土壤环境质量农用地土壤污染风险管控标准（试行）》（</w:t>
            </w:r>
            <w:r>
              <w:rPr>
                <w:snapToGrid w:val="0"/>
                <w:kern w:val="0"/>
                <w:sz w:val="21"/>
                <w:szCs w:val="21"/>
              </w:rPr>
              <w:t>GB15618-2018</w:t>
            </w:r>
            <w:r>
              <w:rPr>
                <w:rFonts w:hint="eastAsia"/>
                <w:snapToGrid w:val="0"/>
                <w:kern w:val="0"/>
                <w:sz w:val="21"/>
                <w:szCs w:val="21"/>
              </w:rPr>
              <w:t>），场地内土壤执行《土壤环境质量建设用地土壤污染风险管控标准（试行）》（</w:t>
            </w:r>
            <w:r>
              <w:rPr>
                <w:snapToGrid w:val="0"/>
                <w:kern w:val="0"/>
                <w:sz w:val="21"/>
                <w:szCs w:val="21"/>
              </w:rPr>
              <w:t>GB36600-2018</w:t>
            </w:r>
            <w:r>
              <w:rPr>
                <w:rFonts w:hint="eastAsia"/>
                <w:snapToGrid w:val="0"/>
                <w:kern w:val="0"/>
                <w:sz w:val="21"/>
                <w:szCs w:val="21"/>
              </w:rPr>
              <w:t>）中的相关标准。</w:t>
            </w:r>
          </w:p>
          <w:p>
            <w:pPr>
              <w:adjustRightInd w:val="0"/>
              <w:snapToGrid w:val="0"/>
              <w:ind w:firstLine="0" w:firstLineChars="0"/>
              <w:jc w:val="center"/>
              <w:rPr>
                <w:b/>
                <w:snapToGrid w:val="0"/>
                <w:kern w:val="0"/>
                <w:sz w:val="21"/>
                <w:szCs w:val="21"/>
              </w:rPr>
            </w:pPr>
            <w:r>
              <w:rPr>
                <w:rFonts w:hint="eastAsia"/>
                <w:b/>
                <w:snapToGrid w:val="0"/>
                <w:kern w:val="0"/>
                <w:sz w:val="21"/>
                <w:szCs w:val="21"/>
              </w:rPr>
              <w:t>表3-2</w:t>
            </w:r>
            <w:r>
              <w:rPr>
                <w:b/>
                <w:snapToGrid w:val="0"/>
                <w:kern w:val="0"/>
                <w:sz w:val="21"/>
                <w:szCs w:val="21"/>
              </w:rPr>
              <w:t>1</w:t>
            </w:r>
            <w:r>
              <w:rPr>
                <w:rFonts w:hint="eastAsia"/>
                <w:b/>
                <w:snapToGrid w:val="0"/>
                <w:kern w:val="0"/>
                <w:sz w:val="21"/>
                <w:szCs w:val="21"/>
              </w:rPr>
              <w:t>农用地土壤质量标准限制单位：mg/kg</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739"/>
              <w:gridCol w:w="1330"/>
              <w:gridCol w:w="1460"/>
              <w:gridCol w:w="1461"/>
              <w:gridCol w:w="1461"/>
              <w:gridCol w:w="14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序号</w:t>
                  </w:r>
                </w:p>
              </w:tc>
              <w:tc>
                <w:tcPr>
                  <w:tcW w:w="1985" w:type="dxa"/>
                  <w:gridSpan w:val="2"/>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污染物项目</w:t>
                  </w:r>
                </w:p>
              </w:tc>
              <w:tc>
                <w:tcPr>
                  <w:tcW w:w="5607" w:type="dxa"/>
                  <w:gridSpan w:val="4"/>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风险筛选值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1985" w:type="dxa"/>
                  <w:gridSpan w:val="2"/>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pH≤5.5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5.5＜pH≤6.5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6.5&lt;pH≤7.5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pH&gt;7.5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镉</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水田</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0.3</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0.4</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0.6</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0.3</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0.3</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0.3</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汞</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水田</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0.6</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1.3</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1.8</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2.4</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砷</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水田</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40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40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4</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铅</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水田</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80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140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70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90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120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5</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铬</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水田</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6</w:t>
                  </w:r>
                </w:p>
              </w:tc>
              <w:tc>
                <w:tcPr>
                  <w:tcW w:w="70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铜</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经济林</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其他</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7</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镍</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60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70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8</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锌</w:t>
                  </w:r>
                </w:p>
              </w:tc>
              <w:tc>
                <w:tcPr>
                  <w:tcW w:w="140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200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250</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300</w:t>
                  </w:r>
                </w:p>
              </w:tc>
            </w:tr>
          </w:tbl>
          <w:p>
            <w:pPr>
              <w:adjustRightInd w:val="0"/>
              <w:snapToGrid w:val="0"/>
              <w:ind w:firstLine="0" w:firstLineChars="0"/>
              <w:jc w:val="center"/>
              <w:rPr>
                <w:b/>
                <w:snapToGrid w:val="0"/>
                <w:kern w:val="0"/>
                <w:sz w:val="21"/>
                <w:szCs w:val="21"/>
              </w:rPr>
            </w:pPr>
            <w:r>
              <w:rPr>
                <w:rFonts w:hint="eastAsia"/>
                <w:b/>
                <w:snapToGrid w:val="0"/>
                <w:kern w:val="0"/>
                <w:sz w:val="21"/>
                <w:szCs w:val="21"/>
              </w:rPr>
              <w:t>表3-2</w:t>
            </w:r>
            <w:r>
              <w:rPr>
                <w:b/>
                <w:snapToGrid w:val="0"/>
                <w:kern w:val="0"/>
                <w:sz w:val="21"/>
                <w:szCs w:val="21"/>
              </w:rPr>
              <w:t>2</w:t>
            </w:r>
            <w:r>
              <w:rPr>
                <w:rFonts w:hint="eastAsia"/>
                <w:b/>
                <w:snapToGrid w:val="0"/>
                <w:kern w:val="0"/>
                <w:sz w:val="21"/>
                <w:szCs w:val="21"/>
              </w:rPr>
              <w:t>建设用地土壤质量标准限值单位：mg/kg</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3734"/>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550"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b/>
                      <w:bCs/>
                      <w:snapToGrid w:val="0"/>
                      <w:kern w:val="0"/>
                      <w:sz w:val="21"/>
                      <w:szCs w:val="21"/>
                    </w:rPr>
                  </w:pPr>
                  <w:r>
                    <w:rPr>
                      <w:rFonts w:hAnsi="宋体"/>
                      <w:b/>
                      <w:bCs/>
                      <w:snapToGrid w:val="0"/>
                      <w:kern w:val="0"/>
                      <w:sz w:val="21"/>
                      <w:szCs w:val="21"/>
                    </w:rPr>
                    <w:t>污染项目</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b/>
                      <w:bCs/>
                      <w:snapToGrid w:val="0"/>
                      <w:kern w:val="0"/>
                      <w:sz w:val="21"/>
                      <w:szCs w:val="21"/>
                    </w:rPr>
                  </w:pPr>
                  <w:r>
                    <w:rPr>
                      <w:rFonts w:hAnsi="宋体"/>
                      <w:b/>
                      <w:bCs/>
                      <w:snapToGrid w:val="0"/>
                      <w:kern w:val="0"/>
                      <w:sz w:val="21"/>
                      <w:szCs w:val="21"/>
                    </w:rPr>
                    <w:t>筛选值（第二类用地）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bCs/>
                      <w:snapToGrid w:val="0"/>
                      <w:kern w:val="0"/>
                      <w:sz w:val="21"/>
                      <w:szCs w:val="21"/>
                    </w:rPr>
                  </w:pPr>
                  <w:r>
                    <w:rPr>
                      <w:rFonts w:hAnsi="宋体"/>
                      <w:bCs/>
                      <w:snapToGrid w:val="0"/>
                      <w:kern w:val="0"/>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镉</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铬（六价）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铜</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5</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铅</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6</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汞</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7</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镍</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rFonts w:hAnsi="宋体"/>
                      <w:snapToGrid w:val="0"/>
                      <w:kern w:val="0"/>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8</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四氯化碳</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9</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氯仿</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10</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氯甲烷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w:t>
                  </w:r>
                  <w:r>
                    <w:rPr>
                      <w:rFonts w:hAnsi="宋体"/>
                      <w:snapToGrid w:val="0"/>
                      <w:kern w:val="0"/>
                      <w:sz w:val="21"/>
                      <w:szCs w:val="21"/>
                    </w:rPr>
                    <w:t>二氯乙烷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12</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1,2-</w:t>
                  </w:r>
                  <w:r>
                    <w:rPr>
                      <w:rFonts w:hAnsi="宋体"/>
                      <w:snapToGrid w:val="0"/>
                      <w:kern w:val="0"/>
                      <w:sz w:val="21"/>
                      <w:szCs w:val="21"/>
                    </w:rPr>
                    <w:t>二氯乙烷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13</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w:t>
                  </w:r>
                  <w:r>
                    <w:rPr>
                      <w:rFonts w:hAnsi="宋体"/>
                      <w:snapToGrid w:val="0"/>
                      <w:kern w:val="0"/>
                      <w:sz w:val="21"/>
                      <w:szCs w:val="21"/>
                    </w:rPr>
                    <w:t>二氯乙烯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14</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顺</w:t>
                  </w:r>
                  <w:r>
                    <w:rPr>
                      <w:snapToGrid w:val="0"/>
                      <w:kern w:val="0"/>
                      <w:sz w:val="21"/>
                      <w:szCs w:val="21"/>
                    </w:rPr>
                    <w:t>-1,2-</w:t>
                  </w:r>
                  <w:r>
                    <w:rPr>
                      <w:rFonts w:hAnsi="宋体"/>
                      <w:snapToGrid w:val="0"/>
                      <w:kern w:val="0"/>
                      <w:sz w:val="21"/>
                      <w:szCs w:val="21"/>
                    </w:rPr>
                    <w:t>二氯乙烯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15</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反</w:t>
                  </w:r>
                  <w:r>
                    <w:rPr>
                      <w:snapToGrid w:val="0"/>
                      <w:kern w:val="0"/>
                      <w:sz w:val="21"/>
                      <w:szCs w:val="21"/>
                    </w:rPr>
                    <w:t>-1,2-</w:t>
                  </w:r>
                  <w:r>
                    <w:rPr>
                      <w:rFonts w:hAnsi="宋体"/>
                      <w:snapToGrid w:val="0"/>
                      <w:kern w:val="0"/>
                      <w:sz w:val="21"/>
                      <w:szCs w:val="21"/>
                    </w:rPr>
                    <w:t>二氯乙烯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16</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二氯甲烷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17</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1,2-</w:t>
                  </w:r>
                  <w:r>
                    <w:rPr>
                      <w:rFonts w:hAnsi="宋体"/>
                      <w:snapToGrid w:val="0"/>
                      <w:kern w:val="0"/>
                      <w:sz w:val="21"/>
                      <w:szCs w:val="21"/>
                    </w:rPr>
                    <w:t>二氯丙烷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18</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1,1,1,2-</w:t>
                  </w:r>
                  <w:r>
                    <w:rPr>
                      <w:rFonts w:hAnsi="宋体"/>
                      <w:snapToGrid w:val="0"/>
                      <w:kern w:val="0"/>
                      <w:sz w:val="21"/>
                      <w:szCs w:val="21"/>
                    </w:rPr>
                    <w:t>四氯乙烷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19</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1,1,2,2-</w:t>
                  </w:r>
                  <w:r>
                    <w:rPr>
                      <w:rFonts w:hAnsi="宋体"/>
                      <w:snapToGrid w:val="0"/>
                      <w:kern w:val="0"/>
                      <w:sz w:val="21"/>
                      <w:szCs w:val="21"/>
                    </w:rPr>
                    <w:t>四氯乙烷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20</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四氯乙烯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21</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1,1,1-</w:t>
                  </w:r>
                  <w:r>
                    <w:rPr>
                      <w:rFonts w:hAnsi="宋体"/>
                      <w:snapToGrid w:val="0"/>
                      <w:kern w:val="0"/>
                      <w:sz w:val="21"/>
                      <w:szCs w:val="21"/>
                    </w:rPr>
                    <w:t>三氯乙烷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22</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1,1,2-</w:t>
                  </w:r>
                  <w:r>
                    <w:rPr>
                      <w:rFonts w:hAnsi="宋体"/>
                      <w:snapToGrid w:val="0"/>
                      <w:kern w:val="0"/>
                      <w:sz w:val="21"/>
                      <w:szCs w:val="21"/>
                    </w:rPr>
                    <w:t>三氯乙烷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23</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三氯乙烯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24</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1,2,3-</w:t>
                  </w:r>
                  <w:r>
                    <w:rPr>
                      <w:rFonts w:hAnsi="宋体"/>
                      <w:snapToGrid w:val="0"/>
                      <w:kern w:val="0"/>
                      <w:sz w:val="21"/>
                      <w:szCs w:val="21"/>
                    </w:rPr>
                    <w:t>三氯丙烷</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25</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26</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27</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氯苯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28</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1,2-</w:t>
                  </w:r>
                  <w:r>
                    <w:rPr>
                      <w:rFonts w:hAnsi="宋体"/>
                      <w:snapToGrid w:val="0"/>
                      <w:kern w:val="0"/>
                      <w:sz w:val="21"/>
                      <w:szCs w:val="21"/>
                    </w:rPr>
                    <w:t>二氯苯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29</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1,4-</w:t>
                  </w:r>
                  <w:r>
                    <w:rPr>
                      <w:rFonts w:hAnsi="宋体"/>
                      <w:snapToGrid w:val="0"/>
                      <w:kern w:val="0"/>
                      <w:sz w:val="21"/>
                      <w:szCs w:val="21"/>
                    </w:rPr>
                    <w:t>二氯苯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30</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乙苯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31</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苯乙烯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32</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甲苯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33</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间二甲苯</w:t>
                  </w:r>
                  <w:r>
                    <w:rPr>
                      <w:snapToGrid w:val="0"/>
                      <w:kern w:val="0"/>
                      <w:sz w:val="21"/>
                      <w:szCs w:val="21"/>
                    </w:rPr>
                    <w:t>+</w:t>
                  </w:r>
                  <w:r>
                    <w:rPr>
                      <w:rFonts w:hAnsi="宋体"/>
                      <w:snapToGrid w:val="0"/>
                      <w:kern w:val="0"/>
                      <w:sz w:val="21"/>
                      <w:szCs w:val="21"/>
                    </w:rPr>
                    <w:t>对二甲苯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34</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邻二甲苯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rFonts w:hAnsi="宋体"/>
                      <w:snapToGrid w:val="0"/>
                      <w:kern w:val="0"/>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35</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硝基苯</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36</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苯胺</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37</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2-</w:t>
                  </w:r>
                  <w:r>
                    <w:rPr>
                      <w:rFonts w:hAnsi="宋体"/>
                      <w:snapToGrid w:val="0"/>
                      <w:kern w:val="0"/>
                      <w:sz w:val="21"/>
                      <w:szCs w:val="21"/>
                    </w:rPr>
                    <w:t>氯酚</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38</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苯并</w:t>
                  </w:r>
                  <w:r>
                    <w:rPr>
                      <w:snapToGrid w:val="0"/>
                      <w:kern w:val="0"/>
                      <w:sz w:val="21"/>
                      <w:szCs w:val="21"/>
                    </w:rPr>
                    <w:t>[a]</w:t>
                  </w:r>
                  <w:r>
                    <w:rPr>
                      <w:rFonts w:hAnsi="宋体"/>
                      <w:snapToGrid w:val="0"/>
                      <w:kern w:val="0"/>
                      <w:sz w:val="21"/>
                      <w:szCs w:val="21"/>
                    </w:rPr>
                    <w:t>蒽</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39</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苯并</w:t>
                  </w:r>
                  <w:r>
                    <w:rPr>
                      <w:snapToGrid w:val="0"/>
                      <w:kern w:val="0"/>
                      <w:sz w:val="21"/>
                      <w:szCs w:val="21"/>
                    </w:rPr>
                    <w:t>[a]</w:t>
                  </w:r>
                  <w:r>
                    <w:rPr>
                      <w:rFonts w:hAnsi="宋体"/>
                      <w:snapToGrid w:val="0"/>
                      <w:kern w:val="0"/>
                      <w:sz w:val="21"/>
                      <w:szCs w:val="21"/>
                    </w:rPr>
                    <w:t>芘</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40</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苯并</w:t>
                  </w:r>
                  <w:r>
                    <w:rPr>
                      <w:snapToGrid w:val="0"/>
                      <w:kern w:val="0"/>
                      <w:sz w:val="21"/>
                      <w:szCs w:val="21"/>
                    </w:rPr>
                    <w:t>[b]</w:t>
                  </w:r>
                  <w:r>
                    <w:rPr>
                      <w:rFonts w:hAnsi="宋体"/>
                      <w:snapToGrid w:val="0"/>
                      <w:kern w:val="0"/>
                      <w:sz w:val="21"/>
                      <w:szCs w:val="21"/>
                    </w:rPr>
                    <w:t>荧蒽</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41</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苯并</w:t>
                  </w:r>
                  <w:r>
                    <w:rPr>
                      <w:snapToGrid w:val="0"/>
                      <w:kern w:val="0"/>
                      <w:sz w:val="21"/>
                      <w:szCs w:val="21"/>
                    </w:rPr>
                    <w:t>[k]</w:t>
                  </w:r>
                  <w:r>
                    <w:rPr>
                      <w:rFonts w:hAnsi="宋体"/>
                      <w:snapToGrid w:val="0"/>
                      <w:kern w:val="0"/>
                      <w:sz w:val="21"/>
                      <w:szCs w:val="21"/>
                    </w:rPr>
                    <w:t>荧蒽</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42</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䓛</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43</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二苯并</w:t>
                  </w:r>
                  <w:r>
                    <w:rPr>
                      <w:snapToGrid w:val="0"/>
                      <w:kern w:val="0"/>
                      <w:sz w:val="21"/>
                      <w:szCs w:val="21"/>
                    </w:rPr>
                    <w:t>[a</w:t>
                  </w:r>
                  <w:r>
                    <w:rPr>
                      <w:rFonts w:hAnsi="宋体"/>
                      <w:snapToGrid w:val="0"/>
                      <w:kern w:val="0"/>
                      <w:sz w:val="21"/>
                      <w:szCs w:val="21"/>
                    </w:rPr>
                    <w:t>，</w:t>
                  </w:r>
                  <w:r>
                    <w:rPr>
                      <w:snapToGrid w:val="0"/>
                      <w:kern w:val="0"/>
                      <w:sz w:val="21"/>
                      <w:szCs w:val="21"/>
                    </w:rPr>
                    <w:t>h]</w:t>
                  </w:r>
                  <w:r>
                    <w:rPr>
                      <w:rFonts w:hAnsi="宋体"/>
                      <w:snapToGrid w:val="0"/>
                      <w:kern w:val="0"/>
                      <w:sz w:val="21"/>
                      <w:szCs w:val="21"/>
                    </w:rPr>
                    <w:t>蒽</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44</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茚并</w:t>
                  </w:r>
                  <w:r>
                    <w:rPr>
                      <w:snapToGrid w:val="0"/>
                      <w:kern w:val="0"/>
                      <w:sz w:val="21"/>
                      <w:szCs w:val="21"/>
                    </w:rPr>
                    <w:t>[1,2,3-cd]</w:t>
                  </w:r>
                  <w:r>
                    <w:rPr>
                      <w:rFonts w:hAnsi="宋体"/>
                      <w:snapToGrid w:val="0"/>
                      <w:kern w:val="0"/>
                      <w:sz w:val="21"/>
                      <w:szCs w:val="21"/>
                    </w:rPr>
                    <w:t>芘</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45</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萘</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rFonts w:hAnsi="宋体"/>
                      <w:snapToGrid w:val="0"/>
                      <w:kern w:val="0"/>
                      <w:sz w:val="21"/>
                      <w:szCs w:val="21"/>
                    </w:rPr>
                    <w:t>石油烃类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240" w:lineRule="auto"/>
                    <w:ind w:firstLine="0" w:firstLineChars="0"/>
                    <w:jc w:val="center"/>
                    <w:textAlignment w:val="center"/>
                    <w:rPr>
                      <w:snapToGrid w:val="0"/>
                      <w:kern w:val="0"/>
                      <w:sz w:val="21"/>
                      <w:szCs w:val="21"/>
                    </w:rPr>
                  </w:pPr>
                  <w:r>
                    <w:rPr>
                      <w:snapToGrid w:val="0"/>
                      <w:kern w:val="0"/>
                      <w:sz w:val="21"/>
                      <w:szCs w:val="21"/>
                    </w:rPr>
                    <w:t>46</w:t>
                  </w:r>
                </w:p>
              </w:tc>
              <w:tc>
                <w:tcPr>
                  <w:tcW w:w="215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snapToGrid w:val="0"/>
                      <w:kern w:val="0"/>
                      <w:sz w:val="21"/>
                      <w:szCs w:val="21"/>
                    </w:rPr>
                  </w:pPr>
                  <w:r>
                    <w:rPr>
                      <w:rFonts w:hAnsi="宋体"/>
                      <w:snapToGrid w:val="0"/>
                      <w:kern w:val="0"/>
                      <w:sz w:val="21"/>
                      <w:szCs w:val="21"/>
                    </w:rPr>
                    <w:t>石油烃（</w:t>
                  </w:r>
                  <w:r>
                    <w:rPr>
                      <w:snapToGrid w:val="0"/>
                      <w:kern w:val="0"/>
                      <w:sz w:val="21"/>
                      <w:szCs w:val="21"/>
                    </w:rPr>
                    <w:t>C</w:t>
                  </w:r>
                  <w:r>
                    <w:rPr>
                      <w:snapToGrid w:val="0"/>
                      <w:kern w:val="0"/>
                      <w:sz w:val="21"/>
                      <w:szCs w:val="21"/>
                      <w:vertAlign w:val="subscript"/>
                    </w:rPr>
                    <w:t>10</w:t>
                  </w:r>
                  <w:r>
                    <w:rPr>
                      <w:snapToGrid w:val="0"/>
                      <w:kern w:val="0"/>
                      <w:sz w:val="21"/>
                      <w:szCs w:val="21"/>
                    </w:rPr>
                    <w:t>-C</w:t>
                  </w:r>
                  <w:r>
                    <w:rPr>
                      <w:snapToGrid w:val="0"/>
                      <w:kern w:val="0"/>
                      <w:sz w:val="21"/>
                      <w:szCs w:val="21"/>
                      <w:vertAlign w:val="subscript"/>
                    </w:rPr>
                    <w:t>40</w:t>
                  </w:r>
                  <w:r>
                    <w:rPr>
                      <w:rFonts w:hAnsi="宋体"/>
                      <w:snapToGrid w:val="0"/>
                      <w:kern w:val="0"/>
                      <w:sz w:val="21"/>
                      <w:szCs w:val="21"/>
                    </w:rPr>
                    <w:t>）</w:t>
                  </w:r>
                </w:p>
              </w:tc>
              <w:tc>
                <w:tcPr>
                  <w:tcW w:w="245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240" w:lineRule="auto"/>
                    <w:ind w:firstLine="0" w:firstLineChars="0"/>
                    <w:jc w:val="center"/>
                    <w:rPr>
                      <w:snapToGrid w:val="0"/>
                      <w:kern w:val="0"/>
                      <w:sz w:val="21"/>
                      <w:szCs w:val="21"/>
                    </w:rPr>
                  </w:pPr>
                  <w:r>
                    <w:rPr>
                      <w:snapToGrid w:val="0"/>
                      <w:kern w:val="0"/>
                      <w:sz w:val="21"/>
                      <w:szCs w:val="21"/>
                    </w:rPr>
                    <w:t>4500</w:t>
                  </w:r>
                </w:p>
              </w:tc>
            </w:tr>
          </w:tbl>
          <w:p>
            <w:pPr>
              <w:adjustRightInd w:val="0"/>
              <w:snapToGrid w:val="0"/>
              <w:ind w:firstLine="0" w:firstLineChars="0"/>
              <w:rPr>
                <w:b/>
                <w:snapToGrid w:val="0"/>
                <w:kern w:val="0"/>
                <w:sz w:val="21"/>
                <w:szCs w:val="21"/>
              </w:rPr>
            </w:pPr>
            <w:r>
              <w:rPr>
                <w:rFonts w:hint="eastAsia"/>
                <w:b/>
                <w:snapToGrid w:val="0"/>
                <w:kern w:val="0"/>
                <w:sz w:val="21"/>
                <w:szCs w:val="21"/>
              </w:rPr>
              <w:t>2、污染物排放标准</w:t>
            </w:r>
          </w:p>
          <w:p>
            <w:pPr>
              <w:tabs>
                <w:tab w:val="left" w:pos="2592"/>
              </w:tabs>
              <w:adjustRightInd w:val="0"/>
              <w:snapToGrid w:val="0"/>
              <w:ind w:firstLine="0" w:firstLineChars="0"/>
              <w:rPr>
                <w:b/>
                <w:bCs/>
                <w:snapToGrid w:val="0"/>
                <w:kern w:val="0"/>
                <w:sz w:val="21"/>
                <w:szCs w:val="21"/>
              </w:rPr>
            </w:pPr>
            <w:r>
              <w:rPr>
                <w:rFonts w:hint="eastAsia"/>
                <w:b/>
                <w:bCs/>
                <w:snapToGrid w:val="0"/>
                <w:kern w:val="0"/>
                <w:sz w:val="21"/>
                <w:szCs w:val="21"/>
              </w:rPr>
              <w:t>2.1</w:t>
            </w:r>
            <w:r>
              <w:rPr>
                <w:rFonts w:hAnsi="宋体"/>
                <w:b/>
                <w:bCs/>
                <w:snapToGrid w:val="0"/>
                <w:kern w:val="0"/>
                <w:sz w:val="21"/>
                <w:szCs w:val="21"/>
              </w:rPr>
              <w:t>废气</w:t>
            </w:r>
          </w:p>
          <w:p>
            <w:pPr>
              <w:ind w:firstLine="420"/>
              <w:rPr>
                <w:snapToGrid w:val="0"/>
                <w:kern w:val="0"/>
                <w:sz w:val="21"/>
                <w:szCs w:val="21"/>
              </w:rPr>
            </w:pPr>
            <w:r>
              <w:rPr>
                <w:rFonts w:hAnsi="宋体"/>
                <w:snapToGrid w:val="0"/>
                <w:kern w:val="0"/>
                <w:sz w:val="21"/>
                <w:szCs w:val="21"/>
              </w:rPr>
              <w:t>施工期扬尘排放执行《四川省施工场地扬尘排放标准》（</w:t>
            </w:r>
            <w:r>
              <w:rPr>
                <w:snapToGrid w:val="0"/>
                <w:kern w:val="0"/>
                <w:sz w:val="21"/>
                <w:szCs w:val="21"/>
              </w:rPr>
              <w:t>DB512685-2020</w:t>
            </w:r>
            <w:r>
              <w:rPr>
                <w:rFonts w:hAnsi="宋体"/>
                <w:snapToGrid w:val="0"/>
                <w:kern w:val="0"/>
                <w:sz w:val="21"/>
                <w:szCs w:val="21"/>
              </w:rPr>
              <w:t>）中</w:t>
            </w:r>
            <w:r>
              <w:rPr>
                <w:rFonts w:hint="eastAsia" w:hAnsi="宋体"/>
                <w:snapToGrid w:val="0"/>
                <w:kern w:val="0"/>
                <w:sz w:val="21"/>
                <w:szCs w:val="21"/>
              </w:rPr>
              <w:t>达州</w:t>
            </w:r>
            <w:r>
              <w:rPr>
                <w:rFonts w:hAnsi="宋体"/>
                <w:snapToGrid w:val="0"/>
                <w:kern w:val="0"/>
                <w:sz w:val="21"/>
                <w:szCs w:val="21"/>
              </w:rPr>
              <w:t>市区域标准；拟建项目属于</w:t>
            </w:r>
            <w:r>
              <w:rPr>
                <w:rFonts w:hint="eastAsia" w:hAnsi="宋体"/>
                <w:snapToGrid w:val="0"/>
                <w:kern w:val="0"/>
                <w:sz w:val="21"/>
                <w:szCs w:val="21"/>
              </w:rPr>
              <w:t>油气</w:t>
            </w:r>
            <w:r>
              <w:rPr>
                <w:rFonts w:hAnsi="宋体"/>
                <w:snapToGrid w:val="0"/>
                <w:kern w:val="0"/>
                <w:sz w:val="21"/>
                <w:szCs w:val="21"/>
              </w:rPr>
              <w:t>的勘探，执行《</w:t>
            </w:r>
            <w:r>
              <w:rPr>
                <w:rFonts w:hint="eastAsia" w:hAnsi="宋体"/>
                <w:snapToGrid w:val="0"/>
                <w:kern w:val="0"/>
                <w:sz w:val="21"/>
                <w:szCs w:val="21"/>
              </w:rPr>
              <w:t>陆上石油天然气开采工业大气污染物排放标准</w:t>
            </w:r>
            <w:r>
              <w:rPr>
                <w:rFonts w:hAnsi="宋体"/>
                <w:snapToGrid w:val="0"/>
                <w:kern w:val="0"/>
                <w:sz w:val="21"/>
                <w:szCs w:val="21"/>
              </w:rPr>
              <w:t>》（</w:t>
            </w:r>
            <w:r>
              <w:rPr>
                <w:snapToGrid w:val="0"/>
                <w:kern w:val="0"/>
                <w:sz w:val="21"/>
                <w:szCs w:val="21"/>
              </w:rPr>
              <w:t>GB39738-2020</w:t>
            </w:r>
            <w:r>
              <w:rPr>
                <w:rFonts w:hAnsi="宋体"/>
                <w:snapToGrid w:val="0"/>
                <w:kern w:val="0"/>
                <w:sz w:val="21"/>
                <w:szCs w:val="21"/>
              </w:rPr>
              <w:t>）</w:t>
            </w:r>
            <w:r>
              <w:rPr>
                <w:rFonts w:hint="eastAsia" w:hAnsi="宋体"/>
                <w:snapToGrid w:val="0"/>
                <w:kern w:val="0"/>
                <w:sz w:val="21"/>
                <w:szCs w:val="21"/>
              </w:rPr>
              <w:t>、</w:t>
            </w:r>
            <w:r>
              <w:rPr>
                <w:rFonts w:hAnsi="宋体"/>
                <w:snapToGrid w:val="0"/>
                <w:kern w:val="0"/>
                <w:sz w:val="21"/>
                <w:szCs w:val="21"/>
              </w:rPr>
              <w:t>《大气污染物排放标准》（</w:t>
            </w:r>
            <w:r>
              <w:rPr>
                <w:snapToGrid w:val="0"/>
                <w:kern w:val="0"/>
                <w:sz w:val="21"/>
                <w:szCs w:val="21"/>
              </w:rPr>
              <w:t>GB16297-1996</w:t>
            </w:r>
            <w:r>
              <w:rPr>
                <w:rFonts w:hAnsi="宋体"/>
                <w:snapToGrid w:val="0"/>
                <w:kern w:val="0"/>
                <w:sz w:val="21"/>
                <w:szCs w:val="21"/>
              </w:rPr>
              <w:t>）中二级标准。</w:t>
            </w:r>
          </w:p>
          <w:p>
            <w:pPr>
              <w:ind w:firstLine="0" w:firstLineChars="0"/>
              <w:jc w:val="center"/>
              <w:rPr>
                <w:b/>
                <w:bCs/>
                <w:snapToGrid w:val="0"/>
                <w:kern w:val="0"/>
                <w:sz w:val="21"/>
                <w:szCs w:val="21"/>
              </w:rPr>
            </w:pPr>
            <w:r>
              <w:rPr>
                <w:rFonts w:hAnsi="宋体"/>
                <w:b/>
                <w:bCs/>
                <w:snapToGrid w:val="0"/>
                <w:kern w:val="0"/>
                <w:sz w:val="21"/>
                <w:szCs w:val="21"/>
              </w:rPr>
              <w:t>表</w:t>
            </w:r>
            <w:r>
              <w:rPr>
                <w:rFonts w:hint="eastAsia"/>
                <w:b/>
                <w:bCs/>
                <w:snapToGrid w:val="0"/>
                <w:kern w:val="0"/>
                <w:sz w:val="21"/>
                <w:szCs w:val="21"/>
              </w:rPr>
              <w:t>3-2</w:t>
            </w:r>
            <w:r>
              <w:rPr>
                <w:b/>
                <w:bCs/>
                <w:snapToGrid w:val="0"/>
                <w:kern w:val="0"/>
                <w:sz w:val="21"/>
                <w:szCs w:val="21"/>
              </w:rPr>
              <w:t xml:space="preserve">3  </w:t>
            </w:r>
            <w:r>
              <w:rPr>
                <w:rFonts w:hAnsi="宋体"/>
                <w:b/>
                <w:bCs/>
                <w:snapToGrid w:val="0"/>
                <w:kern w:val="0"/>
                <w:sz w:val="21"/>
                <w:szCs w:val="21"/>
              </w:rPr>
              <w:t>《四川省施工场地扬尘排放标准》单位：</w:t>
            </w:r>
            <w:r>
              <w:rPr>
                <w:b/>
                <w:bCs/>
                <w:snapToGrid w:val="0"/>
                <w:kern w:val="0"/>
                <w:sz w:val="21"/>
                <w:szCs w:val="21"/>
              </w:rPr>
              <w:t>μg/m</w:t>
            </w:r>
            <w:r>
              <w:rPr>
                <w:b/>
                <w:bCs/>
                <w:snapToGrid w:val="0"/>
                <w:kern w:val="0"/>
                <w:sz w:val="21"/>
                <w:szCs w:val="21"/>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50"/>
              <w:gridCol w:w="1069"/>
              <w:gridCol w:w="3978"/>
              <w:gridCol w:w="22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jc w:val="center"/>
              </w:trPr>
              <w:tc>
                <w:tcPr>
                  <w:tcW w:w="780" w:type="pct"/>
                  <w:tcBorders>
                    <w:top w:val="single" w:color="auto" w:sz="4" w:space="0"/>
                    <w:left w:val="single" w:color="auto" w:sz="4" w:space="0"/>
                    <w:bottom w:val="single" w:color="auto" w:sz="6" w:space="0"/>
                    <w:right w:val="single" w:color="auto" w:sz="6" w:space="0"/>
                  </w:tcBorders>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监测项目</w:t>
                  </w:r>
                </w:p>
              </w:tc>
              <w:tc>
                <w:tcPr>
                  <w:tcW w:w="618" w:type="pct"/>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区域</w:t>
                  </w:r>
                </w:p>
              </w:tc>
              <w:tc>
                <w:tcPr>
                  <w:tcW w:w="2299" w:type="pct"/>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施工阶段</w:t>
                  </w:r>
                </w:p>
              </w:tc>
              <w:tc>
                <w:tcPr>
                  <w:tcW w:w="1303" w:type="pct"/>
                  <w:tcBorders>
                    <w:top w:val="single" w:color="auto" w:sz="4" w:space="0"/>
                    <w:left w:val="single" w:color="auto" w:sz="6" w:space="0"/>
                    <w:bottom w:val="single" w:color="auto" w:sz="6" w:space="0"/>
                    <w:right w:val="single" w:color="auto" w:sz="4" w:space="0"/>
                  </w:tcBorders>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监测点排放限值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0" w:type="pct"/>
                  <w:vMerge w:val="restart"/>
                  <w:tcBorders>
                    <w:top w:val="single" w:color="auto" w:sz="6" w:space="0"/>
                    <w:left w:val="single" w:color="auto" w:sz="4" w:space="0"/>
                    <w:bottom w:val="single" w:color="auto" w:sz="4" w:space="0"/>
                    <w:right w:val="single" w:color="auto" w:sz="6" w:space="0"/>
                  </w:tcBorders>
                  <w:vAlign w:val="center"/>
                </w:tcPr>
                <w:p>
                  <w:pPr>
                    <w:spacing w:line="240" w:lineRule="auto"/>
                    <w:ind w:firstLine="0" w:firstLineChars="0"/>
                    <w:jc w:val="center"/>
                    <w:rPr>
                      <w:snapToGrid w:val="0"/>
                      <w:kern w:val="0"/>
                      <w:sz w:val="21"/>
                      <w:szCs w:val="21"/>
                    </w:rPr>
                  </w:pPr>
                  <w:r>
                    <w:rPr>
                      <w:snapToGrid w:val="0"/>
                      <w:kern w:val="0"/>
                      <w:sz w:val="21"/>
                      <w:szCs w:val="21"/>
                    </w:rPr>
                    <w:t>TSP</w:t>
                  </w:r>
                </w:p>
              </w:tc>
              <w:tc>
                <w:tcPr>
                  <w:tcW w:w="618" w:type="pct"/>
                  <w:vMerge w:val="restart"/>
                  <w:tcBorders>
                    <w:top w:val="single" w:color="auto" w:sz="6" w:space="0"/>
                    <w:left w:val="single" w:color="auto" w:sz="6" w:space="0"/>
                    <w:bottom w:val="single" w:color="auto" w:sz="4" w:space="0"/>
                    <w:right w:val="single" w:color="auto" w:sz="6" w:space="0"/>
                  </w:tcBorders>
                  <w:vAlign w:val="center"/>
                </w:tcPr>
                <w:p>
                  <w:pPr>
                    <w:spacing w:line="240" w:lineRule="auto"/>
                    <w:ind w:firstLine="0" w:firstLineChars="0"/>
                    <w:jc w:val="center"/>
                    <w:rPr>
                      <w:snapToGrid w:val="0"/>
                      <w:kern w:val="0"/>
                      <w:sz w:val="21"/>
                      <w:szCs w:val="21"/>
                    </w:rPr>
                  </w:pPr>
                  <w:r>
                    <w:rPr>
                      <w:rFonts w:hint="eastAsia"/>
                      <w:snapToGrid w:val="0"/>
                      <w:kern w:val="0"/>
                      <w:sz w:val="21"/>
                      <w:szCs w:val="21"/>
                    </w:rPr>
                    <w:t>达州</w:t>
                  </w:r>
                </w:p>
              </w:tc>
              <w:tc>
                <w:tcPr>
                  <w:tcW w:w="2299"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snapToGrid w:val="0"/>
                      <w:kern w:val="0"/>
                      <w:sz w:val="21"/>
                      <w:szCs w:val="21"/>
                    </w:rPr>
                  </w:pPr>
                  <w:r>
                    <w:rPr>
                      <w:rFonts w:hAnsi="宋体"/>
                      <w:snapToGrid w:val="0"/>
                      <w:kern w:val="0"/>
                      <w:sz w:val="21"/>
                      <w:szCs w:val="21"/>
                    </w:rPr>
                    <w:t>拆除工程</w:t>
                  </w:r>
                  <w:r>
                    <w:rPr>
                      <w:snapToGrid w:val="0"/>
                      <w:kern w:val="0"/>
                      <w:sz w:val="21"/>
                      <w:szCs w:val="21"/>
                    </w:rPr>
                    <w:t>/</w:t>
                  </w:r>
                  <w:r>
                    <w:rPr>
                      <w:rFonts w:hAnsi="宋体"/>
                      <w:snapToGrid w:val="0"/>
                      <w:kern w:val="0"/>
                      <w:sz w:val="21"/>
                      <w:szCs w:val="21"/>
                    </w:rPr>
                    <w:t>土方开挖</w:t>
                  </w:r>
                  <w:r>
                    <w:rPr>
                      <w:snapToGrid w:val="0"/>
                      <w:kern w:val="0"/>
                      <w:sz w:val="21"/>
                      <w:szCs w:val="21"/>
                    </w:rPr>
                    <w:t>/</w:t>
                  </w:r>
                  <w:r>
                    <w:rPr>
                      <w:rFonts w:hAnsi="宋体"/>
                      <w:snapToGrid w:val="0"/>
                      <w:kern w:val="0"/>
                      <w:sz w:val="21"/>
                      <w:szCs w:val="21"/>
                    </w:rPr>
                    <w:t>土方回填阶段</w:t>
                  </w:r>
                </w:p>
              </w:tc>
              <w:tc>
                <w:tcPr>
                  <w:tcW w:w="1303" w:type="pct"/>
                  <w:tcBorders>
                    <w:top w:val="single" w:color="auto" w:sz="6" w:space="0"/>
                    <w:left w:val="single" w:color="auto" w:sz="6" w:space="0"/>
                    <w:bottom w:val="single" w:color="auto" w:sz="6"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80" w:type="pct"/>
                  <w:vMerge w:val="continue"/>
                  <w:tcBorders>
                    <w:top w:val="single" w:color="auto" w:sz="6" w:space="0"/>
                    <w:left w:val="single" w:color="auto" w:sz="4" w:space="0"/>
                    <w:bottom w:val="single" w:color="auto" w:sz="4" w:space="0"/>
                    <w:right w:val="single" w:color="auto" w:sz="6" w:space="0"/>
                  </w:tcBorders>
                  <w:vAlign w:val="center"/>
                </w:tcPr>
                <w:p>
                  <w:pPr>
                    <w:widowControl/>
                    <w:spacing w:line="240" w:lineRule="auto"/>
                    <w:ind w:firstLine="0" w:firstLineChars="0"/>
                    <w:jc w:val="left"/>
                    <w:rPr>
                      <w:snapToGrid w:val="0"/>
                      <w:kern w:val="0"/>
                      <w:sz w:val="21"/>
                      <w:szCs w:val="21"/>
                    </w:rPr>
                  </w:pPr>
                </w:p>
              </w:tc>
              <w:tc>
                <w:tcPr>
                  <w:tcW w:w="618" w:type="pct"/>
                  <w:vMerge w:val="continue"/>
                  <w:tcBorders>
                    <w:top w:val="single" w:color="auto" w:sz="6" w:space="0"/>
                    <w:left w:val="single" w:color="auto" w:sz="6" w:space="0"/>
                    <w:bottom w:val="single" w:color="auto" w:sz="4" w:space="0"/>
                    <w:right w:val="single" w:color="auto" w:sz="6" w:space="0"/>
                  </w:tcBorders>
                  <w:vAlign w:val="center"/>
                </w:tcPr>
                <w:p>
                  <w:pPr>
                    <w:widowControl/>
                    <w:spacing w:line="240" w:lineRule="auto"/>
                    <w:ind w:firstLine="0" w:firstLineChars="0"/>
                    <w:jc w:val="left"/>
                    <w:rPr>
                      <w:snapToGrid w:val="0"/>
                      <w:kern w:val="0"/>
                      <w:sz w:val="21"/>
                      <w:szCs w:val="21"/>
                    </w:rPr>
                  </w:pPr>
                </w:p>
              </w:tc>
              <w:tc>
                <w:tcPr>
                  <w:tcW w:w="2299" w:type="pct"/>
                  <w:tcBorders>
                    <w:top w:val="single" w:color="auto" w:sz="6" w:space="0"/>
                    <w:left w:val="single" w:color="auto" w:sz="6" w:space="0"/>
                    <w:bottom w:val="single" w:color="auto" w:sz="4" w:space="0"/>
                    <w:right w:val="single" w:color="auto" w:sz="6" w:space="0"/>
                  </w:tcBorders>
                  <w:vAlign w:val="center"/>
                </w:tcPr>
                <w:p>
                  <w:pPr>
                    <w:spacing w:line="240" w:lineRule="auto"/>
                    <w:ind w:firstLine="0" w:firstLineChars="0"/>
                    <w:jc w:val="center"/>
                    <w:rPr>
                      <w:snapToGrid w:val="0"/>
                      <w:kern w:val="0"/>
                      <w:sz w:val="21"/>
                      <w:szCs w:val="21"/>
                    </w:rPr>
                  </w:pPr>
                  <w:r>
                    <w:rPr>
                      <w:rFonts w:hAnsi="宋体"/>
                      <w:snapToGrid w:val="0"/>
                      <w:kern w:val="0"/>
                      <w:sz w:val="21"/>
                      <w:szCs w:val="21"/>
                    </w:rPr>
                    <w:t>其他工程阶段</w:t>
                  </w:r>
                </w:p>
              </w:tc>
              <w:tc>
                <w:tcPr>
                  <w:tcW w:w="1303" w:type="pct"/>
                  <w:tcBorders>
                    <w:top w:val="single" w:color="auto" w:sz="6" w:space="0"/>
                    <w:left w:val="single" w:color="auto" w:sz="6"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250</w:t>
                  </w:r>
                </w:p>
              </w:tc>
            </w:tr>
          </w:tbl>
          <w:p>
            <w:pPr>
              <w:ind w:firstLine="0" w:firstLineChars="0"/>
              <w:jc w:val="center"/>
              <w:rPr>
                <w:b/>
                <w:bCs/>
                <w:snapToGrid w:val="0"/>
                <w:kern w:val="0"/>
                <w:sz w:val="21"/>
                <w:szCs w:val="21"/>
              </w:rPr>
            </w:pPr>
            <w:r>
              <w:rPr>
                <w:rFonts w:hAnsi="宋体"/>
                <w:b/>
                <w:bCs/>
                <w:snapToGrid w:val="0"/>
                <w:kern w:val="0"/>
                <w:sz w:val="21"/>
                <w:szCs w:val="21"/>
              </w:rPr>
              <w:t>表</w:t>
            </w:r>
            <w:r>
              <w:rPr>
                <w:rFonts w:hint="eastAsia"/>
                <w:b/>
                <w:bCs/>
                <w:snapToGrid w:val="0"/>
                <w:kern w:val="0"/>
                <w:sz w:val="21"/>
                <w:szCs w:val="21"/>
              </w:rPr>
              <w:t>3-2</w:t>
            </w:r>
            <w:r>
              <w:rPr>
                <w:b/>
                <w:bCs/>
                <w:snapToGrid w:val="0"/>
                <w:kern w:val="0"/>
                <w:sz w:val="21"/>
                <w:szCs w:val="21"/>
              </w:rPr>
              <w:t xml:space="preserve">4  </w:t>
            </w:r>
            <w:r>
              <w:rPr>
                <w:rFonts w:hAnsi="宋体"/>
                <w:b/>
                <w:bCs/>
                <w:snapToGrid w:val="0"/>
                <w:kern w:val="0"/>
                <w:sz w:val="21"/>
                <w:szCs w:val="21"/>
              </w:rPr>
              <w:t>大气污染物综合排放标准单位：</w:t>
            </w:r>
            <w:r>
              <w:rPr>
                <w:b/>
                <w:bCs/>
                <w:snapToGrid w:val="0"/>
                <w:kern w:val="0"/>
                <w:sz w:val="21"/>
                <w:szCs w:val="21"/>
              </w:rPr>
              <w:t>mg/m</w:t>
            </w:r>
            <w:r>
              <w:rPr>
                <w:b/>
                <w:bCs/>
                <w:snapToGrid w:val="0"/>
                <w:kern w:val="0"/>
                <w:sz w:val="21"/>
                <w:szCs w:val="21"/>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3051"/>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72" w:type="pct"/>
                  <w:vMerge w:val="restart"/>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排放方式</w:t>
                  </w:r>
                </w:p>
              </w:tc>
              <w:tc>
                <w:tcPr>
                  <w:tcW w:w="1763" w:type="pct"/>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颗粒物</w:t>
                  </w:r>
                </w:p>
              </w:tc>
              <w:tc>
                <w:tcPr>
                  <w:tcW w:w="1764" w:type="pct"/>
                  <w:vAlign w:val="center"/>
                </w:tcPr>
                <w:p>
                  <w:pPr>
                    <w:spacing w:line="240" w:lineRule="auto"/>
                    <w:ind w:firstLine="0" w:firstLineChars="0"/>
                    <w:jc w:val="center"/>
                    <w:rPr>
                      <w:b/>
                      <w:snapToGrid w:val="0"/>
                      <w:kern w:val="0"/>
                      <w:sz w:val="21"/>
                      <w:szCs w:val="21"/>
                    </w:rPr>
                  </w:pPr>
                  <w:r>
                    <w:rPr>
                      <w:b/>
                      <w:snapToGrid w:val="0"/>
                      <w:kern w:val="0"/>
                      <w:sz w:val="21"/>
                      <w:szCs w:val="21"/>
                    </w:rPr>
                    <w:t>NO</w:t>
                  </w:r>
                  <w:r>
                    <w:rPr>
                      <w:b/>
                      <w:snapToGrid w:val="0"/>
                      <w:kern w:val="0"/>
                      <w:sz w:val="21"/>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vAlign w:val="center"/>
                </w:tcPr>
                <w:p>
                  <w:pPr>
                    <w:widowControl/>
                    <w:spacing w:line="240" w:lineRule="auto"/>
                    <w:ind w:firstLine="0" w:firstLineChars="0"/>
                    <w:jc w:val="center"/>
                    <w:rPr>
                      <w:b/>
                      <w:snapToGrid w:val="0"/>
                      <w:kern w:val="0"/>
                      <w:sz w:val="21"/>
                      <w:szCs w:val="21"/>
                    </w:rPr>
                  </w:pPr>
                </w:p>
              </w:tc>
              <w:tc>
                <w:tcPr>
                  <w:tcW w:w="1763" w:type="pct"/>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二级</w:t>
                  </w:r>
                </w:p>
              </w:tc>
              <w:tc>
                <w:tcPr>
                  <w:tcW w:w="1764" w:type="pct"/>
                  <w:vAlign w:val="center"/>
                </w:tcPr>
                <w:p>
                  <w:pPr>
                    <w:spacing w:line="240" w:lineRule="auto"/>
                    <w:ind w:firstLine="0" w:firstLineChars="0"/>
                    <w:jc w:val="center"/>
                    <w:rPr>
                      <w:b/>
                      <w:snapToGrid w:val="0"/>
                      <w:kern w:val="0"/>
                      <w:sz w:val="21"/>
                      <w:szCs w:val="21"/>
                    </w:rPr>
                  </w:pPr>
                  <w:r>
                    <w:rPr>
                      <w:rFonts w:hAnsi="宋体"/>
                      <w:b/>
                      <w:snapToGrid w:val="0"/>
                      <w:kern w:val="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472" w:type="pct"/>
                  <w:vAlign w:val="center"/>
                </w:tcPr>
                <w:p>
                  <w:pPr>
                    <w:spacing w:line="240" w:lineRule="auto"/>
                    <w:ind w:firstLine="0" w:firstLineChars="0"/>
                    <w:jc w:val="center"/>
                    <w:rPr>
                      <w:snapToGrid w:val="0"/>
                      <w:kern w:val="0"/>
                      <w:sz w:val="21"/>
                      <w:szCs w:val="21"/>
                    </w:rPr>
                  </w:pPr>
                  <w:r>
                    <w:rPr>
                      <w:rFonts w:hAnsi="宋体"/>
                      <w:snapToGrid w:val="0"/>
                      <w:kern w:val="0"/>
                      <w:sz w:val="21"/>
                      <w:szCs w:val="21"/>
                    </w:rPr>
                    <w:t>无组织排放</w:t>
                  </w:r>
                </w:p>
              </w:tc>
              <w:tc>
                <w:tcPr>
                  <w:tcW w:w="1763" w:type="pct"/>
                  <w:vAlign w:val="center"/>
                </w:tcPr>
                <w:p>
                  <w:pPr>
                    <w:spacing w:line="240" w:lineRule="auto"/>
                    <w:ind w:firstLine="0" w:firstLineChars="0"/>
                    <w:jc w:val="center"/>
                    <w:rPr>
                      <w:snapToGrid w:val="0"/>
                      <w:kern w:val="0"/>
                      <w:sz w:val="21"/>
                      <w:szCs w:val="21"/>
                    </w:rPr>
                  </w:pPr>
                  <w:r>
                    <w:rPr>
                      <w:snapToGrid w:val="0"/>
                      <w:kern w:val="0"/>
                      <w:sz w:val="21"/>
                      <w:szCs w:val="21"/>
                    </w:rPr>
                    <w:t>1.0</w:t>
                  </w:r>
                </w:p>
              </w:tc>
              <w:tc>
                <w:tcPr>
                  <w:tcW w:w="1764" w:type="pct"/>
                  <w:vAlign w:val="center"/>
                </w:tcPr>
                <w:p>
                  <w:pPr>
                    <w:spacing w:line="240" w:lineRule="auto"/>
                    <w:ind w:firstLine="0" w:firstLineChars="0"/>
                    <w:jc w:val="center"/>
                    <w:rPr>
                      <w:snapToGrid w:val="0"/>
                      <w:kern w:val="0"/>
                      <w:sz w:val="21"/>
                      <w:szCs w:val="21"/>
                    </w:rPr>
                  </w:pPr>
                  <w:r>
                    <w:rPr>
                      <w:snapToGrid w:val="0"/>
                      <w:kern w:val="0"/>
                      <w:sz w:val="21"/>
                      <w:szCs w:val="21"/>
                    </w:rPr>
                    <w:t>0.12</w:t>
                  </w:r>
                </w:p>
              </w:tc>
            </w:tr>
          </w:tbl>
          <w:p>
            <w:pPr>
              <w:tabs>
                <w:tab w:val="left" w:pos="2592"/>
              </w:tabs>
              <w:ind w:firstLine="420"/>
              <w:rPr>
                <w:bCs/>
                <w:snapToGrid w:val="0"/>
                <w:kern w:val="0"/>
                <w:sz w:val="21"/>
                <w:szCs w:val="21"/>
              </w:rPr>
            </w:pPr>
            <w:r>
              <w:rPr>
                <w:bCs/>
                <w:snapToGrid w:val="0"/>
                <w:kern w:val="0"/>
                <w:sz w:val="21"/>
                <w:szCs w:val="21"/>
              </w:rPr>
              <w:t>根据</w:t>
            </w:r>
            <w:r>
              <w:rPr>
                <w:rFonts w:hAnsi="宋体"/>
                <w:snapToGrid w:val="0"/>
                <w:kern w:val="0"/>
                <w:sz w:val="21"/>
                <w:szCs w:val="21"/>
              </w:rPr>
              <w:t>《</w:t>
            </w:r>
            <w:r>
              <w:rPr>
                <w:rFonts w:hint="eastAsia" w:hAnsi="宋体"/>
                <w:snapToGrid w:val="0"/>
                <w:kern w:val="0"/>
                <w:sz w:val="21"/>
                <w:szCs w:val="21"/>
              </w:rPr>
              <w:t>陆上石油天然气开采工业大气污染物排放标准</w:t>
            </w:r>
            <w:r>
              <w:rPr>
                <w:rFonts w:hAnsi="宋体"/>
                <w:snapToGrid w:val="0"/>
                <w:kern w:val="0"/>
                <w:sz w:val="21"/>
                <w:szCs w:val="21"/>
              </w:rPr>
              <w:t>》（</w:t>
            </w:r>
            <w:r>
              <w:rPr>
                <w:snapToGrid w:val="0"/>
                <w:kern w:val="0"/>
                <w:sz w:val="21"/>
                <w:szCs w:val="21"/>
              </w:rPr>
              <w:t>GB39738-2020</w:t>
            </w:r>
            <w:r>
              <w:rPr>
                <w:rFonts w:hAnsi="宋体"/>
                <w:snapToGrid w:val="0"/>
                <w:kern w:val="0"/>
                <w:sz w:val="21"/>
                <w:szCs w:val="21"/>
              </w:rPr>
              <w:t>）中相关要求，</w:t>
            </w:r>
            <w:r>
              <w:rPr>
                <w:rFonts w:hint="eastAsia" w:hAnsi="宋体"/>
                <w:snapToGrid w:val="0"/>
                <w:kern w:val="0"/>
                <w:sz w:val="21"/>
                <w:szCs w:val="21"/>
              </w:rPr>
              <w:t>建设项目边界非甲烷总烃浓度不应超过4.0mg/m</w:t>
            </w:r>
            <w:r>
              <w:rPr>
                <w:rFonts w:hint="eastAsia" w:hAnsi="宋体"/>
                <w:snapToGrid w:val="0"/>
                <w:kern w:val="0"/>
                <w:sz w:val="21"/>
                <w:szCs w:val="21"/>
                <w:vertAlign w:val="superscript"/>
              </w:rPr>
              <w:t>3</w:t>
            </w:r>
            <w:r>
              <w:rPr>
                <w:rFonts w:hint="eastAsia" w:hAnsi="宋体"/>
                <w:snapToGrid w:val="0"/>
                <w:kern w:val="0"/>
                <w:sz w:val="21"/>
                <w:szCs w:val="21"/>
              </w:rPr>
              <w:t>。</w:t>
            </w:r>
          </w:p>
          <w:p>
            <w:pPr>
              <w:tabs>
                <w:tab w:val="left" w:pos="2592"/>
              </w:tabs>
              <w:ind w:firstLine="0" w:firstLineChars="0"/>
              <w:rPr>
                <w:b/>
                <w:bCs/>
                <w:snapToGrid w:val="0"/>
                <w:kern w:val="0"/>
                <w:sz w:val="21"/>
                <w:szCs w:val="21"/>
              </w:rPr>
            </w:pPr>
            <w:r>
              <w:rPr>
                <w:rFonts w:hint="eastAsia"/>
                <w:b/>
                <w:bCs/>
                <w:snapToGrid w:val="0"/>
                <w:kern w:val="0"/>
                <w:sz w:val="21"/>
                <w:szCs w:val="21"/>
              </w:rPr>
              <w:t>2</w:t>
            </w:r>
            <w:r>
              <w:rPr>
                <w:b/>
                <w:bCs/>
                <w:snapToGrid w:val="0"/>
                <w:kern w:val="0"/>
                <w:sz w:val="21"/>
                <w:szCs w:val="21"/>
              </w:rPr>
              <w:t>.2</w:t>
            </w:r>
            <w:r>
              <w:rPr>
                <w:rFonts w:hAnsi="宋体"/>
                <w:b/>
                <w:bCs/>
                <w:snapToGrid w:val="0"/>
                <w:kern w:val="0"/>
                <w:sz w:val="21"/>
                <w:szCs w:val="21"/>
              </w:rPr>
              <w:t>废水</w:t>
            </w:r>
          </w:p>
          <w:p>
            <w:pPr>
              <w:tabs>
                <w:tab w:val="left" w:pos="2592"/>
              </w:tabs>
              <w:ind w:firstLine="420"/>
              <w:rPr>
                <w:rFonts w:hAnsi="宋体"/>
                <w:snapToGrid w:val="0"/>
                <w:kern w:val="0"/>
                <w:sz w:val="21"/>
                <w:szCs w:val="21"/>
              </w:rPr>
            </w:pPr>
            <w:r>
              <w:rPr>
                <w:rFonts w:hint="eastAsia" w:hAnsi="宋体"/>
                <w:snapToGrid w:val="0"/>
                <w:kern w:val="0"/>
                <w:sz w:val="21"/>
                <w:szCs w:val="21"/>
              </w:rPr>
              <w:t>钻井废水经收集后优先回用，方井区域的雨水收集在方井内，通过污水泵泵入废水罐中，优先回用于水基泥浆补水，剩余时由罐车运至</w:t>
            </w:r>
            <w:r>
              <w:rPr>
                <w:rFonts w:hint="eastAsia" w:hAnsi="宋体"/>
                <w:bCs/>
                <w:snapToGrid w:val="0"/>
                <w:kern w:val="0"/>
                <w:sz w:val="21"/>
                <w:szCs w:val="21"/>
              </w:rPr>
              <w:t>四川鑫泓废水处理厂</w:t>
            </w:r>
            <w:r>
              <w:rPr>
                <w:rFonts w:hint="eastAsia" w:hAnsi="宋体"/>
                <w:snapToGrid w:val="0"/>
                <w:kern w:val="0"/>
                <w:sz w:val="21"/>
                <w:szCs w:val="21"/>
              </w:rPr>
              <w:t>；洗井废水全部回用于压裂液配置，压裂返排液优先回用于探矿权范围内其他钻井工程压裂液配置，剩余时由罐车拉运至</w:t>
            </w:r>
            <w:r>
              <w:rPr>
                <w:rFonts w:hint="eastAsia"/>
                <w:snapToGrid w:val="0"/>
                <w:kern w:val="0"/>
                <w:sz w:val="21"/>
                <w:szCs w:val="21"/>
              </w:rPr>
              <w:t>四川鑫泓废水处理厂</w:t>
            </w:r>
            <w:r>
              <w:rPr>
                <w:rFonts w:hint="eastAsia" w:hAnsi="宋体"/>
                <w:snapToGrid w:val="0"/>
                <w:kern w:val="0"/>
                <w:sz w:val="21"/>
                <w:szCs w:val="21"/>
              </w:rPr>
              <w:t>作达标处理，生活污水经旱厕收集后</w:t>
            </w:r>
            <w:r>
              <w:rPr>
                <w:rFonts w:cs="Arial"/>
                <w:snapToGrid w:val="0"/>
                <w:kern w:val="0"/>
                <w:sz w:val="21"/>
                <w:szCs w:val="21"/>
              </w:rPr>
              <w:t>用于周边农田施肥</w:t>
            </w:r>
            <w:r>
              <w:rPr>
                <w:rFonts w:hint="eastAsia" w:hAnsi="宋体"/>
                <w:snapToGrid w:val="0"/>
                <w:kern w:val="0"/>
                <w:sz w:val="21"/>
                <w:szCs w:val="21"/>
              </w:rPr>
              <w:t>。</w:t>
            </w:r>
          </w:p>
          <w:p>
            <w:pPr>
              <w:tabs>
                <w:tab w:val="left" w:pos="2592"/>
              </w:tabs>
              <w:ind w:firstLine="0" w:firstLineChars="0"/>
              <w:rPr>
                <w:b/>
                <w:bCs/>
                <w:snapToGrid w:val="0"/>
                <w:kern w:val="0"/>
                <w:sz w:val="21"/>
                <w:szCs w:val="21"/>
              </w:rPr>
            </w:pPr>
            <w:r>
              <w:rPr>
                <w:rFonts w:hint="eastAsia"/>
                <w:b/>
                <w:bCs/>
                <w:snapToGrid w:val="0"/>
                <w:kern w:val="0"/>
                <w:sz w:val="21"/>
                <w:szCs w:val="21"/>
              </w:rPr>
              <w:t>2</w:t>
            </w:r>
            <w:r>
              <w:rPr>
                <w:b/>
                <w:bCs/>
                <w:snapToGrid w:val="0"/>
                <w:kern w:val="0"/>
                <w:sz w:val="21"/>
                <w:szCs w:val="21"/>
              </w:rPr>
              <w:t>.3</w:t>
            </w:r>
            <w:r>
              <w:rPr>
                <w:rFonts w:hAnsi="宋体"/>
                <w:b/>
                <w:bCs/>
                <w:snapToGrid w:val="0"/>
                <w:kern w:val="0"/>
                <w:sz w:val="21"/>
                <w:szCs w:val="21"/>
              </w:rPr>
              <w:t>噪声</w:t>
            </w:r>
          </w:p>
          <w:p>
            <w:pPr>
              <w:ind w:firstLine="420"/>
              <w:rPr>
                <w:snapToGrid w:val="0"/>
                <w:kern w:val="0"/>
                <w:sz w:val="21"/>
                <w:szCs w:val="21"/>
              </w:rPr>
            </w:pPr>
            <w:r>
              <w:rPr>
                <w:rFonts w:hAnsi="宋体"/>
                <w:snapToGrid w:val="0"/>
                <w:kern w:val="0"/>
                <w:sz w:val="21"/>
                <w:szCs w:val="21"/>
              </w:rPr>
              <w:t>建筑施工期间，噪声执行《建筑施工场界环境噪声排放标准》（</w:t>
            </w:r>
            <w:r>
              <w:rPr>
                <w:snapToGrid w:val="0"/>
                <w:kern w:val="0"/>
                <w:sz w:val="21"/>
                <w:szCs w:val="21"/>
              </w:rPr>
              <w:t>GB12523-2011</w:t>
            </w:r>
            <w:r>
              <w:rPr>
                <w:rFonts w:hAnsi="宋体"/>
                <w:snapToGrid w:val="0"/>
                <w:kern w:val="0"/>
                <w:sz w:val="21"/>
                <w:szCs w:val="21"/>
              </w:rPr>
              <w:t>），见表</w:t>
            </w:r>
            <w:r>
              <w:rPr>
                <w:rFonts w:hint="eastAsia"/>
                <w:snapToGrid w:val="0"/>
                <w:kern w:val="0"/>
                <w:sz w:val="21"/>
                <w:szCs w:val="21"/>
              </w:rPr>
              <w:t>3-2</w:t>
            </w:r>
            <w:r>
              <w:rPr>
                <w:snapToGrid w:val="0"/>
                <w:kern w:val="0"/>
                <w:sz w:val="21"/>
                <w:szCs w:val="21"/>
              </w:rPr>
              <w:t>5</w:t>
            </w:r>
            <w:r>
              <w:rPr>
                <w:rFonts w:hAnsi="宋体"/>
                <w:snapToGrid w:val="0"/>
                <w:kern w:val="0"/>
                <w:sz w:val="21"/>
                <w:szCs w:val="21"/>
              </w:rPr>
              <w:t>。</w:t>
            </w:r>
          </w:p>
          <w:p>
            <w:pPr>
              <w:adjustRightInd w:val="0"/>
              <w:snapToGrid w:val="0"/>
              <w:ind w:firstLine="0" w:firstLineChars="0"/>
              <w:jc w:val="center"/>
              <w:rPr>
                <w:b/>
                <w:snapToGrid w:val="0"/>
                <w:kern w:val="0"/>
                <w:sz w:val="21"/>
                <w:szCs w:val="21"/>
              </w:rPr>
            </w:pPr>
            <w:r>
              <w:rPr>
                <w:rFonts w:hAnsi="宋体"/>
                <w:b/>
                <w:snapToGrid w:val="0"/>
                <w:kern w:val="0"/>
                <w:sz w:val="21"/>
                <w:szCs w:val="21"/>
              </w:rPr>
              <w:t>表</w:t>
            </w:r>
            <w:r>
              <w:rPr>
                <w:rFonts w:hint="eastAsia"/>
                <w:b/>
                <w:snapToGrid w:val="0"/>
                <w:kern w:val="0"/>
                <w:sz w:val="21"/>
                <w:szCs w:val="21"/>
              </w:rPr>
              <w:t>3-2</w:t>
            </w:r>
            <w:r>
              <w:rPr>
                <w:b/>
                <w:snapToGrid w:val="0"/>
                <w:kern w:val="0"/>
                <w:sz w:val="21"/>
                <w:szCs w:val="21"/>
              </w:rPr>
              <w:t xml:space="preserve">5  </w:t>
            </w:r>
            <w:r>
              <w:rPr>
                <w:rFonts w:hAnsi="宋体"/>
                <w:b/>
                <w:snapToGrid w:val="0"/>
                <w:kern w:val="0"/>
                <w:sz w:val="21"/>
                <w:szCs w:val="21"/>
              </w:rPr>
              <w:t>《建筑施工场界环境噪声排放标准》单位：</w:t>
            </w:r>
            <w:r>
              <w:rPr>
                <w:b/>
                <w:snapToGrid w:val="0"/>
                <w:kern w:val="0"/>
                <w:sz w:val="21"/>
                <w:szCs w:val="21"/>
              </w:rPr>
              <w:t>dB(A)</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jc w:val="center"/>
              </w:trPr>
              <w:tc>
                <w:tcPr>
                  <w:tcW w:w="26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napToGrid w:val="0"/>
                      <w:kern w:val="0"/>
                      <w:sz w:val="21"/>
                      <w:szCs w:val="21"/>
                    </w:rPr>
                  </w:pPr>
                  <w:r>
                    <w:rPr>
                      <w:rFonts w:hAnsi="宋体"/>
                      <w:b/>
                      <w:bCs/>
                      <w:snapToGrid w:val="0"/>
                      <w:kern w:val="0"/>
                      <w:sz w:val="21"/>
                      <w:szCs w:val="21"/>
                    </w:rPr>
                    <w:t>昼间</w:t>
                  </w:r>
                </w:p>
              </w:tc>
              <w:tc>
                <w:tcPr>
                  <w:tcW w:w="231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napToGrid w:val="0"/>
                      <w:kern w:val="0"/>
                      <w:sz w:val="21"/>
                      <w:szCs w:val="21"/>
                    </w:rPr>
                  </w:pPr>
                  <w:r>
                    <w:rPr>
                      <w:rFonts w:hAnsi="宋体"/>
                      <w:b/>
                      <w:bCs/>
                      <w:snapToGrid w:val="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Cs/>
                      <w:snapToGrid w:val="0"/>
                      <w:kern w:val="0"/>
                      <w:sz w:val="21"/>
                      <w:szCs w:val="21"/>
                    </w:rPr>
                  </w:pPr>
                  <w:r>
                    <w:rPr>
                      <w:bCs/>
                      <w:snapToGrid w:val="0"/>
                      <w:kern w:val="0"/>
                      <w:sz w:val="21"/>
                      <w:szCs w:val="21"/>
                    </w:rPr>
                    <w:t>70</w:t>
                  </w:r>
                </w:p>
              </w:tc>
              <w:tc>
                <w:tcPr>
                  <w:tcW w:w="231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Cs/>
                      <w:snapToGrid w:val="0"/>
                      <w:kern w:val="0"/>
                      <w:sz w:val="21"/>
                      <w:szCs w:val="21"/>
                    </w:rPr>
                  </w:pPr>
                  <w:r>
                    <w:rPr>
                      <w:bCs/>
                      <w:snapToGrid w:val="0"/>
                      <w:kern w:val="0"/>
                      <w:sz w:val="21"/>
                      <w:szCs w:val="21"/>
                    </w:rPr>
                    <w:t>55</w:t>
                  </w:r>
                </w:p>
              </w:tc>
            </w:tr>
          </w:tbl>
          <w:p>
            <w:pPr>
              <w:tabs>
                <w:tab w:val="left" w:pos="2592"/>
              </w:tabs>
              <w:ind w:firstLine="0" w:firstLineChars="0"/>
              <w:rPr>
                <w:b/>
                <w:bCs/>
                <w:snapToGrid w:val="0"/>
                <w:kern w:val="0"/>
                <w:sz w:val="21"/>
                <w:szCs w:val="21"/>
              </w:rPr>
            </w:pPr>
            <w:r>
              <w:rPr>
                <w:rFonts w:hint="eastAsia"/>
                <w:b/>
                <w:bCs/>
                <w:snapToGrid w:val="0"/>
                <w:kern w:val="0"/>
                <w:sz w:val="21"/>
                <w:szCs w:val="21"/>
              </w:rPr>
              <w:t>2.</w:t>
            </w:r>
            <w:r>
              <w:rPr>
                <w:b/>
                <w:bCs/>
                <w:snapToGrid w:val="0"/>
                <w:kern w:val="0"/>
                <w:sz w:val="21"/>
                <w:szCs w:val="21"/>
              </w:rPr>
              <w:t>4</w:t>
            </w:r>
            <w:r>
              <w:rPr>
                <w:rFonts w:hAnsi="宋体"/>
                <w:b/>
                <w:bCs/>
                <w:snapToGrid w:val="0"/>
                <w:kern w:val="0"/>
                <w:sz w:val="21"/>
                <w:szCs w:val="21"/>
              </w:rPr>
              <w:t>固废</w:t>
            </w:r>
          </w:p>
          <w:p>
            <w:pPr>
              <w:adjustRightInd w:val="0"/>
              <w:snapToGrid w:val="0"/>
              <w:ind w:firstLine="420"/>
              <w:rPr>
                <w:snapToGrid w:val="0"/>
                <w:kern w:val="0"/>
                <w:sz w:val="21"/>
                <w:szCs w:val="21"/>
              </w:rPr>
            </w:pPr>
            <w:r>
              <w:rPr>
                <w:rFonts w:hAnsi="宋体"/>
                <w:snapToGrid w:val="0"/>
                <w:kern w:val="0"/>
                <w:sz w:val="21"/>
                <w:szCs w:val="21"/>
              </w:rPr>
              <w:t>一般工业固废贮存过程</w:t>
            </w:r>
            <w:r>
              <w:rPr>
                <w:rFonts w:hint="eastAsia" w:hAnsi="宋体"/>
                <w:snapToGrid w:val="0"/>
                <w:kern w:val="0"/>
                <w:sz w:val="21"/>
                <w:szCs w:val="21"/>
              </w:rPr>
              <w:t>按照《一般工业固体废物贮存和填埋污染控制标准》（GB 18599-2020）采取防渗漏、防雨淋、防扬尘等三防措施</w:t>
            </w:r>
            <w:r>
              <w:rPr>
                <w:rFonts w:hAnsi="宋体"/>
                <w:snapToGrid w:val="0"/>
                <w:kern w:val="0"/>
                <w:sz w:val="21"/>
                <w:szCs w:val="21"/>
              </w:rPr>
              <w:t>；危险废物按《危险废物贮存污染控制标准》（</w:t>
            </w:r>
            <w:r>
              <w:rPr>
                <w:snapToGrid w:val="0"/>
                <w:kern w:val="0"/>
                <w:sz w:val="21"/>
                <w:szCs w:val="21"/>
              </w:rPr>
              <w:t>GB18597-2023</w:t>
            </w:r>
            <w:r>
              <w:rPr>
                <w:rFonts w:hAnsi="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4" w:type="dxa"/>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其他</w:t>
            </w:r>
          </w:p>
        </w:tc>
        <w:tc>
          <w:tcPr>
            <w:tcW w:w="8432" w:type="dxa"/>
            <w:vAlign w:val="center"/>
          </w:tcPr>
          <w:p>
            <w:pPr>
              <w:adjustRightInd w:val="0"/>
              <w:snapToGrid w:val="0"/>
              <w:ind w:firstLine="420"/>
              <w:rPr>
                <w:snapToGrid w:val="0"/>
                <w:kern w:val="0"/>
                <w:sz w:val="21"/>
                <w:szCs w:val="21"/>
              </w:rPr>
            </w:pPr>
            <w:r>
              <w:rPr>
                <w:rFonts w:hint="eastAsia"/>
                <w:snapToGrid w:val="0"/>
                <w:kern w:val="0"/>
                <w:sz w:val="21"/>
                <w:szCs w:val="21"/>
              </w:rPr>
              <w:t>项目钻井期间</w:t>
            </w:r>
            <w:r>
              <w:rPr>
                <w:rFonts w:hAnsi="宋体"/>
                <w:bCs/>
                <w:snapToGrid w:val="0"/>
                <w:kern w:val="0"/>
                <w:sz w:val="21"/>
                <w:szCs w:val="21"/>
              </w:rPr>
              <w:t>柴油发电机</w:t>
            </w:r>
            <w:r>
              <w:rPr>
                <w:rFonts w:hint="eastAsia"/>
                <w:snapToGrid w:val="0"/>
                <w:kern w:val="0"/>
                <w:sz w:val="21"/>
                <w:szCs w:val="21"/>
              </w:rPr>
              <w:t>尾气排放少量氮氧化物和颗粒物；钻井作业废水不可回用部分拉运至四川鑫泓废水处理厂达标处置；钻井过程中产生的废水基泥浆和岩屑，经脱水固化后在</w:t>
            </w:r>
            <w:r>
              <w:rPr>
                <w:rFonts w:hint="eastAsia" w:hAnsi="宋体"/>
                <w:snapToGrid w:val="0"/>
                <w:kern w:val="0"/>
                <w:sz w:val="21"/>
                <w:szCs w:val="21"/>
              </w:rPr>
              <w:t>岩屑堆放场</w:t>
            </w:r>
            <w:r>
              <w:rPr>
                <w:rFonts w:hint="eastAsia"/>
                <w:snapToGrid w:val="0"/>
                <w:kern w:val="0"/>
                <w:sz w:val="21"/>
                <w:szCs w:val="21"/>
              </w:rPr>
              <w:t>暂存，外运制烧结砖处理；生活垃圾交由当地环卫部门处置；废包装材料回收利用；</w:t>
            </w:r>
            <w:r>
              <w:rPr>
                <w:rFonts w:hAnsi="宋体"/>
                <w:snapToGrid w:val="0"/>
                <w:kern w:val="0"/>
                <w:sz w:val="21"/>
                <w:szCs w:val="21"/>
              </w:rPr>
              <w:t>废油桶收集，企业内部资源化利用</w:t>
            </w:r>
            <w:r>
              <w:rPr>
                <w:rFonts w:hint="eastAsia"/>
                <w:snapToGrid w:val="0"/>
                <w:kern w:val="0"/>
                <w:sz w:val="21"/>
                <w:szCs w:val="21"/>
              </w:rPr>
              <w:t>，含油废棉纱手套收集后交由相应资质类别的危废处理单位拉运处置。</w:t>
            </w:r>
          </w:p>
          <w:p>
            <w:pPr>
              <w:adjustRightInd w:val="0"/>
              <w:snapToGrid w:val="0"/>
              <w:ind w:firstLine="420"/>
              <w:rPr>
                <w:rFonts w:hint="eastAsia"/>
                <w:snapToGrid w:val="0"/>
                <w:kern w:val="0"/>
                <w:sz w:val="21"/>
                <w:szCs w:val="21"/>
              </w:rPr>
            </w:pPr>
            <w:r>
              <w:rPr>
                <w:rFonts w:hint="eastAsia"/>
                <w:snapToGrid w:val="0"/>
                <w:kern w:val="0"/>
                <w:sz w:val="21"/>
                <w:szCs w:val="21"/>
              </w:rPr>
              <w:t>由于拟建项目仅为开发井的钻探施工过程，不涉及运营期相关内容，各类污染物均随着项目施工完成而消失，因此本次评价建议不设总量控制指标。</w:t>
            </w:r>
          </w:p>
        </w:tc>
      </w:tr>
    </w:tbl>
    <w:p>
      <w:pPr>
        <w:pStyle w:val="2"/>
        <w:rPr>
          <w:rFonts w:eastAsia="宋体"/>
          <w:snapToGrid w:val="0"/>
          <w:color w:val="auto"/>
          <w:sz w:val="24"/>
          <w:szCs w:val="21"/>
        </w:rPr>
      </w:pPr>
      <w:r>
        <w:rPr>
          <w:rFonts w:eastAsia="宋体"/>
          <w:snapToGrid w:val="0"/>
          <w:color w:val="auto"/>
          <w:kern w:val="2"/>
          <w:sz w:val="21"/>
          <w:szCs w:val="21"/>
        </w:rPr>
        <w:br w:type="page"/>
      </w:r>
      <w:r>
        <w:rPr>
          <w:rFonts w:eastAsia="宋体"/>
          <w:snapToGrid w:val="0"/>
          <w:color w:val="auto"/>
          <w:sz w:val="24"/>
          <w:szCs w:val="21"/>
        </w:rPr>
        <w:t>四、生态环境影响分析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8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Mar>
              <w:left w:w="28" w:type="dxa"/>
              <w:right w:w="28" w:type="dxa"/>
            </w:tcMar>
            <w:vAlign w:val="center"/>
          </w:tcPr>
          <w:p>
            <w:pPr>
              <w:pStyle w:val="20"/>
              <w:adjustRightInd w:val="0"/>
              <w:snapToGrid w:val="0"/>
              <w:spacing w:before="0" w:beforeAutospacing="0" w:after="0" w:afterAutospacing="0" w:line="240" w:lineRule="auto"/>
              <w:ind w:firstLine="0" w:firstLineChars="0"/>
              <w:jc w:val="center"/>
              <w:rPr>
                <w:rFonts w:ascii="Times New Roman" w:hAnsi="Times New Roman"/>
                <w:bCs/>
                <w:kern w:val="2"/>
                <w:sz w:val="21"/>
                <w:szCs w:val="21"/>
              </w:rPr>
            </w:pPr>
            <w:bookmarkStart w:id="9" w:name="_Hlk49796138"/>
            <w:r>
              <w:rPr>
                <w:rFonts w:ascii="Times New Roman" w:hAnsi="Times New Roman"/>
                <w:bCs/>
                <w:spacing w:val="10"/>
                <w:kern w:val="2"/>
                <w:sz w:val="21"/>
                <w:szCs w:val="21"/>
              </w:rPr>
              <w:t>施工期生态环境影响分析</w:t>
            </w:r>
            <w:bookmarkEnd w:id="9"/>
          </w:p>
        </w:tc>
        <w:tc>
          <w:tcPr>
            <w:tcW w:w="4763" w:type="pct"/>
            <w:vAlign w:val="center"/>
          </w:tcPr>
          <w:p>
            <w:pPr>
              <w:adjustRightInd w:val="0"/>
              <w:snapToGrid w:val="0"/>
              <w:ind w:firstLine="420"/>
              <w:rPr>
                <w:bCs/>
                <w:sz w:val="21"/>
                <w:szCs w:val="21"/>
              </w:rPr>
            </w:pPr>
            <w:r>
              <w:rPr>
                <w:bCs/>
                <w:sz w:val="21"/>
                <w:szCs w:val="21"/>
              </w:rPr>
              <w:t>拟建项目污染物产生环节及种类情况见以下汇总表。</w:t>
            </w:r>
          </w:p>
          <w:p>
            <w:pPr>
              <w:adjustRightInd w:val="0"/>
              <w:snapToGrid w:val="0"/>
              <w:ind w:firstLine="0" w:firstLineChars="0"/>
              <w:jc w:val="center"/>
              <w:rPr>
                <w:b/>
                <w:bCs/>
                <w:sz w:val="21"/>
                <w:szCs w:val="21"/>
              </w:rPr>
            </w:pPr>
            <w:r>
              <w:rPr>
                <w:b/>
                <w:bCs/>
                <w:sz w:val="21"/>
                <w:szCs w:val="21"/>
              </w:rPr>
              <w:t>表4-1  钻井工程污染物产生环节及种类汇总表</w:t>
            </w:r>
          </w:p>
          <w:tbl>
            <w:tblPr>
              <w:tblStyle w:val="2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46"/>
              <w:gridCol w:w="868"/>
              <w:gridCol w:w="1139"/>
              <w:gridCol w:w="58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0" w:type="pct"/>
                  <w:tcBorders>
                    <w:top w:val="single" w:color="auto" w:sz="6" w:space="0"/>
                    <w:left w:val="single" w:color="auto" w:sz="6" w:space="0"/>
                    <w:bottom w:val="single" w:color="auto" w:sz="6" w:space="0"/>
                    <w:right w:val="single" w:color="auto" w:sz="6" w:space="0"/>
                  </w:tcBorders>
                  <w:vAlign w:val="center"/>
                </w:tcPr>
                <w:p>
                  <w:pPr>
                    <w:pStyle w:val="57"/>
                    <w:rPr>
                      <w:b/>
                    </w:rPr>
                  </w:pPr>
                  <w:r>
                    <w:rPr>
                      <w:b/>
                    </w:rPr>
                    <w:t>序号</w:t>
                  </w:r>
                </w:p>
              </w:tc>
              <w:tc>
                <w:tcPr>
                  <w:tcW w:w="1181" w:type="pct"/>
                  <w:gridSpan w:val="2"/>
                  <w:tcBorders>
                    <w:top w:val="single" w:color="auto" w:sz="6" w:space="0"/>
                    <w:left w:val="single" w:color="auto" w:sz="6" w:space="0"/>
                    <w:bottom w:val="single" w:color="auto" w:sz="6" w:space="0"/>
                    <w:right w:val="single" w:color="auto" w:sz="6" w:space="0"/>
                  </w:tcBorders>
                  <w:vAlign w:val="center"/>
                </w:tcPr>
                <w:p>
                  <w:pPr>
                    <w:pStyle w:val="57"/>
                    <w:rPr>
                      <w:b/>
                    </w:rPr>
                  </w:pPr>
                  <w:r>
                    <w:rPr>
                      <w:b/>
                    </w:rPr>
                    <w:t>产污位置</w:t>
                  </w:r>
                </w:p>
              </w:tc>
              <w:tc>
                <w:tcPr>
                  <w:tcW w:w="3439" w:type="pct"/>
                  <w:tcBorders>
                    <w:top w:val="single" w:color="auto" w:sz="6" w:space="0"/>
                    <w:left w:val="single" w:color="auto" w:sz="6" w:space="0"/>
                    <w:bottom w:val="single" w:color="auto" w:sz="6" w:space="0"/>
                    <w:right w:val="single" w:color="auto" w:sz="6" w:space="0"/>
                  </w:tcBorders>
                  <w:vAlign w:val="center"/>
                </w:tcPr>
                <w:p>
                  <w:pPr>
                    <w:pStyle w:val="57"/>
                    <w:rPr>
                      <w:b/>
                    </w:rPr>
                  </w:pPr>
                  <w:r>
                    <w:rPr>
                      <w:b/>
                    </w:rPr>
                    <w:t>污染物种类及对生态环境影响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0" w:type="pct"/>
                  <w:vMerge w:val="restart"/>
                  <w:tcBorders>
                    <w:top w:val="single" w:color="auto" w:sz="6" w:space="0"/>
                    <w:left w:val="single" w:color="auto" w:sz="6" w:space="0"/>
                    <w:right w:val="single" w:color="auto" w:sz="6" w:space="0"/>
                  </w:tcBorders>
                  <w:vAlign w:val="center"/>
                </w:tcPr>
                <w:p>
                  <w:pPr>
                    <w:pStyle w:val="57"/>
                  </w:pPr>
                  <w:r>
                    <w:t>1</w:t>
                  </w:r>
                </w:p>
              </w:tc>
              <w:tc>
                <w:tcPr>
                  <w:tcW w:w="511" w:type="pct"/>
                  <w:vMerge w:val="restart"/>
                  <w:tcBorders>
                    <w:top w:val="single" w:color="auto" w:sz="6" w:space="0"/>
                    <w:left w:val="single" w:color="auto" w:sz="6" w:space="0"/>
                    <w:right w:val="single" w:color="auto" w:sz="4" w:space="0"/>
                  </w:tcBorders>
                  <w:vAlign w:val="center"/>
                </w:tcPr>
                <w:p>
                  <w:pPr>
                    <w:pStyle w:val="57"/>
                  </w:pPr>
                  <w:r>
                    <w:t>钻前工程</w:t>
                  </w:r>
                </w:p>
              </w:tc>
              <w:tc>
                <w:tcPr>
                  <w:tcW w:w="670" w:type="pct"/>
                  <w:tcBorders>
                    <w:top w:val="single" w:color="auto" w:sz="6" w:space="0"/>
                    <w:left w:val="single" w:color="auto" w:sz="4" w:space="0"/>
                    <w:bottom w:val="single" w:color="auto" w:sz="6" w:space="0"/>
                    <w:right w:val="single" w:color="auto" w:sz="6" w:space="0"/>
                  </w:tcBorders>
                  <w:vAlign w:val="center"/>
                </w:tcPr>
                <w:p>
                  <w:pPr>
                    <w:pStyle w:val="57"/>
                  </w:pPr>
                  <w:r>
                    <w:t>井场及井场道路建设或修复</w:t>
                  </w:r>
                </w:p>
              </w:tc>
              <w:tc>
                <w:tcPr>
                  <w:tcW w:w="3439" w:type="pct"/>
                  <w:tcBorders>
                    <w:top w:val="single" w:color="auto" w:sz="6" w:space="0"/>
                    <w:left w:val="single" w:color="auto" w:sz="6" w:space="0"/>
                    <w:bottom w:val="single" w:color="auto" w:sz="6" w:space="0"/>
                    <w:right w:val="single" w:color="auto" w:sz="6" w:space="0"/>
                  </w:tcBorders>
                  <w:vAlign w:val="center"/>
                </w:tcPr>
                <w:p>
                  <w:pPr>
                    <w:pStyle w:val="57"/>
                  </w:pPr>
                  <w:r>
                    <w:t>施工及运输机械噪声、扬尘、施工及运输机械废气、水土流失、生活污水、弃土、植被破坏、土地性质改变等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0" w:type="pct"/>
                  <w:vMerge w:val="continue"/>
                  <w:tcBorders>
                    <w:left w:val="single" w:color="auto" w:sz="6" w:space="0"/>
                    <w:bottom w:val="single" w:color="auto" w:sz="6" w:space="0"/>
                    <w:right w:val="single" w:color="auto" w:sz="6" w:space="0"/>
                  </w:tcBorders>
                  <w:vAlign w:val="center"/>
                </w:tcPr>
                <w:p>
                  <w:pPr>
                    <w:pStyle w:val="57"/>
                  </w:pPr>
                </w:p>
              </w:tc>
              <w:tc>
                <w:tcPr>
                  <w:tcW w:w="511" w:type="pct"/>
                  <w:vMerge w:val="continue"/>
                  <w:tcBorders>
                    <w:left w:val="single" w:color="auto" w:sz="6" w:space="0"/>
                    <w:bottom w:val="single" w:color="auto" w:sz="6" w:space="0"/>
                    <w:right w:val="single" w:color="auto" w:sz="4" w:space="0"/>
                  </w:tcBorders>
                  <w:vAlign w:val="center"/>
                </w:tcPr>
                <w:p>
                  <w:pPr>
                    <w:pStyle w:val="57"/>
                  </w:pPr>
                </w:p>
              </w:tc>
              <w:tc>
                <w:tcPr>
                  <w:tcW w:w="670" w:type="pct"/>
                  <w:tcBorders>
                    <w:top w:val="single" w:color="auto" w:sz="6" w:space="0"/>
                    <w:left w:val="single" w:color="auto" w:sz="4" w:space="0"/>
                    <w:bottom w:val="single" w:color="auto" w:sz="6" w:space="0"/>
                    <w:right w:val="single" w:color="auto" w:sz="6" w:space="0"/>
                  </w:tcBorders>
                  <w:vAlign w:val="center"/>
                </w:tcPr>
                <w:p>
                  <w:pPr>
                    <w:pStyle w:val="57"/>
                  </w:pPr>
                  <w:r>
                    <w:t>设备搬运安装</w:t>
                  </w:r>
                </w:p>
              </w:tc>
              <w:tc>
                <w:tcPr>
                  <w:tcW w:w="3439" w:type="pct"/>
                  <w:tcBorders>
                    <w:top w:val="single" w:color="auto" w:sz="6" w:space="0"/>
                    <w:left w:val="single" w:color="auto" w:sz="6" w:space="0"/>
                    <w:bottom w:val="single" w:color="auto" w:sz="6" w:space="0"/>
                    <w:right w:val="single" w:color="auto" w:sz="6" w:space="0"/>
                  </w:tcBorders>
                  <w:vAlign w:val="center"/>
                </w:tcPr>
                <w:p>
                  <w:pPr>
                    <w:pStyle w:val="57"/>
                  </w:pPr>
                  <w:r>
                    <w:t>运输机械噪声、运输机械废气、生活污水、生活垃圾等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0" w:type="pct"/>
                  <w:vMerge w:val="restart"/>
                  <w:tcBorders>
                    <w:top w:val="single" w:color="auto" w:sz="6" w:space="0"/>
                    <w:left w:val="single" w:color="auto" w:sz="6" w:space="0"/>
                    <w:right w:val="single" w:color="auto" w:sz="6" w:space="0"/>
                  </w:tcBorders>
                  <w:vAlign w:val="center"/>
                </w:tcPr>
                <w:p>
                  <w:pPr>
                    <w:pStyle w:val="57"/>
                  </w:pPr>
                  <w:r>
                    <w:t>2</w:t>
                  </w:r>
                </w:p>
              </w:tc>
              <w:tc>
                <w:tcPr>
                  <w:tcW w:w="511" w:type="pct"/>
                  <w:vMerge w:val="restart"/>
                  <w:tcBorders>
                    <w:top w:val="single" w:color="auto" w:sz="6" w:space="0"/>
                    <w:left w:val="single" w:color="auto" w:sz="6" w:space="0"/>
                    <w:right w:val="single" w:color="auto" w:sz="4" w:space="0"/>
                  </w:tcBorders>
                  <w:vAlign w:val="center"/>
                </w:tcPr>
                <w:p>
                  <w:pPr>
                    <w:pStyle w:val="57"/>
                  </w:pPr>
                  <w:r>
                    <w:t>钻井工程</w:t>
                  </w:r>
                </w:p>
              </w:tc>
              <w:tc>
                <w:tcPr>
                  <w:tcW w:w="670" w:type="pct"/>
                  <w:tcBorders>
                    <w:top w:val="single" w:color="auto" w:sz="6" w:space="0"/>
                    <w:left w:val="single" w:color="auto" w:sz="4" w:space="0"/>
                    <w:bottom w:val="single" w:color="auto" w:sz="6" w:space="0"/>
                    <w:right w:val="single" w:color="auto" w:sz="6" w:space="0"/>
                  </w:tcBorders>
                  <w:vAlign w:val="center"/>
                </w:tcPr>
                <w:p>
                  <w:pPr>
                    <w:pStyle w:val="57"/>
                  </w:pPr>
                  <w:r>
                    <w:t>钻井作业</w:t>
                  </w:r>
                </w:p>
              </w:tc>
              <w:tc>
                <w:tcPr>
                  <w:tcW w:w="3439" w:type="pct"/>
                  <w:tcBorders>
                    <w:top w:val="single" w:color="auto" w:sz="6" w:space="0"/>
                    <w:left w:val="single" w:color="auto" w:sz="6" w:space="0"/>
                    <w:bottom w:val="single" w:color="auto" w:sz="6" w:space="0"/>
                    <w:right w:val="single" w:color="auto" w:sz="6" w:space="0"/>
                  </w:tcBorders>
                  <w:vAlign w:val="center"/>
                </w:tcPr>
                <w:p>
                  <w:pPr>
                    <w:pStyle w:val="57"/>
                  </w:pPr>
                  <w:r>
                    <w:t>固体废弃物（水基泥浆、水基岩屑、油基岩屑、员工生活垃圾等）、设备噪声、废水（钻井废水和员工生活污水等）、柴油机废气等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0" w:type="pct"/>
                  <w:vMerge w:val="continue"/>
                  <w:tcBorders>
                    <w:left w:val="single" w:color="auto" w:sz="6" w:space="0"/>
                    <w:right w:val="single" w:color="auto" w:sz="6" w:space="0"/>
                  </w:tcBorders>
                  <w:vAlign w:val="center"/>
                </w:tcPr>
                <w:p>
                  <w:pPr>
                    <w:pStyle w:val="57"/>
                  </w:pPr>
                </w:p>
              </w:tc>
              <w:tc>
                <w:tcPr>
                  <w:tcW w:w="511" w:type="pct"/>
                  <w:vMerge w:val="continue"/>
                  <w:tcBorders>
                    <w:left w:val="single" w:color="auto" w:sz="6" w:space="0"/>
                    <w:right w:val="single" w:color="auto" w:sz="4" w:space="0"/>
                  </w:tcBorders>
                  <w:vAlign w:val="center"/>
                </w:tcPr>
                <w:p>
                  <w:pPr>
                    <w:pStyle w:val="57"/>
                  </w:pPr>
                </w:p>
              </w:tc>
              <w:tc>
                <w:tcPr>
                  <w:tcW w:w="670" w:type="pct"/>
                  <w:tcBorders>
                    <w:top w:val="single" w:color="auto" w:sz="6" w:space="0"/>
                    <w:left w:val="single" w:color="auto" w:sz="4" w:space="0"/>
                    <w:bottom w:val="single" w:color="auto" w:sz="6" w:space="0"/>
                    <w:right w:val="single" w:color="auto" w:sz="6" w:space="0"/>
                  </w:tcBorders>
                  <w:vAlign w:val="center"/>
                </w:tcPr>
                <w:p>
                  <w:pPr>
                    <w:pStyle w:val="57"/>
                  </w:pPr>
                  <w:r>
                    <w:t>完井测试</w:t>
                  </w:r>
                </w:p>
              </w:tc>
              <w:tc>
                <w:tcPr>
                  <w:tcW w:w="3439" w:type="pct"/>
                  <w:tcBorders>
                    <w:top w:val="single" w:color="auto" w:sz="6" w:space="0"/>
                    <w:left w:val="single" w:color="auto" w:sz="6" w:space="0"/>
                    <w:bottom w:val="single" w:color="auto" w:sz="6" w:space="0"/>
                    <w:right w:val="single" w:color="auto" w:sz="6" w:space="0"/>
                  </w:tcBorders>
                  <w:vAlign w:val="center"/>
                </w:tcPr>
                <w:p>
                  <w:pPr>
                    <w:pStyle w:val="57"/>
                  </w:pPr>
                  <w:r>
                    <w:t>洗井废水、压裂返排废水、方井雨水、放喷气流噪声，测试放喷废气等</w:t>
                  </w:r>
                </w:p>
              </w:tc>
            </w:tr>
          </w:tbl>
          <w:p>
            <w:pPr>
              <w:adjustRightInd w:val="0"/>
              <w:snapToGrid w:val="0"/>
              <w:ind w:firstLine="0" w:firstLineChars="0"/>
              <w:rPr>
                <w:b/>
                <w:bCs/>
                <w:sz w:val="21"/>
                <w:szCs w:val="21"/>
              </w:rPr>
            </w:pPr>
            <w:r>
              <w:rPr>
                <w:b/>
                <w:bCs/>
                <w:sz w:val="21"/>
                <w:szCs w:val="21"/>
              </w:rPr>
              <w:t>1、钻前工程</w:t>
            </w:r>
          </w:p>
          <w:p>
            <w:pPr>
              <w:adjustRightInd w:val="0"/>
              <w:snapToGrid w:val="0"/>
              <w:ind w:firstLine="422"/>
              <w:rPr>
                <w:b/>
                <w:bCs/>
                <w:sz w:val="21"/>
                <w:szCs w:val="21"/>
              </w:rPr>
            </w:pPr>
            <w:r>
              <w:rPr>
                <w:b/>
                <w:bCs/>
                <w:sz w:val="21"/>
                <w:szCs w:val="21"/>
              </w:rPr>
              <w:t>1.1废气环境影响</w:t>
            </w:r>
          </w:p>
          <w:p>
            <w:pPr>
              <w:adjustRightInd w:val="0"/>
              <w:snapToGrid w:val="0"/>
              <w:ind w:firstLine="420"/>
              <w:rPr>
                <w:bCs/>
                <w:sz w:val="21"/>
                <w:szCs w:val="21"/>
              </w:rPr>
            </w:pPr>
            <w:r>
              <w:rPr>
                <w:bCs/>
                <w:sz w:val="21"/>
                <w:szCs w:val="21"/>
              </w:rPr>
              <w:t>施工期产生的空气污染主要是：施工过程中土石方开挖、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bCs/>
                <w:sz w:val="21"/>
                <w:szCs w:val="21"/>
                <w:vertAlign w:val="subscript"/>
              </w:rPr>
              <w:t>X</w:t>
            </w:r>
            <w:r>
              <w:rPr>
                <w:bCs/>
                <w:sz w:val="21"/>
                <w:szCs w:val="21"/>
              </w:rPr>
              <w:t>等。</w:t>
            </w:r>
          </w:p>
          <w:p>
            <w:pPr>
              <w:adjustRightInd w:val="0"/>
              <w:snapToGrid w:val="0"/>
              <w:ind w:firstLine="422"/>
              <w:rPr>
                <w:b/>
                <w:bCs/>
                <w:sz w:val="21"/>
                <w:szCs w:val="21"/>
              </w:rPr>
            </w:pPr>
            <w:r>
              <w:rPr>
                <w:b/>
                <w:bCs/>
                <w:sz w:val="21"/>
                <w:szCs w:val="21"/>
              </w:rPr>
              <w:t>1.2废水环境影响</w:t>
            </w:r>
          </w:p>
          <w:p>
            <w:pPr>
              <w:ind w:firstLine="420"/>
              <w:rPr>
                <w:sz w:val="21"/>
                <w:szCs w:val="21"/>
              </w:rPr>
            </w:pPr>
            <w:r>
              <w:rPr>
                <w:sz w:val="21"/>
                <w:szCs w:val="21"/>
              </w:rPr>
              <w:t>钻前工程施工期废水由施工废水和生活污水两部分组成。基建人员有30人，人均生活用水量按100L/d计，生活总用水量约3.0m</w:t>
            </w:r>
            <w:r>
              <w:rPr>
                <w:sz w:val="21"/>
                <w:szCs w:val="21"/>
                <w:vertAlign w:val="superscript"/>
              </w:rPr>
              <w:t>3</w:t>
            </w:r>
            <w:r>
              <w:rPr>
                <w:sz w:val="21"/>
                <w:szCs w:val="21"/>
              </w:rPr>
              <w:t>/d，生活用水总量180m</w:t>
            </w:r>
            <w:r>
              <w:rPr>
                <w:sz w:val="21"/>
                <w:szCs w:val="21"/>
                <w:vertAlign w:val="superscript"/>
              </w:rPr>
              <w:t>3</w:t>
            </w:r>
            <w:r>
              <w:rPr>
                <w:sz w:val="21"/>
                <w:szCs w:val="21"/>
              </w:rPr>
              <w:t>（2个月）。产污系数取0.9，则生活污水量2.7m</w:t>
            </w:r>
            <w:r>
              <w:rPr>
                <w:sz w:val="21"/>
                <w:szCs w:val="21"/>
                <w:vertAlign w:val="superscript"/>
              </w:rPr>
              <w:t>3</w:t>
            </w:r>
            <w:r>
              <w:rPr>
                <w:sz w:val="21"/>
                <w:szCs w:val="21"/>
              </w:rPr>
              <w:t>/d，生活污水总量为162m</w:t>
            </w:r>
            <w:r>
              <w:rPr>
                <w:sz w:val="21"/>
                <w:szCs w:val="21"/>
                <w:vertAlign w:val="superscript"/>
              </w:rPr>
              <w:t>3</w:t>
            </w:r>
            <w:r>
              <w:rPr>
                <w:sz w:val="21"/>
                <w:szCs w:val="21"/>
              </w:rPr>
              <w:t>，主要污染物为COD、BOD</w:t>
            </w:r>
            <w:r>
              <w:rPr>
                <w:sz w:val="21"/>
                <w:szCs w:val="21"/>
                <w:vertAlign w:val="subscript"/>
              </w:rPr>
              <w:t>5</w:t>
            </w:r>
            <w:r>
              <w:rPr>
                <w:sz w:val="21"/>
                <w:szCs w:val="21"/>
              </w:rPr>
              <w:t>、SS、NH</w:t>
            </w:r>
            <w:r>
              <w:rPr>
                <w:sz w:val="21"/>
                <w:szCs w:val="21"/>
                <w:vertAlign w:val="subscript"/>
              </w:rPr>
              <w:t>3</w:t>
            </w:r>
            <w:r>
              <w:rPr>
                <w:sz w:val="21"/>
                <w:szCs w:val="21"/>
              </w:rPr>
              <w:t>-N，浓度依次约400mg/L、200mg/L、300mg/L、25mg/L。</w:t>
            </w:r>
          </w:p>
          <w:p>
            <w:pPr>
              <w:ind w:firstLine="420"/>
              <w:rPr>
                <w:bCs/>
                <w:sz w:val="21"/>
                <w:szCs w:val="21"/>
              </w:rPr>
            </w:pPr>
            <w:r>
              <w:rPr>
                <w:bCs/>
                <w:sz w:val="21"/>
                <w:szCs w:val="21"/>
              </w:rPr>
              <w:t>钻前施工作业废水来自施工场地，道路施工过程遇雨产生的地表径流，径流雨水中夹带有悬浮物；井场基础建设产生的废水主要来自砂石骨料加工、混凝土搅拌及养护等过程。</w:t>
            </w:r>
          </w:p>
          <w:p>
            <w:pPr>
              <w:adjustRightInd w:val="0"/>
              <w:snapToGrid w:val="0"/>
              <w:ind w:firstLine="422"/>
              <w:rPr>
                <w:b/>
                <w:bCs/>
                <w:sz w:val="21"/>
                <w:szCs w:val="21"/>
              </w:rPr>
            </w:pPr>
            <w:r>
              <w:rPr>
                <w:b/>
                <w:bCs/>
                <w:sz w:val="21"/>
                <w:szCs w:val="21"/>
              </w:rPr>
              <w:t>1.3噪声环境影响</w:t>
            </w:r>
          </w:p>
          <w:p>
            <w:pPr>
              <w:adjustRightInd w:val="0"/>
              <w:snapToGrid w:val="0"/>
              <w:ind w:firstLine="420"/>
              <w:rPr>
                <w:bCs/>
                <w:sz w:val="21"/>
                <w:szCs w:val="21"/>
              </w:rPr>
            </w:pPr>
            <w:r>
              <w:rPr>
                <w:bCs/>
                <w:sz w:val="21"/>
                <w:szCs w:val="21"/>
              </w:rPr>
              <w:t>工程施工噪声主要为施工设备噪声，如挖掘机、推土机、运输汽车等突发性噪声，声源强度为98~100dB（A）。根据类比调查，项目主要施工机具噪声源强见表4-2。</w:t>
            </w:r>
          </w:p>
          <w:p>
            <w:pPr>
              <w:adjustRightInd w:val="0"/>
              <w:snapToGrid w:val="0"/>
              <w:ind w:firstLine="0" w:firstLineChars="0"/>
              <w:jc w:val="center"/>
              <w:rPr>
                <w:b/>
                <w:bCs/>
                <w:sz w:val="21"/>
                <w:szCs w:val="21"/>
              </w:rPr>
            </w:pPr>
            <w:r>
              <w:rPr>
                <w:b/>
                <w:bCs/>
                <w:sz w:val="21"/>
                <w:szCs w:val="21"/>
              </w:rPr>
              <w:t>表4-2  主要施工机具噪声源强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916"/>
              <w:gridCol w:w="1593"/>
              <w:gridCol w:w="1435"/>
              <w:gridCol w:w="1433"/>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序号</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设备名称</w:t>
                  </w:r>
                </w:p>
              </w:tc>
              <w:tc>
                <w:tcPr>
                  <w:tcW w:w="937"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测点距施工机具距离</w:t>
                  </w:r>
                </w:p>
              </w:tc>
              <w:tc>
                <w:tcPr>
                  <w:tcW w:w="844"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最大声级</w:t>
                  </w:r>
                </w:p>
                <w:p>
                  <w:pPr>
                    <w:pStyle w:val="57"/>
                    <w:rPr>
                      <w:b/>
                    </w:rPr>
                  </w:pPr>
                  <w:r>
                    <w:rPr>
                      <w:b/>
                    </w:rPr>
                    <w:t>（</w:t>
                  </w:r>
                  <w:r>
                    <w:rPr>
                      <w:b/>
                      <w:bCs/>
                      <w:w w:val="99"/>
                    </w:rPr>
                    <w:t>dB</w:t>
                  </w:r>
                  <w:r>
                    <w:rPr>
                      <w:b/>
                      <w:w w:val="86"/>
                    </w:rPr>
                    <w:t>（</w:t>
                  </w:r>
                  <w:r>
                    <w:rPr>
                      <w:b/>
                      <w:bCs/>
                      <w:w w:val="86"/>
                    </w:rPr>
                    <w:t>A））</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运行方式</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运行时间（h）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1</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推土机</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85</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2</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挖掘机</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84</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3</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载重汽车</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82</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4</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钻孔机</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85</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5</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空压机</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88</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pStyle w:val="57"/>
                  </w:pPr>
                  <w:r>
                    <w:t>7</w:t>
                  </w:r>
                </w:p>
              </w:tc>
              <w:tc>
                <w:tcPr>
                  <w:tcW w:w="1127" w:type="pct"/>
                  <w:tcBorders>
                    <w:top w:val="single" w:color="auto" w:sz="4" w:space="0"/>
                    <w:left w:val="single" w:color="auto" w:sz="4" w:space="0"/>
                    <w:bottom w:val="single" w:color="auto" w:sz="4" w:space="0"/>
                    <w:right w:val="single" w:color="auto" w:sz="4" w:space="0"/>
                  </w:tcBorders>
                  <w:vAlign w:val="center"/>
                </w:tcPr>
                <w:p>
                  <w:pPr>
                    <w:pStyle w:val="57"/>
                  </w:pPr>
                  <w:r>
                    <w:t>震动棒</w:t>
                  </w:r>
                </w:p>
              </w:tc>
              <w:tc>
                <w:tcPr>
                  <w:tcW w:w="937"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5</w:t>
                  </w:r>
                </w:p>
              </w:tc>
              <w:tc>
                <w:tcPr>
                  <w:tcW w:w="84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bCs/>
                      <w:sz w:val="21"/>
                      <w:szCs w:val="21"/>
                    </w:rPr>
                    <w:t>86</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移动设备</w:t>
                  </w:r>
                </w:p>
              </w:tc>
              <w:tc>
                <w:tcPr>
                  <w:tcW w:w="909" w:type="pct"/>
                  <w:tcBorders>
                    <w:top w:val="single" w:color="auto" w:sz="4" w:space="0"/>
                    <w:left w:val="single" w:color="auto" w:sz="4" w:space="0"/>
                    <w:bottom w:val="single" w:color="auto" w:sz="4" w:space="0"/>
                    <w:right w:val="single" w:color="auto" w:sz="4" w:space="0"/>
                  </w:tcBorders>
                  <w:vAlign w:val="center"/>
                </w:tcPr>
                <w:p>
                  <w:pPr>
                    <w:pStyle w:val="57"/>
                  </w:pPr>
                  <w:r>
                    <w:t>间断，&lt;4</w:t>
                  </w:r>
                </w:p>
              </w:tc>
            </w:tr>
          </w:tbl>
          <w:p>
            <w:pPr>
              <w:adjustRightInd w:val="0"/>
              <w:snapToGrid w:val="0"/>
              <w:ind w:firstLine="420"/>
              <w:rPr>
                <w:bCs/>
                <w:snapToGrid w:val="0"/>
                <w:kern w:val="0"/>
                <w:sz w:val="21"/>
                <w:szCs w:val="21"/>
              </w:rPr>
            </w:pPr>
            <w:r>
              <w:rPr>
                <w:rFonts w:hint="eastAsia"/>
                <w:bCs/>
                <w:snapToGrid w:val="0"/>
                <w:kern w:val="0"/>
                <w:sz w:val="21"/>
                <w:szCs w:val="21"/>
              </w:rPr>
              <w:t>在距离50m处施工机具对声环境的贡献值为62.0~66.0dB（A），在距离100m处施工机具对声环境的贡献值为56.0~60.0dB（A），在距离200m处施工机具对声环境的贡献值为50.0~54.0dB（A）。</w:t>
            </w:r>
          </w:p>
          <w:p>
            <w:pPr>
              <w:adjustRightInd w:val="0"/>
              <w:snapToGrid w:val="0"/>
              <w:ind w:firstLine="420"/>
              <w:rPr>
                <w:bCs/>
                <w:sz w:val="21"/>
                <w:szCs w:val="21"/>
              </w:rPr>
            </w:pPr>
            <w:r>
              <w:rPr>
                <w:rFonts w:hint="eastAsia"/>
                <w:bCs/>
                <w:snapToGrid w:val="0"/>
                <w:kern w:val="0"/>
                <w:sz w:val="21"/>
                <w:szCs w:val="21"/>
              </w:rPr>
              <w:t>通过施工期噪声预测可知，项目钻前工程夜间不施工，不存在施工噪声夜间超标环境影响；在不采取任何噪声防治措施的情况下，场界外50m范围内能满足《建筑施工场界环境噪声排放标准》（GB12523-2011）规定的昼间70dB(A)限值要求，项目施工期短，且仅昼间施工，施工噪声对环境影响程度有限，影响范围较小，且项目100m范围内无农户分布，周边农户较分散，施工噪声影响随施工的结束而消失，在当地环境可接受范围内。</w:t>
            </w:r>
          </w:p>
          <w:p>
            <w:pPr>
              <w:adjustRightInd w:val="0"/>
              <w:snapToGrid w:val="0"/>
              <w:ind w:firstLine="422"/>
              <w:rPr>
                <w:b/>
                <w:bCs/>
                <w:sz w:val="21"/>
                <w:szCs w:val="21"/>
              </w:rPr>
            </w:pPr>
            <w:r>
              <w:rPr>
                <w:b/>
                <w:bCs/>
                <w:sz w:val="21"/>
                <w:szCs w:val="21"/>
              </w:rPr>
              <w:t>1.4固体废物环境影响</w:t>
            </w:r>
          </w:p>
          <w:p>
            <w:pPr>
              <w:adjustRightInd w:val="0"/>
              <w:snapToGrid w:val="0"/>
              <w:ind w:firstLine="420"/>
              <w:rPr>
                <w:bCs/>
                <w:sz w:val="21"/>
                <w:szCs w:val="21"/>
              </w:rPr>
            </w:pPr>
            <w:r>
              <w:rPr>
                <w:rFonts w:hint="eastAsia"/>
                <w:bCs/>
                <w:sz w:val="21"/>
                <w:szCs w:val="21"/>
              </w:rPr>
              <w:t>施工期固体废物一部分来自挖方中的表层土壤；另一部分来自施工的垃圾，包括废弃的建筑材料、包装材料、生活垃圾等。</w:t>
            </w:r>
          </w:p>
          <w:p>
            <w:pPr>
              <w:adjustRightInd w:val="0"/>
              <w:snapToGrid w:val="0"/>
              <w:ind w:firstLine="422"/>
              <w:rPr>
                <w:b/>
                <w:bCs/>
                <w:sz w:val="21"/>
                <w:szCs w:val="21"/>
              </w:rPr>
            </w:pPr>
            <w:r>
              <w:rPr>
                <w:b/>
                <w:bCs/>
                <w:sz w:val="21"/>
                <w:szCs w:val="21"/>
              </w:rPr>
              <w:t>1.5生态环境影响</w:t>
            </w:r>
          </w:p>
          <w:p>
            <w:pPr>
              <w:adjustRightInd w:val="0"/>
              <w:snapToGrid w:val="0"/>
              <w:ind w:firstLine="420"/>
              <w:rPr>
                <w:bCs/>
                <w:sz w:val="21"/>
                <w:szCs w:val="21"/>
              </w:rPr>
            </w:pPr>
            <w:r>
              <w:rPr>
                <w:bCs/>
                <w:sz w:val="21"/>
                <w:szCs w:val="21"/>
              </w:rPr>
              <w:t>（1）对土地利用的影响分析</w:t>
            </w:r>
          </w:p>
          <w:p>
            <w:pPr>
              <w:adjustRightInd w:val="0"/>
              <w:snapToGrid w:val="0"/>
              <w:ind w:firstLine="420"/>
              <w:rPr>
                <w:bCs/>
                <w:sz w:val="21"/>
                <w:szCs w:val="21"/>
              </w:rPr>
            </w:pPr>
            <w:r>
              <w:rPr>
                <w:bCs/>
                <w:sz w:val="21"/>
                <w:szCs w:val="21"/>
              </w:rPr>
              <w:t>项目总用地面积为</w:t>
            </w:r>
            <w:r>
              <w:rPr>
                <w:snapToGrid w:val="0"/>
                <w:kern w:val="0"/>
                <w:sz w:val="21"/>
                <w:szCs w:val="21"/>
              </w:rPr>
              <w:t>24390.89</w:t>
            </w:r>
            <w:r>
              <w:rPr>
                <w:bCs/>
                <w:sz w:val="21"/>
                <w:szCs w:val="21"/>
              </w:rPr>
              <w:t>m</w:t>
            </w:r>
            <w:r>
              <w:rPr>
                <w:bCs/>
                <w:sz w:val="21"/>
                <w:szCs w:val="21"/>
                <w:vertAlign w:val="superscript"/>
              </w:rPr>
              <w:t>2</w:t>
            </w:r>
            <w:r>
              <w:rPr>
                <w:bCs/>
                <w:sz w:val="21"/>
                <w:szCs w:val="21"/>
              </w:rPr>
              <w:t>，包括井场占地，泥浆储备罐、道路、油水罐区、燃烧池占地、耕植土堆放场占地等。均属于临时占地，占地类型以旱地、水田为主。工程占用永久基本农田20347.75m</w:t>
            </w:r>
            <w:r>
              <w:rPr>
                <w:bCs/>
                <w:sz w:val="21"/>
                <w:szCs w:val="21"/>
                <w:vertAlign w:val="superscript"/>
              </w:rPr>
              <w:t>2</w:t>
            </w:r>
            <w:r>
              <w:rPr>
                <w:bCs/>
                <w:sz w:val="21"/>
                <w:szCs w:val="21"/>
              </w:rPr>
              <w:t>，建设单位在项目开工建设前</w:t>
            </w:r>
            <w:r>
              <w:rPr>
                <w:rFonts w:hint="eastAsia"/>
                <w:bCs/>
                <w:sz w:val="21"/>
                <w:szCs w:val="21"/>
              </w:rPr>
              <w:t>应</w:t>
            </w:r>
            <w:r>
              <w:rPr>
                <w:bCs/>
                <w:sz w:val="21"/>
                <w:szCs w:val="21"/>
              </w:rPr>
              <w:t>取得相关部门许可手续。</w:t>
            </w:r>
          </w:p>
          <w:p>
            <w:pPr>
              <w:adjustRightInd w:val="0"/>
              <w:snapToGrid w:val="0"/>
              <w:ind w:firstLine="420"/>
              <w:rPr>
                <w:bCs/>
                <w:sz w:val="21"/>
                <w:szCs w:val="21"/>
              </w:rPr>
            </w:pPr>
            <w:r>
              <w:rPr>
                <w:bCs/>
                <w:sz w:val="21"/>
                <w:szCs w:val="21"/>
              </w:rPr>
              <w:t>本工程的临时占地在占用完毕后都可在较短时间内恢复，根据现场调查，项目的井场选址和道路占地在当地现有土地利用类型中所占比例很小，不会导致区域土地利用格局的变化，对区域土地利用格局产生的影响甚微。本工程对农业生产的直接影响主要体现为因临时占用耕地而造成经济作物减产，对于临时占地造成的农作物减产，除应对耕种农户进行经济补偿外，在施工结束后对临时占地应委托原被征地农户进行耕地的生态恢复，进行必要的土壤抚育，多使用有机肥，恢复临时占用耕地的生产力。</w:t>
            </w:r>
          </w:p>
          <w:p>
            <w:pPr>
              <w:adjustRightInd w:val="0"/>
              <w:snapToGrid w:val="0"/>
              <w:ind w:firstLine="420"/>
              <w:rPr>
                <w:bCs/>
                <w:sz w:val="21"/>
                <w:szCs w:val="21"/>
              </w:rPr>
            </w:pPr>
            <w:r>
              <w:rPr>
                <w:bCs/>
                <w:sz w:val="21"/>
                <w:szCs w:val="21"/>
              </w:rPr>
              <w:t>工程临时占地将在短期内改变土地利用性质，工程结束后，即对临时占用的土地进行恢复，对当地土地资源的影响是可接受的，对生态环境的影响也属可接受范围。</w:t>
            </w:r>
          </w:p>
          <w:p>
            <w:pPr>
              <w:adjustRightInd w:val="0"/>
              <w:snapToGrid w:val="0"/>
              <w:ind w:firstLine="420"/>
              <w:rPr>
                <w:bCs/>
                <w:sz w:val="21"/>
                <w:szCs w:val="21"/>
              </w:rPr>
            </w:pPr>
            <w:r>
              <w:rPr>
                <w:bCs/>
                <w:sz w:val="21"/>
                <w:szCs w:val="21"/>
              </w:rPr>
              <w:t>（2）对土壤的影响分析</w:t>
            </w:r>
          </w:p>
          <w:p>
            <w:pPr>
              <w:adjustRightInd w:val="0"/>
              <w:snapToGrid w:val="0"/>
              <w:ind w:firstLine="420"/>
              <w:rPr>
                <w:bCs/>
                <w:sz w:val="21"/>
                <w:szCs w:val="21"/>
              </w:rPr>
            </w:pPr>
            <w:r>
              <w:rPr>
                <w:bCs/>
                <w:sz w:val="21"/>
                <w:szCs w:val="21"/>
              </w:rPr>
              <w:t>施工过程中，安置钻机、搬运施工机械、设置临时房屋、施工人员及各种车辆践踏、碾压等均会造成对植被及农作物的破坏，加剧土壤侵蚀和水土流失。项目新修井场，在开挖过程中将剥离所占土地的表层土壤。在池体开挖过程中表层土壤采用分层开挖，分层堆放，完井后用于井场临时占地复耕的表层覆土。回填时同样分层回填，先对埋在下层的压实，再用原有表层土覆盖于上层堆砌，便于完井后进行植被覆盖。项目产生3944m</w:t>
            </w:r>
            <w:r>
              <w:rPr>
                <w:bCs/>
                <w:sz w:val="21"/>
                <w:szCs w:val="21"/>
                <w:vertAlign w:val="superscript"/>
              </w:rPr>
              <w:t>3</w:t>
            </w:r>
            <w:r>
              <w:rPr>
                <w:bCs/>
                <w:sz w:val="21"/>
                <w:szCs w:val="21"/>
              </w:rPr>
              <w:t>表土，所产生的表层土将分别存放于项目专设的耕植土堆放场地中，用于完井后复耕。在采取以上措施后，项目对所在区域土壤的影响是可接受的。</w:t>
            </w:r>
          </w:p>
          <w:p>
            <w:pPr>
              <w:adjustRightInd w:val="0"/>
              <w:snapToGrid w:val="0"/>
              <w:ind w:firstLine="420"/>
              <w:rPr>
                <w:bCs/>
                <w:sz w:val="21"/>
                <w:szCs w:val="21"/>
              </w:rPr>
            </w:pPr>
            <w:r>
              <w:rPr>
                <w:bCs/>
                <w:sz w:val="21"/>
                <w:szCs w:val="21"/>
              </w:rPr>
              <w:t>（3）对水土流失的影响分析</w:t>
            </w:r>
          </w:p>
          <w:p>
            <w:pPr>
              <w:adjustRightInd w:val="0"/>
              <w:snapToGrid w:val="0"/>
              <w:ind w:firstLine="420"/>
              <w:rPr>
                <w:bCs/>
                <w:sz w:val="21"/>
                <w:szCs w:val="21"/>
              </w:rPr>
            </w:pPr>
            <w:r>
              <w:rPr>
                <w:bCs/>
                <w:sz w:val="21"/>
                <w:szCs w:val="21"/>
              </w:rPr>
              <w:t>项目在钻前施工期间，影响环境的因素主要是在井场道路和井场的建设阶段，在此期间会对所征用土地上的作物、植被进行清除，对场地进行平整。由于耕作土是土地地力的载体，是一种十分珍贵的资源，项目井场专门设置了耕植土堆放场，表土用于井场占地范围内的耕作土，便于项目完成后就地用于土地复耕。</w:t>
            </w:r>
          </w:p>
          <w:p>
            <w:pPr>
              <w:adjustRightInd w:val="0"/>
              <w:snapToGrid w:val="0"/>
              <w:ind w:firstLine="0" w:firstLineChars="0"/>
              <w:rPr>
                <w:b/>
                <w:bCs/>
                <w:sz w:val="21"/>
                <w:szCs w:val="21"/>
              </w:rPr>
            </w:pPr>
            <w:r>
              <w:rPr>
                <w:b/>
                <w:bCs/>
                <w:sz w:val="21"/>
                <w:szCs w:val="21"/>
              </w:rPr>
              <w:t>2、钻井工程</w:t>
            </w:r>
          </w:p>
          <w:p>
            <w:pPr>
              <w:adjustRightInd w:val="0"/>
              <w:snapToGrid w:val="0"/>
              <w:ind w:firstLine="0" w:firstLineChars="0"/>
              <w:rPr>
                <w:b/>
                <w:bCs/>
                <w:sz w:val="21"/>
                <w:szCs w:val="21"/>
              </w:rPr>
            </w:pPr>
            <w:r>
              <w:rPr>
                <w:b/>
                <w:bCs/>
                <w:sz w:val="21"/>
                <w:szCs w:val="21"/>
              </w:rPr>
              <w:t>2.1废气环境影响</w:t>
            </w:r>
          </w:p>
          <w:p>
            <w:pPr>
              <w:adjustRightInd w:val="0"/>
              <w:snapToGrid w:val="0"/>
              <w:ind w:firstLine="420"/>
              <w:rPr>
                <w:bCs/>
                <w:sz w:val="21"/>
                <w:szCs w:val="21"/>
              </w:rPr>
            </w:pPr>
            <w:r>
              <w:rPr>
                <w:bCs/>
                <w:sz w:val="21"/>
                <w:szCs w:val="21"/>
              </w:rPr>
              <w:t>工程废气主要包括网电断电情况下柴油机产生的废气、测试放喷废气、油基泥浆钻井废气、交通运输废气等。</w:t>
            </w:r>
          </w:p>
          <w:p>
            <w:pPr>
              <w:adjustRightInd w:val="0"/>
              <w:snapToGrid w:val="0"/>
              <w:ind w:firstLine="422"/>
              <w:rPr>
                <w:b/>
                <w:bCs/>
                <w:snapToGrid w:val="0"/>
                <w:kern w:val="0"/>
                <w:sz w:val="21"/>
                <w:szCs w:val="21"/>
              </w:rPr>
            </w:pPr>
            <w:r>
              <w:rPr>
                <w:rFonts w:hint="eastAsia"/>
                <w:b/>
                <w:bCs/>
                <w:snapToGrid w:val="0"/>
                <w:kern w:val="0"/>
                <w:sz w:val="21"/>
                <w:szCs w:val="21"/>
              </w:rPr>
              <w:t>2.1.1正常作业时柴油发电机燃烧废气</w:t>
            </w:r>
          </w:p>
          <w:p>
            <w:pPr>
              <w:adjustRightInd w:val="0"/>
              <w:snapToGrid w:val="0"/>
              <w:ind w:firstLine="420"/>
              <w:rPr>
                <w:bCs/>
                <w:snapToGrid w:val="0"/>
                <w:kern w:val="0"/>
                <w:sz w:val="21"/>
                <w:szCs w:val="21"/>
              </w:rPr>
            </w:pPr>
            <w:r>
              <w:rPr>
                <w:rFonts w:hint="eastAsia"/>
                <w:bCs/>
                <w:snapToGrid w:val="0"/>
                <w:kern w:val="0"/>
                <w:sz w:val="21"/>
                <w:szCs w:val="21"/>
              </w:rPr>
              <w:t>项目钻井作业时，利用</w:t>
            </w:r>
            <w:r>
              <w:rPr>
                <w:rFonts w:hAnsi="宋体"/>
                <w:bCs/>
                <w:snapToGrid w:val="0"/>
                <w:kern w:val="0"/>
                <w:sz w:val="21"/>
                <w:szCs w:val="21"/>
              </w:rPr>
              <w:t>柴油发电机</w:t>
            </w:r>
            <w:r>
              <w:rPr>
                <w:rFonts w:hint="eastAsia"/>
                <w:bCs/>
                <w:snapToGrid w:val="0"/>
                <w:kern w:val="0"/>
                <w:sz w:val="21"/>
                <w:szCs w:val="21"/>
              </w:rPr>
              <w:t>进行发电，</w:t>
            </w:r>
            <w:r>
              <w:rPr>
                <w:rFonts w:hAnsi="宋体"/>
                <w:bCs/>
                <w:snapToGrid w:val="0"/>
                <w:kern w:val="0"/>
                <w:sz w:val="21"/>
                <w:szCs w:val="21"/>
              </w:rPr>
              <w:t>柴油发电机</w:t>
            </w:r>
            <w:r>
              <w:rPr>
                <w:rFonts w:hint="eastAsia"/>
                <w:bCs/>
                <w:snapToGrid w:val="0"/>
                <w:kern w:val="0"/>
                <w:sz w:val="21"/>
                <w:szCs w:val="21"/>
              </w:rPr>
              <w:t>给钻机上的各种设备如泥浆泵、天车、顶驱等提供动力，项目使用的</w:t>
            </w:r>
            <w:r>
              <w:rPr>
                <w:bCs/>
                <w:snapToGrid w:val="0"/>
                <w:kern w:val="0"/>
                <w:sz w:val="21"/>
                <w:szCs w:val="21"/>
              </w:rPr>
              <w:t>ZJ50D</w:t>
            </w:r>
            <w:r>
              <w:rPr>
                <w:rFonts w:hint="eastAsia"/>
                <w:bCs/>
                <w:snapToGrid w:val="0"/>
                <w:kern w:val="0"/>
                <w:sz w:val="21"/>
                <w:szCs w:val="21"/>
              </w:rPr>
              <w:t>钻机钻井配备的</w:t>
            </w:r>
            <w:r>
              <w:rPr>
                <w:rFonts w:hAnsi="宋体"/>
                <w:bCs/>
                <w:snapToGrid w:val="0"/>
                <w:kern w:val="0"/>
                <w:sz w:val="21"/>
                <w:szCs w:val="21"/>
              </w:rPr>
              <w:t>柴油发电机</w:t>
            </w:r>
            <w:r>
              <w:rPr>
                <w:rFonts w:hint="eastAsia"/>
                <w:bCs/>
                <w:snapToGrid w:val="0"/>
                <w:kern w:val="0"/>
                <w:sz w:val="21"/>
                <w:szCs w:val="21"/>
              </w:rPr>
              <w:t>性能参数：比油耗（标定）为203g/kW•h，钻井期间每钻进100m耗电量约3.5万千瓦时，则每100m进尺消耗柴油约7.1t。项目使用的为合格的轻质环保型柴油成品，钻井耗柴油合计约</w:t>
            </w:r>
            <w:r>
              <w:rPr>
                <w:bCs/>
                <w:snapToGrid w:val="0"/>
                <w:kern w:val="0"/>
                <w:sz w:val="21"/>
                <w:szCs w:val="21"/>
              </w:rPr>
              <w:t>360.2</w:t>
            </w:r>
            <w:r>
              <w:rPr>
                <w:rFonts w:hint="eastAsia"/>
                <w:bCs/>
                <w:snapToGrid w:val="0"/>
                <w:kern w:val="0"/>
                <w:sz w:val="21"/>
                <w:szCs w:val="21"/>
              </w:rPr>
              <w:t>t，</w:t>
            </w:r>
            <w:r>
              <w:rPr>
                <w:rFonts w:hAnsi="宋体"/>
                <w:bCs/>
                <w:snapToGrid w:val="0"/>
                <w:kern w:val="0"/>
                <w:sz w:val="21"/>
                <w:szCs w:val="21"/>
              </w:rPr>
              <w:t>柴油发电机</w:t>
            </w:r>
            <w:r>
              <w:rPr>
                <w:rFonts w:hint="eastAsia"/>
                <w:bCs/>
                <w:snapToGrid w:val="0"/>
                <w:kern w:val="0"/>
                <w:sz w:val="21"/>
                <w:szCs w:val="21"/>
              </w:rPr>
              <w:t>运行天数为</w:t>
            </w:r>
            <w:r>
              <w:rPr>
                <w:bCs/>
                <w:snapToGrid w:val="0"/>
                <w:kern w:val="0"/>
                <w:sz w:val="21"/>
                <w:szCs w:val="21"/>
              </w:rPr>
              <w:t>90</w:t>
            </w:r>
            <w:r>
              <w:rPr>
                <w:rFonts w:hint="eastAsia"/>
                <w:bCs/>
                <w:snapToGrid w:val="0"/>
                <w:kern w:val="0"/>
                <w:sz w:val="21"/>
                <w:szCs w:val="21"/>
              </w:rPr>
              <w:t>d，每日运行24h，则项目柴油耗量为</w:t>
            </w:r>
            <w:r>
              <w:rPr>
                <w:bCs/>
                <w:snapToGrid w:val="0"/>
                <w:kern w:val="0"/>
                <w:sz w:val="21"/>
                <w:szCs w:val="21"/>
              </w:rPr>
              <w:t>0.167</w:t>
            </w:r>
            <w:r>
              <w:rPr>
                <w:rFonts w:hint="eastAsia"/>
                <w:bCs/>
                <w:snapToGrid w:val="0"/>
                <w:kern w:val="0"/>
                <w:sz w:val="21"/>
                <w:szCs w:val="21"/>
              </w:rPr>
              <w:t>t/h，此类柴油燃烧主要污染因子为NO</w:t>
            </w:r>
            <w:r>
              <w:rPr>
                <w:bCs/>
                <w:snapToGrid w:val="0"/>
                <w:kern w:val="0"/>
                <w:sz w:val="21"/>
                <w:szCs w:val="21"/>
                <w:vertAlign w:val="subscript"/>
              </w:rPr>
              <w:t>x</w:t>
            </w:r>
            <w:r>
              <w:rPr>
                <w:rFonts w:hint="eastAsia"/>
                <w:bCs/>
                <w:snapToGrid w:val="0"/>
                <w:kern w:val="0"/>
                <w:sz w:val="21"/>
                <w:szCs w:val="21"/>
              </w:rPr>
              <w:t>和少量烟尘，柴油燃烧过程烟尘和NO</w:t>
            </w:r>
            <w:r>
              <w:rPr>
                <w:rFonts w:hint="eastAsia"/>
                <w:bCs/>
                <w:snapToGrid w:val="0"/>
                <w:kern w:val="0"/>
                <w:sz w:val="21"/>
                <w:szCs w:val="21"/>
                <w:vertAlign w:val="subscript"/>
              </w:rPr>
              <w:t>x</w:t>
            </w:r>
            <w:r>
              <w:rPr>
                <w:rFonts w:hint="eastAsia"/>
                <w:bCs/>
                <w:snapToGrid w:val="0"/>
                <w:kern w:val="0"/>
                <w:sz w:val="21"/>
                <w:szCs w:val="21"/>
              </w:rPr>
              <w:t>经柴油发电机自带排气筒排放等。柴油燃烧过程废气排放属于短期连续排放，随着钻井期的结束而消失。</w:t>
            </w:r>
          </w:p>
          <w:p>
            <w:pPr>
              <w:adjustRightInd w:val="0"/>
              <w:snapToGrid w:val="0"/>
              <w:ind w:firstLine="422"/>
              <w:jc w:val="left"/>
              <w:rPr>
                <w:b/>
                <w:bCs/>
                <w:snapToGrid w:val="0"/>
                <w:kern w:val="0"/>
                <w:sz w:val="21"/>
                <w:szCs w:val="21"/>
              </w:rPr>
            </w:pPr>
            <w:r>
              <w:rPr>
                <w:rFonts w:hint="eastAsia"/>
                <w:b/>
                <w:bCs/>
                <w:snapToGrid w:val="0"/>
                <w:kern w:val="0"/>
                <w:sz w:val="21"/>
                <w:szCs w:val="21"/>
              </w:rPr>
              <w:t>2</w:t>
            </w:r>
            <w:r>
              <w:rPr>
                <w:b/>
                <w:bCs/>
                <w:snapToGrid w:val="0"/>
                <w:kern w:val="0"/>
                <w:sz w:val="21"/>
                <w:szCs w:val="21"/>
              </w:rPr>
              <w:t>.1.2 测试放喷废气</w:t>
            </w:r>
          </w:p>
          <w:p>
            <w:pPr>
              <w:adjustRightInd w:val="0"/>
              <w:snapToGrid w:val="0"/>
              <w:ind w:firstLine="420"/>
              <w:jc w:val="left"/>
              <w:rPr>
                <w:bCs/>
                <w:sz w:val="21"/>
                <w:szCs w:val="21"/>
              </w:rPr>
            </w:pPr>
            <w:r>
              <w:rPr>
                <w:bCs/>
                <w:sz w:val="21"/>
                <w:szCs w:val="21"/>
              </w:rPr>
              <w:t>测试放喷阶段进行油气分离，分离后的页岩油暂存于储罐内，作为副产品外售，分离后的天然气经专用放喷管线经专用放喷管线引至燃烧池后点火燃烧，测试放喷时间约1~2天，依据测试气量，间歇放喷，每次持续放喷时间约3h，废气排放属短期排放。测试放喷的天然气经点火燃烧，其主要污染物为NOx。</w:t>
            </w:r>
          </w:p>
          <w:p>
            <w:pPr>
              <w:adjustRightInd w:val="0"/>
              <w:snapToGrid w:val="0"/>
              <w:ind w:firstLine="422"/>
              <w:jc w:val="left"/>
              <w:rPr>
                <w:b/>
                <w:bCs/>
                <w:snapToGrid w:val="0"/>
                <w:kern w:val="0"/>
                <w:sz w:val="21"/>
                <w:szCs w:val="21"/>
              </w:rPr>
            </w:pPr>
            <w:r>
              <w:rPr>
                <w:rFonts w:hint="eastAsia"/>
                <w:b/>
                <w:bCs/>
                <w:snapToGrid w:val="0"/>
                <w:kern w:val="0"/>
                <w:sz w:val="21"/>
                <w:szCs w:val="21"/>
              </w:rPr>
              <w:t>2.1.</w:t>
            </w:r>
            <w:r>
              <w:rPr>
                <w:b/>
                <w:bCs/>
                <w:snapToGrid w:val="0"/>
                <w:kern w:val="0"/>
                <w:sz w:val="21"/>
                <w:szCs w:val="21"/>
              </w:rPr>
              <w:t>3</w:t>
            </w:r>
            <w:r>
              <w:rPr>
                <w:rFonts w:hint="eastAsia"/>
                <w:b/>
                <w:bCs/>
                <w:snapToGrid w:val="0"/>
                <w:kern w:val="0"/>
                <w:sz w:val="21"/>
                <w:szCs w:val="21"/>
              </w:rPr>
              <w:t>非正常生产时事故放喷天然气经点燃后排放废气</w:t>
            </w:r>
          </w:p>
          <w:p>
            <w:pPr>
              <w:adjustRightInd w:val="0"/>
              <w:snapToGrid w:val="0"/>
              <w:ind w:firstLine="420"/>
              <w:jc w:val="left"/>
              <w:rPr>
                <w:bCs/>
                <w:snapToGrid w:val="0"/>
                <w:kern w:val="0"/>
                <w:sz w:val="21"/>
                <w:szCs w:val="21"/>
              </w:rPr>
            </w:pPr>
            <w:r>
              <w:rPr>
                <w:bCs/>
                <w:sz w:val="21"/>
                <w:szCs w:val="21"/>
              </w:rPr>
              <w:t>钻井进入目的层后，有可能遇到异常高压气流，如果井内泥浆密度值过低，达不到平衡井内压力要求，就可能发生井喷。此时利用防喷器迅速封闭井口，若井口压力过高，则打开防喷管线阀门泄压，放喷的</w:t>
            </w:r>
            <w:r>
              <w:rPr>
                <w:rFonts w:hint="eastAsia"/>
                <w:bCs/>
                <w:sz w:val="21"/>
                <w:szCs w:val="21"/>
              </w:rPr>
              <w:t>油气</w:t>
            </w:r>
            <w:r>
              <w:rPr>
                <w:bCs/>
                <w:sz w:val="21"/>
                <w:szCs w:val="21"/>
              </w:rPr>
              <w:t>立即点火烧掉，事故放喷一般时间较短，约2~4h，属于临时排放。</w:t>
            </w:r>
          </w:p>
          <w:p>
            <w:pPr>
              <w:adjustRightInd w:val="0"/>
              <w:snapToGrid w:val="0"/>
              <w:ind w:firstLine="422"/>
              <w:rPr>
                <w:b/>
                <w:bCs/>
                <w:sz w:val="21"/>
                <w:szCs w:val="21"/>
              </w:rPr>
            </w:pPr>
            <w:r>
              <w:rPr>
                <w:b/>
                <w:bCs/>
                <w:sz w:val="21"/>
                <w:szCs w:val="21"/>
              </w:rPr>
              <w:t>2.1.4油基泥浆钻井废气</w:t>
            </w:r>
          </w:p>
          <w:p>
            <w:pPr>
              <w:adjustRightInd w:val="0"/>
              <w:snapToGrid w:val="0"/>
              <w:ind w:firstLine="420"/>
              <w:rPr>
                <w:bCs/>
                <w:sz w:val="21"/>
                <w:szCs w:val="21"/>
              </w:rPr>
            </w:pPr>
            <w:r>
              <w:rPr>
                <w:bCs/>
                <w:sz w:val="21"/>
                <w:szCs w:val="21"/>
              </w:rPr>
              <w:t>油基泥浆钻井废气主要来源于油基泥浆钻井过程、油基岩屑暂时挥发产生的无组织废气。项目钻井作业过程中</w:t>
            </w:r>
            <w:r>
              <w:rPr>
                <w:rFonts w:hint="eastAsia"/>
                <w:bCs/>
                <w:sz w:val="21"/>
                <w:szCs w:val="21"/>
              </w:rPr>
              <w:t>三开井段</w:t>
            </w:r>
            <w:r>
              <w:rPr>
                <w:bCs/>
                <w:sz w:val="21"/>
                <w:szCs w:val="21"/>
              </w:rPr>
              <w:t>使用油基泥浆钻进，油基泥浆主要成分为白油，白油属于烷烃类物质，故其废气主要成分为VOCs。</w:t>
            </w:r>
          </w:p>
          <w:p>
            <w:pPr>
              <w:adjustRightInd w:val="0"/>
              <w:snapToGrid w:val="0"/>
              <w:ind w:firstLine="420"/>
              <w:rPr>
                <w:bCs/>
                <w:sz w:val="21"/>
                <w:szCs w:val="21"/>
              </w:rPr>
            </w:pPr>
            <w:r>
              <w:rPr>
                <w:bCs/>
                <w:sz w:val="21"/>
                <w:szCs w:val="21"/>
              </w:rPr>
              <w:t>钻井过程中使用的油基泥浆不在现场配置，均由厂家配置好后分批次拉运至井场，暂存于现场泥浆循环系统，暂存时间较短，故产生挥发性废气（VOCs）量较小；油基岩屑收集在清洁化操作平台的油基岩屑收集罐内，暂存在固废暂存区内的危废暂存间，暂存时间较短，且储存措施较好，故产生挥发性废气（VOCs）量较小。油基泥浆钻井废气随着钻井工程的完工而结束。</w:t>
            </w:r>
          </w:p>
          <w:p>
            <w:pPr>
              <w:adjustRightInd w:val="0"/>
              <w:snapToGrid w:val="0"/>
              <w:ind w:firstLine="0" w:firstLineChars="0"/>
              <w:rPr>
                <w:b/>
                <w:bCs/>
                <w:sz w:val="21"/>
                <w:szCs w:val="21"/>
              </w:rPr>
            </w:pPr>
            <w:r>
              <w:rPr>
                <w:b/>
                <w:bCs/>
                <w:sz w:val="21"/>
                <w:szCs w:val="21"/>
              </w:rPr>
              <w:t>2.2废水环境影响</w:t>
            </w:r>
          </w:p>
          <w:p>
            <w:pPr>
              <w:adjustRightInd w:val="0"/>
              <w:snapToGrid w:val="0"/>
              <w:ind w:firstLine="420"/>
              <w:rPr>
                <w:bCs/>
                <w:sz w:val="21"/>
                <w:szCs w:val="21"/>
              </w:rPr>
            </w:pPr>
            <w:r>
              <w:rPr>
                <w:bCs/>
                <w:sz w:val="21"/>
                <w:szCs w:val="21"/>
              </w:rPr>
              <w:t>项目严格实施雨污分流，井场四周设置有雨水排水沟，场外雨水随雨水沟排放。</w:t>
            </w:r>
          </w:p>
          <w:p>
            <w:pPr>
              <w:adjustRightInd w:val="0"/>
              <w:snapToGrid w:val="0"/>
              <w:ind w:firstLine="420"/>
              <w:rPr>
                <w:bCs/>
                <w:sz w:val="21"/>
                <w:szCs w:val="21"/>
              </w:rPr>
            </w:pPr>
            <w:r>
              <w:rPr>
                <w:bCs/>
                <w:sz w:val="21"/>
                <w:szCs w:val="21"/>
              </w:rPr>
              <w:t>钻井期间产生的废水主要包括钻井废水、洗井废水、方井雨水、压裂返排废水、和生活污水。</w:t>
            </w:r>
            <w:r>
              <w:rPr>
                <w:rFonts w:hint="eastAsia"/>
                <w:bCs/>
                <w:sz w:val="21"/>
                <w:szCs w:val="21"/>
              </w:rPr>
              <w:t>钻井废水优先回用，不可回用部分拉运至四川鑫泓废水处理厂；方井雨水随钻处理后优先回用于水基泥浆钻井补水，剩余时及时用罐车运至四川鑫泓废水处理厂处理后达标排放；洗井废水暂存于重叠罐内，全部</w:t>
            </w:r>
            <w:r>
              <w:rPr>
                <w:bCs/>
                <w:sz w:val="21"/>
                <w:szCs w:val="21"/>
              </w:rPr>
              <w:t>回用于压裂液配置，压裂返排废水经废水预处系统处理回用于</w:t>
            </w:r>
            <w:r>
              <w:rPr>
                <w:rFonts w:hint="eastAsia"/>
                <w:bCs/>
                <w:sz w:val="21"/>
                <w:szCs w:val="21"/>
              </w:rPr>
              <w:t>探矿区</w:t>
            </w:r>
            <w:r>
              <w:rPr>
                <w:bCs/>
                <w:sz w:val="21"/>
                <w:szCs w:val="21"/>
              </w:rPr>
              <w:t>内其他井场压裂液配置，</w:t>
            </w:r>
            <w:r>
              <w:rPr>
                <w:rFonts w:hint="eastAsia"/>
                <w:bCs/>
                <w:sz w:val="21"/>
                <w:szCs w:val="21"/>
              </w:rPr>
              <w:t>剩余不能回用部分拉运至四川鑫泓废水处理厂达标处置</w:t>
            </w:r>
            <w:r>
              <w:rPr>
                <w:bCs/>
                <w:sz w:val="21"/>
                <w:szCs w:val="21"/>
              </w:rPr>
              <w:t>；</w:t>
            </w:r>
            <w:r>
              <w:rPr>
                <w:rFonts w:hint="eastAsia"/>
                <w:sz w:val="21"/>
                <w:szCs w:val="21"/>
              </w:rPr>
              <w:t>生活污水经旱厕收集后用于周边农田施肥。</w:t>
            </w:r>
          </w:p>
          <w:p>
            <w:pPr>
              <w:adjustRightInd w:val="0"/>
              <w:snapToGrid w:val="0"/>
              <w:ind w:firstLine="422"/>
              <w:rPr>
                <w:b/>
                <w:bCs/>
                <w:sz w:val="21"/>
                <w:szCs w:val="21"/>
              </w:rPr>
            </w:pPr>
            <w:r>
              <w:rPr>
                <w:b/>
                <w:bCs/>
                <w:sz w:val="21"/>
                <w:szCs w:val="21"/>
              </w:rPr>
              <w:t>2.2.1钻井废水</w:t>
            </w:r>
          </w:p>
          <w:p>
            <w:pPr>
              <w:adjustRightInd w:val="0"/>
              <w:snapToGrid w:val="0"/>
              <w:ind w:firstLine="420"/>
              <w:rPr>
                <w:bCs/>
                <w:sz w:val="21"/>
                <w:szCs w:val="21"/>
              </w:rPr>
            </w:pPr>
            <w:r>
              <w:rPr>
                <w:bCs/>
                <w:sz w:val="21"/>
                <w:szCs w:val="21"/>
              </w:rPr>
              <w:t>钻井废水主要来源于清水钻井阶段和水基泥浆钻井阶段产生的岩屑及报废泥浆压滤水。根据区域通过大量钻井数据的统计分析，清水钻井阶段和水基泥浆钻井阶段配浆的总体新鲜水用量约为0.15m</w:t>
            </w:r>
            <w:r>
              <w:rPr>
                <w:bCs/>
                <w:sz w:val="21"/>
                <w:szCs w:val="21"/>
                <w:vertAlign w:val="superscript"/>
              </w:rPr>
              <w:t>3</w:t>
            </w:r>
            <w:r>
              <w:rPr>
                <w:bCs/>
                <w:sz w:val="21"/>
                <w:szCs w:val="21"/>
              </w:rPr>
              <w:t>/m进尺，钻井过程产生的岩屑在压滤过程中将产生压滤水；水基泥浆钻井阶段施工结束后，将对废水基泥浆进行压滤减量化处置，此过程同样将产生压滤水。根据区域大量钻井施工过程汇总经验数据，整个清水钻井阶段和水基泥浆钻井阶段总体产生的压滤水约为0.08m</w:t>
            </w:r>
            <w:r>
              <w:rPr>
                <w:bCs/>
                <w:sz w:val="21"/>
                <w:szCs w:val="21"/>
                <w:vertAlign w:val="superscript"/>
              </w:rPr>
              <w:t>3</w:t>
            </w:r>
            <w:r>
              <w:rPr>
                <w:bCs/>
                <w:sz w:val="21"/>
                <w:szCs w:val="21"/>
              </w:rPr>
              <w:t>/m进尺，</w:t>
            </w:r>
            <w:r>
              <w:rPr>
                <w:rFonts w:hint="eastAsia"/>
                <w:bCs/>
                <w:sz w:val="21"/>
                <w:szCs w:val="21"/>
              </w:rPr>
              <w:t>钻井废水优先回用于本井水基泥浆配置补水（30%），不能回用部分拉运至四川鑫泓废水处理厂达标处置。本项目清水及水基钻井井段长度为</w:t>
            </w:r>
            <w:r>
              <w:rPr>
                <w:bCs/>
                <w:sz w:val="21"/>
                <w:szCs w:val="21"/>
              </w:rPr>
              <w:t>2965</w:t>
            </w:r>
            <w:r>
              <w:rPr>
                <w:rFonts w:hint="eastAsia"/>
                <w:bCs/>
                <w:sz w:val="21"/>
                <w:szCs w:val="21"/>
              </w:rPr>
              <w:t>m，项目新鲜水用量和废水具体产生情况见表4-3，废水水质情况见表4-4。</w:t>
            </w:r>
          </w:p>
          <w:p>
            <w:pPr>
              <w:adjustRightInd w:val="0"/>
              <w:snapToGrid w:val="0"/>
              <w:ind w:firstLine="0" w:firstLineChars="0"/>
              <w:jc w:val="center"/>
              <w:rPr>
                <w:b/>
                <w:bCs/>
                <w:sz w:val="21"/>
                <w:szCs w:val="21"/>
                <w:vertAlign w:val="superscript"/>
              </w:rPr>
            </w:pPr>
            <w:r>
              <w:rPr>
                <w:b/>
                <w:bCs/>
                <w:sz w:val="21"/>
                <w:szCs w:val="21"/>
              </w:rPr>
              <w:t>表4-3  项目钻井阶段水量一览表单位：m</w:t>
            </w:r>
            <w:r>
              <w:rPr>
                <w:b/>
                <w:bCs/>
                <w:sz w:val="21"/>
                <w:szCs w:val="21"/>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198"/>
              <w:gridCol w:w="1106"/>
              <w:gridCol w:w="1274"/>
              <w:gridCol w:w="1208"/>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shd w:val="clear" w:color="auto" w:fill="auto"/>
                  <w:vAlign w:val="center"/>
                </w:tcPr>
                <w:p>
                  <w:pPr>
                    <w:pStyle w:val="57"/>
                  </w:pPr>
                  <w:r>
                    <w:t>井号</w:t>
                  </w:r>
                </w:p>
              </w:tc>
              <w:tc>
                <w:tcPr>
                  <w:tcW w:w="1178" w:type="dxa"/>
                  <w:shd w:val="clear" w:color="auto" w:fill="auto"/>
                  <w:vAlign w:val="center"/>
                </w:tcPr>
                <w:p>
                  <w:pPr>
                    <w:pStyle w:val="57"/>
                  </w:pPr>
                  <w:r>
                    <w:rPr>
                      <w:rFonts w:hint="eastAsia"/>
                    </w:rPr>
                    <w:t>用水量</w:t>
                  </w:r>
                </w:p>
              </w:tc>
              <w:tc>
                <w:tcPr>
                  <w:tcW w:w="1088" w:type="dxa"/>
                  <w:shd w:val="clear" w:color="auto" w:fill="auto"/>
                  <w:vAlign w:val="center"/>
                </w:tcPr>
                <w:p>
                  <w:pPr>
                    <w:pStyle w:val="57"/>
                  </w:pPr>
                  <w:r>
                    <w:rPr>
                      <w:rFonts w:hint="eastAsia"/>
                    </w:rPr>
                    <w:t>废水量</w:t>
                  </w:r>
                </w:p>
              </w:tc>
              <w:tc>
                <w:tcPr>
                  <w:tcW w:w="1253" w:type="dxa"/>
                  <w:shd w:val="clear" w:color="auto" w:fill="auto"/>
                  <w:vAlign w:val="center"/>
                </w:tcPr>
                <w:p>
                  <w:pPr>
                    <w:pStyle w:val="57"/>
                  </w:pPr>
                  <w:r>
                    <w:rPr>
                      <w:rFonts w:hint="eastAsia"/>
                    </w:rPr>
                    <w:t>损耗量</w:t>
                  </w:r>
                </w:p>
              </w:tc>
              <w:tc>
                <w:tcPr>
                  <w:tcW w:w="1188" w:type="dxa"/>
                  <w:shd w:val="clear" w:color="auto" w:fill="auto"/>
                  <w:vAlign w:val="center"/>
                </w:tcPr>
                <w:p>
                  <w:pPr>
                    <w:pStyle w:val="57"/>
                  </w:pPr>
                  <w:r>
                    <w:rPr>
                      <w:rFonts w:hint="eastAsia"/>
                    </w:rPr>
                    <w:t>回用量</w:t>
                  </w:r>
                </w:p>
              </w:tc>
              <w:tc>
                <w:tcPr>
                  <w:tcW w:w="1845" w:type="dxa"/>
                  <w:shd w:val="clear" w:color="auto" w:fill="auto"/>
                  <w:vAlign w:val="center"/>
                </w:tcPr>
                <w:p>
                  <w:pPr>
                    <w:pStyle w:val="57"/>
                  </w:pPr>
                  <w:r>
                    <w:rPr>
                      <w:rFonts w:hint="eastAsia"/>
                    </w:rPr>
                    <w:t>处理量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shd w:val="clear" w:color="auto" w:fill="auto"/>
                  <w:vAlign w:val="center"/>
                </w:tcPr>
                <w:p>
                  <w:pPr>
                    <w:pStyle w:val="57"/>
                  </w:pPr>
                  <w:r>
                    <w:t>平安7井</w:t>
                  </w:r>
                </w:p>
              </w:tc>
              <w:tc>
                <w:tcPr>
                  <w:tcW w:w="1178" w:type="dxa"/>
                  <w:shd w:val="clear" w:color="auto" w:fill="auto"/>
                  <w:vAlign w:val="center"/>
                </w:tcPr>
                <w:p>
                  <w:pPr>
                    <w:pStyle w:val="57"/>
                  </w:pPr>
                  <w:r>
                    <w:rPr>
                      <w:rFonts w:hint="eastAsia"/>
                    </w:rPr>
                    <w:t xml:space="preserve">444.8 </w:t>
                  </w:r>
                </w:p>
              </w:tc>
              <w:tc>
                <w:tcPr>
                  <w:tcW w:w="1088" w:type="dxa"/>
                  <w:shd w:val="clear" w:color="auto" w:fill="auto"/>
                  <w:vAlign w:val="center"/>
                </w:tcPr>
                <w:p>
                  <w:pPr>
                    <w:pStyle w:val="57"/>
                  </w:pPr>
                  <w:r>
                    <w:rPr>
                      <w:rFonts w:hint="eastAsia"/>
                    </w:rPr>
                    <w:t xml:space="preserve">237.2 </w:t>
                  </w:r>
                </w:p>
              </w:tc>
              <w:tc>
                <w:tcPr>
                  <w:tcW w:w="1253" w:type="dxa"/>
                  <w:shd w:val="clear" w:color="auto" w:fill="auto"/>
                  <w:vAlign w:val="center"/>
                </w:tcPr>
                <w:p>
                  <w:pPr>
                    <w:pStyle w:val="57"/>
                  </w:pPr>
                  <w:r>
                    <w:rPr>
                      <w:rFonts w:hint="eastAsia"/>
                    </w:rPr>
                    <w:t xml:space="preserve">207.6 </w:t>
                  </w:r>
                </w:p>
              </w:tc>
              <w:tc>
                <w:tcPr>
                  <w:tcW w:w="1188" w:type="dxa"/>
                  <w:shd w:val="clear" w:color="auto" w:fill="auto"/>
                  <w:vAlign w:val="center"/>
                </w:tcPr>
                <w:p>
                  <w:pPr>
                    <w:pStyle w:val="57"/>
                  </w:pPr>
                  <w:r>
                    <w:rPr>
                      <w:rFonts w:hint="eastAsia"/>
                    </w:rPr>
                    <w:t xml:space="preserve">71.2 </w:t>
                  </w:r>
                </w:p>
              </w:tc>
              <w:tc>
                <w:tcPr>
                  <w:tcW w:w="1845" w:type="dxa"/>
                  <w:shd w:val="clear" w:color="auto" w:fill="auto"/>
                  <w:vAlign w:val="center"/>
                </w:tcPr>
                <w:p>
                  <w:pPr>
                    <w:pStyle w:val="57"/>
                  </w:pPr>
                  <w:r>
                    <w:rPr>
                      <w:rFonts w:hint="eastAsia"/>
                    </w:rPr>
                    <w:t xml:space="preserve">166.0 </w:t>
                  </w:r>
                </w:p>
              </w:tc>
            </w:tr>
          </w:tbl>
          <w:p>
            <w:pPr>
              <w:adjustRightInd w:val="0"/>
              <w:snapToGrid w:val="0"/>
              <w:ind w:firstLine="0" w:firstLineChars="0"/>
              <w:jc w:val="center"/>
              <w:rPr>
                <w:b/>
                <w:bCs/>
                <w:sz w:val="21"/>
                <w:szCs w:val="21"/>
              </w:rPr>
            </w:pPr>
            <w:r>
              <w:rPr>
                <w:b/>
                <w:bCs/>
                <w:sz w:val="21"/>
                <w:szCs w:val="21"/>
              </w:rPr>
              <w:t>表4-4  钻井废水水质情况</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0"/>
              <w:gridCol w:w="1216"/>
              <w:gridCol w:w="1081"/>
              <w:gridCol w:w="1081"/>
              <w:gridCol w:w="10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41" w:type="pct"/>
                  <w:vMerge w:val="restart"/>
                  <w:tcBorders>
                    <w:top w:val="single" w:color="auto" w:sz="4" w:space="0"/>
                    <w:left w:val="single" w:color="auto" w:sz="4" w:space="0"/>
                    <w:bottom w:val="single" w:color="auto" w:sz="4" w:space="0"/>
                    <w:right w:val="single" w:color="auto" w:sz="4" w:space="0"/>
                  </w:tcBorders>
                  <w:vAlign w:val="center"/>
                </w:tcPr>
                <w:p>
                  <w:pPr>
                    <w:pStyle w:val="57"/>
                    <w:rPr>
                      <w:b/>
                    </w:rPr>
                  </w:pPr>
                  <w:r>
                    <w:rPr>
                      <w:b/>
                    </w:rPr>
                    <w:t>废水种类</w:t>
                  </w:r>
                </w:p>
              </w:tc>
              <w:tc>
                <w:tcPr>
                  <w:tcW w:w="3259" w:type="pct"/>
                  <w:gridSpan w:val="5"/>
                  <w:tcBorders>
                    <w:top w:val="single" w:color="auto" w:sz="4" w:space="0"/>
                    <w:left w:val="single" w:color="auto" w:sz="4" w:space="0"/>
                    <w:bottom w:val="single" w:color="auto" w:sz="4" w:space="0"/>
                    <w:right w:val="single" w:color="auto" w:sz="4" w:space="0"/>
                  </w:tcBorders>
                  <w:vAlign w:val="center"/>
                </w:tcPr>
                <w:p>
                  <w:pPr>
                    <w:pStyle w:val="57"/>
                    <w:rPr>
                      <w:b/>
                    </w:rPr>
                  </w:pPr>
                  <w:r>
                    <w:rPr>
                      <w:b/>
                    </w:rPr>
                    <w:t>主要污染物浓度（单位mg/L，pH无量纲）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41" w:type="pct"/>
                  <w:vMerge w:val="continue"/>
                  <w:tcBorders>
                    <w:top w:val="single" w:color="auto" w:sz="4" w:space="0"/>
                    <w:left w:val="single" w:color="auto" w:sz="4" w:space="0"/>
                    <w:bottom w:val="single" w:color="auto" w:sz="4" w:space="0"/>
                    <w:right w:val="single" w:color="auto" w:sz="4" w:space="0"/>
                  </w:tcBorders>
                  <w:vAlign w:val="center"/>
                </w:tcPr>
                <w:p>
                  <w:pPr>
                    <w:pStyle w:val="57"/>
                    <w:rPr>
                      <w:b/>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pH</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COD</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石油类</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SS</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41" w:type="pct"/>
                  <w:tcBorders>
                    <w:top w:val="single" w:color="auto" w:sz="4" w:space="0"/>
                    <w:left w:val="single" w:color="auto" w:sz="4" w:space="0"/>
                    <w:bottom w:val="single" w:color="auto" w:sz="4" w:space="0"/>
                    <w:right w:val="single" w:color="auto" w:sz="4" w:space="0"/>
                  </w:tcBorders>
                  <w:vAlign w:val="center"/>
                </w:tcPr>
                <w:p>
                  <w:pPr>
                    <w:pStyle w:val="57"/>
                  </w:pPr>
                  <w:r>
                    <w:t>清水钻进后的废水</w:t>
                  </w:r>
                </w:p>
              </w:tc>
              <w:tc>
                <w:tcPr>
                  <w:tcW w:w="715" w:type="pct"/>
                  <w:tcBorders>
                    <w:top w:val="single" w:color="auto" w:sz="4" w:space="0"/>
                    <w:left w:val="single" w:color="auto" w:sz="4" w:space="0"/>
                    <w:bottom w:val="single" w:color="auto" w:sz="4" w:space="0"/>
                    <w:right w:val="single" w:color="auto" w:sz="4" w:space="0"/>
                  </w:tcBorders>
                  <w:vAlign w:val="center"/>
                </w:tcPr>
                <w:p>
                  <w:pPr>
                    <w:pStyle w:val="57"/>
                  </w:pPr>
                  <w:r>
                    <w:t>6.5~9.0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≤800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≤5</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≤2000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41" w:type="pct"/>
                  <w:tcBorders>
                    <w:top w:val="single" w:color="auto" w:sz="4" w:space="0"/>
                    <w:left w:val="single" w:color="auto" w:sz="4" w:space="0"/>
                    <w:bottom w:val="single" w:color="auto" w:sz="4" w:space="0"/>
                    <w:right w:val="single" w:color="auto" w:sz="4" w:space="0"/>
                  </w:tcBorders>
                  <w:vAlign w:val="center"/>
                </w:tcPr>
                <w:p>
                  <w:pPr>
                    <w:pStyle w:val="57"/>
                  </w:pPr>
                  <w:r>
                    <w:t>水基钻井液钻进后废水</w:t>
                  </w:r>
                </w:p>
              </w:tc>
              <w:tc>
                <w:tcPr>
                  <w:tcW w:w="715" w:type="pct"/>
                  <w:tcBorders>
                    <w:top w:val="single" w:color="auto" w:sz="4" w:space="0"/>
                    <w:left w:val="single" w:color="auto" w:sz="4" w:space="0"/>
                    <w:bottom w:val="single" w:color="auto" w:sz="4" w:space="0"/>
                    <w:right w:val="single" w:color="auto" w:sz="4" w:space="0"/>
                  </w:tcBorders>
                  <w:vAlign w:val="center"/>
                </w:tcPr>
                <w:p>
                  <w:pPr>
                    <w:pStyle w:val="57"/>
                  </w:pPr>
                  <w:r>
                    <w:t>10~11</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≤5000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≤30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≤2500</w:t>
                  </w:r>
                </w:p>
              </w:tc>
              <w:tc>
                <w:tcPr>
                  <w:tcW w:w="636" w:type="pct"/>
                  <w:tcBorders>
                    <w:top w:val="single" w:color="auto" w:sz="4" w:space="0"/>
                    <w:left w:val="single" w:color="auto" w:sz="4" w:space="0"/>
                    <w:bottom w:val="single" w:color="auto" w:sz="4" w:space="0"/>
                    <w:right w:val="single" w:color="auto" w:sz="4" w:space="0"/>
                  </w:tcBorders>
                  <w:vAlign w:val="center"/>
                </w:tcPr>
                <w:p>
                  <w:pPr>
                    <w:pStyle w:val="57"/>
                  </w:pPr>
                  <w:r>
                    <w:t>≤3000</w:t>
                  </w:r>
                </w:p>
              </w:tc>
            </w:tr>
          </w:tbl>
          <w:p>
            <w:pPr>
              <w:adjustRightInd w:val="0"/>
              <w:snapToGrid w:val="0"/>
              <w:ind w:firstLine="422"/>
              <w:rPr>
                <w:b/>
                <w:bCs/>
                <w:snapToGrid w:val="0"/>
                <w:kern w:val="0"/>
                <w:sz w:val="21"/>
                <w:szCs w:val="21"/>
              </w:rPr>
            </w:pPr>
            <w:r>
              <w:rPr>
                <w:rFonts w:hint="eastAsia"/>
                <w:b/>
                <w:bCs/>
                <w:snapToGrid w:val="0"/>
                <w:kern w:val="0"/>
                <w:sz w:val="21"/>
                <w:szCs w:val="21"/>
              </w:rPr>
              <w:t>2.2.</w:t>
            </w:r>
            <w:r>
              <w:rPr>
                <w:b/>
                <w:bCs/>
                <w:snapToGrid w:val="0"/>
                <w:kern w:val="0"/>
                <w:sz w:val="21"/>
                <w:szCs w:val="21"/>
              </w:rPr>
              <w:t>2</w:t>
            </w:r>
            <w:r>
              <w:rPr>
                <w:rFonts w:hint="eastAsia"/>
                <w:b/>
                <w:bCs/>
                <w:snapToGrid w:val="0"/>
                <w:kern w:val="0"/>
                <w:sz w:val="21"/>
                <w:szCs w:val="21"/>
              </w:rPr>
              <w:t>方井雨水</w:t>
            </w:r>
          </w:p>
          <w:p>
            <w:pPr>
              <w:adjustRightInd w:val="0"/>
              <w:snapToGrid w:val="0"/>
              <w:ind w:firstLine="420"/>
              <w:rPr>
                <w:bCs/>
                <w:snapToGrid w:val="0"/>
                <w:kern w:val="0"/>
                <w:sz w:val="21"/>
                <w:szCs w:val="21"/>
              </w:rPr>
            </w:pPr>
            <w:r>
              <w:rPr>
                <w:rFonts w:hint="eastAsia"/>
                <w:bCs/>
                <w:snapToGrid w:val="0"/>
                <w:kern w:val="0"/>
                <w:sz w:val="21"/>
                <w:szCs w:val="21"/>
              </w:rPr>
              <w:t>由于拟建项目井场采用清污分流制，雨水依靠井场设置的地面坡度，就地散排至井场四周设置的排水沟，排出场外；井场设置有污水截流沟，截留井场散落的污水，截流沟中的污水泵入废水罐中，以避免进入雨水排水系统。且井场</w:t>
            </w:r>
            <w:r>
              <w:rPr>
                <w:rFonts w:hint="eastAsia"/>
                <w:snapToGrid w:val="0"/>
                <w:kern w:val="0"/>
                <w:sz w:val="21"/>
                <w:szCs w:val="21"/>
              </w:rPr>
              <w:t>循环系统及泵房基础区域</w:t>
            </w:r>
            <w:r>
              <w:rPr>
                <w:rFonts w:hint="eastAsia" w:hAnsi="宋体"/>
                <w:snapToGrid w:val="0"/>
                <w:kern w:val="0"/>
                <w:sz w:val="21"/>
                <w:szCs w:val="21"/>
              </w:rPr>
              <w:t>设挡雨棚</w:t>
            </w:r>
            <w:r>
              <w:rPr>
                <w:rFonts w:hint="eastAsia"/>
                <w:bCs/>
                <w:snapToGrid w:val="0"/>
                <w:kern w:val="0"/>
                <w:sz w:val="21"/>
                <w:szCs w:val="21"/>
              </w:rPr>
              <w:t>，因此</w:t>
            </w:r>
            <w:r>
              <w:rPr>
                <w:rFonts w:hint="eastAsia"/>
                <w:snapToGrid w:val="0"/>
                <w:kern w:val="0"/>
                <w:sz w:val="21"/>
                <w:szCs w:val="21"/>
              </w:rPr>
              <w:t>循环系统及泵房基础区域</w:t>
            </w:r>
            <w:r>
              <w:rPr>
                <w:rFonts w:hint="eastAsia"/>
                <w:bCs/>
                <w:snapToGrid w:val="0"/>
                <w:kern w:val="0"/>
                <w:sz w:val="21"/>
                <w:szCs w:val="21"/>
              </w:rPr>
              <w:t>的雨水由挡雨棚汇集后进入场内清水沟，经隔油池后排出场外。仅方井架基础、机房基础区域的雨水收集在方井内，通过污水泵泵入废水罐中，优先回用于水基泥浆钻井补水，不可回用部分由罐车运至</w:t>
            </w:r>
            <w:r>
              <w:rPr>
                <w:rFonts w:hint="eastAsia"/>
                <w:snapToGrid w:val="0"/>
                <w:kern w:val="0"/>
                <w:sz w:val="21"/>
                <w:szCs w:val="21"/>
              </w:rPr>
              <w:t>四川鑫泓废水处理厂</w:t>
            </w:r>
            <w:r>
              <w:rPr>
                <w:rFonts w:hint="eastAsia"/>
                <w:bCs/>
                <w:snapToGrid w:val="0"/>
                <w:kern w:val="0"/>
                <w:sz w:val="21"/>
                <w:szCs w:val="21"/>
              </w:rPr>
              <w:t>处理后达标排放。</w:t>
            </w:r>
          </w:p>
          <w:p>
            <w:pPr>
              <w:ind w:firstLine="420"/>
              <w:rPr>
                <w:snapToGrid w:val="0"/>
                <w:kern w:val="0"/>
                <w:sz w:val="21"/>
                <w:szCs w:val="21"/>
              </w:rPr>
            </w:pPr>
            <w:r>
              <w:rPr>
                <w:rFonts w:hint="eastAsia"/>
                <w:bCs/>
                <w:snapToGrid w:val="0"/>
                <w:kern w:val="0"/>
                <w:sz w:val="21"/>
                <w:szCs w:val="21"/>
              </w:rPr>
              <w:t>根据达州市通川区气象资料，通川区年均降雨量为</w:t>
            </w:r>
            <w:r>
              <w:rPr>
                <w:bCs/>
                <w:snapToGrid w:val="0"/>
                <w:kern w:val="0"/>
                <w:sz w:val="21"/>
                <w:szCs w:val="21"/>
              </w:rPr>
              <w:t>1211.4</w:t>
            </w:r>
            <w:r>
              <w:rPr>
                <w:rFonts w:hint="eastAsia"/>
                <w:snapToGrid w:val="0"/>
                <w:kern w:val="0"/>
                <w:sz w:val="21"/>
                <w:szCs w:val="21"/>
              </w:rPr>
              <w:t>mm</w:t>
            </w:r>
            <w:r>
              <w:rPr>
                <w:rFonts w:hint="eastAsia"/>
                <w:bCs/>
                <w:snapToGrid w:val="0"/>
                <w:kern w:val="0"/>
                <w:sz w:val="21"/>
                <w:szCs w:val="21"/>
              </w:rPr>
              <w:t>，结合拟建项目井场未搭棚污染区占地（</w:t>
            </w:r>
            <w:r>
              <w:rPr>
                <w:bCs/>
                <w:snapToGrid w:val="0"/>
                <w:kern w:val="0"/>
                <w:sz w:val="21"/>
                <w:szCs w:val="21"/>
              </w:rPr>
              <w:t>1150</w:t>
            </w:r>
            <w:r>
              <w:rPr>
                <w:rFonts w:hint="eastAsia"/>
                <w:bCs/>
                <w:snapToGrid w:val="0"/>
                <w:kern w:val="0"/>
                <w:sz w:val="21"/>
                <w:szCs w:val="21"/>
              </w:rPr>
              <w:t>m</w:t>
            </w:r>
            <w:r>
              <w:rPr>
                <w:rFonts w:hint="eastAsia"/>
                <w:bCs/>
                <w:snapToGrid w:val="0"/>
                <w:kern w:val="0"/>
                <w:sz w:val="21"/>
                <w:szCs w:val="21"/>
                <w:vertAlign w:val="superscript"/>
              </w:rPr>
              <w:t>2</w:t>
            </w:r>
            <w:r>
              <w:rPr>
                <w:rFonts w:hint="eastAsia"/>
                <w:bCs/>
                <w:snapToGrid w:val="0"/>
                <w:kern w:val="0"/>
                <w:sz w:val="21"/>
                <w:szCs w:val="21"/>
              </w:rPr>
              <w:t>）、施工时间（钻井工程</w:t>
            </w:r>
            <w:r>
              <w:rPr>
                <w:bCs/>
                <w:snapToGrid w:val="0"/>
                <w:kern w:val="0"/>
                <w:sz w:val="21"/>
                <w:szCs w:val="21"/>
              </w:rPr>
              <w:t>3</w:t>
            </w:r>
            <w:r>
              <w:rPr>
                <w:rFonts w:hint="eastAsia"/>
                <w:bCs/>
                <w:snapToGrid w:val="0"/>
                <w:kern w:val="0"/>
                <w:sz w:val="21"/>
                <w:szCs w:val="21"/>
              </w:rPr>
              <w:t>个月）计算，本项目方井雨水量约为</w:t>
            </w:r>
            <w:r>
              <w:rPr>
                <w:bCs/>
                <w:snapToGrid w:val="0"/>
                <w:kern w:val="0"/>
                <w:sz w:val="21"/>
                <w:szCs w:val="21"/>
              </w:rPr>
              <w:t>348.3</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。方井雨水定期通过污水泵泵入废水罐中处理优先回用于水基泥浆钻井补水，不能回用时外运</w:t>
            </w:r>
            <w:r>
              <w:rPr>
                <w:rFonts w:hint="eastAsia"/>
                <w:snapToGrid w:val="0"/>
                <w:kern w:val="0"/>
                <w:sz w:val="21"/>
                <w:szCs w:val="21"/>
              </w:rPr>
              <w:t>四川鑫泓废水处理厂</w:t>
            </w:r>
            <w:r>
              <w:rPr>
                <w:rFonts w:hint="eastAsia"/>
                <w:bCs/>
                <w:snapToGrid w:val="0"/>
                <w:kern w:val="0"/>
                <w:sz w:val="21"/>
                <w:szCs w:val="21"/>
              </w:rPr>
              <w:t>处理后达标排放。结合拟建项目特征，方井雨水主要污染物为SS和石油类，产生浓度分别为200mg/L和20mg/L。</w:t>
            </w:r>
          </w:p>
          <w:p>
            <w:pPr>
              <w:adjustRightInd w:val="0"/>
              <w:snapToGrid w:val="0"/>
              <w:ind w:firstLine="420"/>
              <w:rPr>
                <w:b/>
                <w:bCs/>
                <w:sz w:val="21"/>
                <w:szCs w:val="21"/>
              </w:rPr>
            </w:pPr>
            <w:r>
              <w:rPr>
                <w:rFonts w:hint="eastAsia"/>
                <w:bCs/>
                <w:snapToGrid w:val="0"/>
                <w:kern w:val="0"/>
                <w:sz w:val="21"/>
                <w:szCs w:val="21"/>
              </w:rPr>
              <w:t>井场分为清洁区和污染区，通过挡水墙隔离。清洁区雨水通过场地四周隔油池处理后外排自然水系。油罐区设置1座4m</w:t>
            </w:r>
            <w:r>
              <w:rPr>
                <w:rFonts w:hint="eastAsia"/>
                <w:bCs/>
                <w:snapToGrid w:val="0"/>
                <w:kern w:val="0"/>
                <w:sz w:val="21"/>
                <w:szCs w:val="21"/>
                <w:vertAlign w:val="superscript"/>
              </w:rPr>
              <w:t>3</w:t>
            </w:r>
            <w:r>
              <w:rPr>
                <w:rFonts w:hint="eastAsia"/>
                <w:bCs/>
                <w:snapToGrid w:val="0"/>
                <w:kern w:val="0"/>
                <w:sz w:val="21"/>
                <w:szCs w:val="21"/>
              </w:rPr>
              <w:t>隔油池处理排入自然水系。</w:t>
            </w:r>
          </w:p>
          <w:p>
            <w:pPr>
              <w:adjustRightInd w:val="0"/>
              <w:snapToGrid w:val="0"/>
              <w:ind w:firstLine="422"/>
              <w:rPr>
                <w:b/>
                <w:bCs/>
                <w:sz w:val="21"/>
                <w:szCs w:val="21"/>
              </w:rPr>
            </w:pPr>
            <w:r>
              <w:rPr>
                <w:b/>
                <w:bCs/>
                <w:sz w:val="21"/>
                <w:szCs w:val="21"/>
              </w:rPr>
              <w:t>2.2.3洗井废水</w:t>
            </w:r>
          </w:p>
          <w:p>
            <w:pPr>
              <w:adjustRightInd w:val="0"/>
              <w:snapToGrid w:val="0"/>
              <w:ind w:firstLine="420"/>
              <w:rPr>
                <w:bCs/>
                <w:sz w:val="21"/>
                <w:szCs w:val="21"/>
              </w:rPr>
            </w:pPr>
            <w:r>
              <w:rPr>
                <w:bCs/>
                <w:sz w:val="21"/>
                <w:szCs w:val="21"/>
              </w:rPr>
              <w:t>进行洗井时，采用清水对套管进行清洗；</w:t>
            </w:r>
            <w:r>
              <w:rPr>
                <w:rFonts w:hint="eastAsia"/>
                <w:bCs/>
                <w:snapToGrid w:val="0"/>
                <w:kern w:val="0"/>
                <w:sz w:val="21"/>
                <w:szCs w:val="21"/>
              </w:rPr>
              <w:t>根据西南地区同类钻井工程运行经验，洗井所需清水量约为</w:t>
            </w:r>
            <w:r>
              <w:rPr>
                <w:bCs/>
                <w:snapToGrid w:val="0"/>
                <w:kern w:val="0"/>
                <w:sz w:val="21"/>
                <w:szCs w:val="21"/>
              </w:rPr>
              <w:t>200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，产污系数按0</w:t>
            </w:r>
            <w:r>
              <w:rPr>
                <w:bCs/>
                <w:snapToGrid w:val="0"/>
                <w:kern w:val="0"/>
                <w:sz w:val="21"/>
                <w:szCs w:val="21"/>
              </w:rPr>
              <w:t>.9计，则洗井废水产生量约为</w:t>
            </w:r>
            <w:r>
              <w:rPr>
                <w:rFonts w:hint="eastAsia"/>
                <w:bCs/>
                <w:snapToGrid w:val="0"/>
                <w:kern w:val="0"/>
                <w:sz w:val="21"/>
                <w:szCs w:val="21"/>
              </w:rPr>
              <w:t>1</w:t>
            </w:r>
            <w:r>
              <w:rPr>
                <w:bCs/>
                <w:snapToGrid w:val="0"/>
                <w:kern w:val="0"/>
                <w:sz w:val="21"/>
                <w:szCs w:val="21"/>
              </w:rPr>
              <w:t>80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，洗井废水返排至重叠罐中暂存，回用于压裂液配置。类比西南底图同类钻井工程洗井废水产生情况，本项目洗井作业产生的废水水质情况见表4-</w:t>
            </w:r>
            <w:r>
              <w:rPr>
                <w:bCs/>
                <w:snapToGrid w:val="0"/>
                <w:kern w:val="0"/>
                <w:sz w:val="21"/>
                <w:szCs w:val="21"/>
              </w:rPr>
              <w:t>5</w:t>
            </w:r>
            <w:r>
              <w:rPr>
                <w:rFonts w:hint="eastAsia"/>
                <w:bCs/>
                <w:snapToGrid w:val="0"/>
                <w:kern w:val="0"/>
                <w:sz w:val="21"/>
                <w:szCs w:val="21"/>
              </w:rPr>
              <w:t>。</w:t>
            </w:r>
          </w:p>
          <w:p>
            <w:pPr>
              <w:adjustRightInd w:val="0"/>
              <w:snapToGrid w:val="0"/>
              <w:ind w:firstLine="0" w:firstLineChars="0"/>
              <w:jc w:val="center"/>
              <w:rPr>
                <w:b/>
                <w:bCs/>
                <w:sz w:val="21"/>
                <w:szCs w:val="21"/>
              </w:rPr>
            </w:pPr>
            <w:r>
              <w:rPr>
                <w:b/>
                <w:bCs/>
                <w:sz w:val="21"/>
                <w:szCs w:val="21"/>
              </w:rPr>
              <w:t>表4-5  洗井作业废水产生情况统计</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2012"/>
              <w:gridCol w:w="1367"/>
              <w:gridCol w:w="1257"/>
              <w:gridCol w:w="1418"/>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tcBorders>
                    <w:top w:val="single" w:color="auto" w:sz="4" w:space="0"/>
                    <w:left w:val="single" w:color="auto" w:sz="4" w:space="0"/>
                    <w:bottom w:val="single" w:color="auto" w:sz="4" w:space="0"/>
                    <w:right w:val="single" w:color="auto" w:sz="4" w:space="0"/>
                  </w:tcBorders>
                  <w:vAlign w:val="center"/>
                </w:tcPr>
                <w:p>
                  <w:pPr>
                    <w:pStyle w:val="57"/>
                  </w:pPr>
                  <w:r>
                    <w:rPr>
                      <w:rFonts w:hint="eastAsia"/>
                    </w:rPr>
                    <w:t>废水种类</w:t>
                  </w:r>
                </w:p>
              </w:tc>
              <w:tc>
                <w:tcPr>
                  <w:tcW w:w="1183" w:type="pct"/>
                  <w:vMerge w:val="restart"/>
                  <w:tcBorders>
                    <w:top w:val="single" w:color="auto" w:sz="4" w:space="0"/>
                    <w:left w:val="single" w:color="auto" w:sz="4" w:space="0"/>
                    <w:bottom w:val="single" w:color="auto" w:sz="4" w:space="0"/>
                    <w:right w:val="single" w:color="auto" w:sz="4" w:space="0"/>
                  </w:tcBorders>
                  <w:vAlign w:val="center"/>
                </w:tcPr>
                <w:p>
                  <w:pPr>
                    <w:pStyle w:val="57"/>
                  </w:pPr>
                  <w:r>
                    <w:rPr>
                      <w:rFonts w:hint="eastAsia"/>
                    </w:rPr>
                    <w:t>产生量（</w:t>
                  </w:r>
                  <w:r>
                    <w:t>m</w:t>
                  </w:r>
                  <w:r>
                    <w:rPr>
                      <w:vertAlign w:val="superscript"/>
                    </w:rPr>
                    <w:t>3</w:t>
                  </w:r>
                  <w:r>
                    <w:rPr>
                      <w:rFonts w:hint="eastAsia"/>
                    </w:rPr>
                    <w:t>）</w:t>
                  </w:r>
                </w:p>
              </w:tc>
              <w:tc>
                <w:tcPr>
                  <w:tcW w:w="3116" w:type="pct"/>
                  <w:gridSpan w:val="4"/>
                  <w:tcBorders>
                    <w:top w:val="single" w:color="auto" w:sz="4" w:space="0"/>
                    <w:left w:val="single" w:color="auto" w:sz="4" w:space="0"/>
                    <w:bottom w:val="single" w:color="auto" w:sz="4" w:space="0"/>
                    <w:right w:val="single" w:color="auto" w:sz="4" w:space="0"/>
                  </w:tcBorders>
                  <w:vAlign w:val="center"/>
                </w:tcPr>
                <w:p>
                  <w:pPr>
                    <w:pStyle w:val="57"/>
                  </w:pPr>
                  <w:r>
                    <w:rPr>
                      <w:rFonts w:hint="eastAsia"/>
                    </w:rPr>
                    <w:t>主要污染物浓度</w:t>
                  </w:r>
                  <w:r>
                    <w:t>mg/L</w:t>
                  </w:r>
                  <w:r>
                    <w:rPr>
                      <w:rFonts w:hint="eastAsia"/>
                    </w:rPr>
                    <w:t>（</w:t>
                  </w:r>
                  <w:r>
                    <w:t>pH</w:t>
                  </w:r>
                  <w:r>
                    <w:rPr>
                      <w:rFonts w:hint="eastAsia"/>
                    </w:rPr>
                    <w:t>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1183" w:type="pct"/>
                  <w:vMerge w:val="continue"/>
                  <w:tcBorders>
                    <w:top w:val="single" w:color="auto" w:sz="4" w:space="0"/>
                    <w:left w:val="single" w:color="auto" w:sz="4" w:space="0"/>
                    <w:bottom w:val="single" w:color="auto" w:sz="4" w:space="0"/>
                    <w:right w:val="single" w:color="auto" w:sz="4" w:space="0"/>
                  </w:tcBorders>
                  <w:vAlign w:val="center"/>
                </w:tcPr>
                <w:p>
                  <w:pPr>
                    <w:pStyle w:val="57"/>
                  </w:pPr>
                </w:p>
              </w:tc>
              <w:tc>
                <w:tcPr>
                  <w:tcW w:w="804" w:type="pct"/>
                  <w:tcBorders>
                    <w:top w:val="single" w:color="auto" w:sz="4" w:space="0"/>
                    <w:left w:val="single" w:color="auto" w:sz="4" w:space="0"/>
                    <w:bottom w:val="single" w:color="auto" w:sz="4" w:space="0"/>
                    <w:right w:val="single" w:color="auto" w:sz="4" w:space="0"/>
                  </w:tcBorders>
                  <w:vAlign w:val="center"/>
                </w:tcPr>
                <w:p>
                  <w:pPr>
                    <w:pStyle w:val="57"/>
                  </w:pPr>
                  <w:r>
                    <w:t>pH</w:t>
                  </w:r>
                </w:p>
              </w:tc>
              <w:tc>
                <w:tcPr>
                  <w:tcW w:w="739" w:type="pct"/>
                  <w:tcBorders>
                    <w:top w:val="single" w:color="auto" w:sz="4" w:space="0"/>
                    <w:left w:val="single" w:color="auto" w:sz="4" w:space="0"/>
                    <w:bottom w:val="single" w:color="auto" w:sz="4" w:space="0"/>
                    <w:right w:val="single" w:color="auto" w:sz="4" w:space="0"/>
                  </w:tcBorders>
                  <w:vAlign w:val="center"/>
                </w:tcPr>
                <w:p>
                  <w:pPr>
                    <w:pStyle w:val="57"/>
                  </w:pPr>
                  <w:r>
                    <w:t>COD</w:t>
                  </w:r>
                </w:p>
              </w:tc>
              <w:tc>
                <w:tcPr>
                  <w:tcW w:w="834" w:type="pct"/>
                  <w:tcBorders>
                    <w:top w:val="single" w:color="auto" w:sz="4" w:space="0"/>
                    <w:left w:val="single" w:color="auto" w:sz="4" w:space="0"/>
                    <w:bottom w:val="single" w:color="auto" w:sz="4" w:space="0"/>
                    <w:right w:val="single" w:color="auto" w:sz="4" w:space="0"/>
                  </w:tcBorders>
                  <w:vAlign w:val="center"/>
                </w:tcPr>
                <w:p>
                  <w:pPr>
                    <w:pStyle w:val="57"/>
                  </w:pPr>
                  <w:r>
                    <w:rPr>
                      <w:rFonts w:hint="eastAsia"/>
                    </w:rPr>
                    <w:t>石油类</w:t>
                  </w:r>
                </w:p>
              </w:tc>
              <w:tc>
                <w:tcPr>
                  <w:tcW w:w="739" w:type="pct"/>
                  <w:tcBorders>
                    <w:top w:val="single" w:color="auto" w:sz="4" w:space="0"/>
                    <w:left w:val="single" w:color="auto" w:sz="4" w:space="0"/>
                    <w:bottom w:val="single" w:color="auto" w:sz="4" w:space="0"/>
                    <w:right w:val="single" w:color="auto" w:sz="4" w:space="0"/>
                  </w:tcBorders>
                  <w:vAlign w:val="center"/>
                </w:tcPr>
                <w:p>
                  <w:pPr>
                    <w:pStyle w:val="57"/>
                  </w:pPr>
                  <w: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tcBorders>
                    <w:top w:val="single" w:color="auto" w:sz="4" w:space="0"/>
                    <w:left w:val="single" w:color="auto" w:sz="4" w:space="0"/>
                    <w:bottom w:val="single" w:color="auto" w:sz="4" w:space="0"/>
                    <w:right w:val="single" w:color="auto" w:sz="4" w:space="0"/>
                  </w:tcBorders>
                  <w:vAlign w:val="center"/>
                </w:tcPr>
                <w:p>
                  <w:pPr>
                    <w:pStyle w:val="57"/>
                  </w:pPr>
                  <w:r>
                    <w:rPr>
                      <w:rFonts w:hint="eastAsia"/>
                    </w:rPr>
                    <w:t>洗井废水</w:t>
                  </w:r>
                </w:p>
              </w:tc>
              <w:tc>
                <w:tcPr>
                  <w:tcW w:w="1183" w:type="pct"/>
                  <w:tcBorders>
                    <w:top w:val="single" w:color="auto" w:sz="4" w:space="0"/>
                    <w:left w:val="single" w:color="auto" w:sz="4" w:space="0"/>
                    <w:right w:val="single" w:color="auto" w:sz="4" w:space="0"/>
                  </w:tcBorders>
                  <w:vAlign w:val="center"/>
                </w:tcPr>
                <w:p>
                  <w:pPr>
                    <w:pStyle w:val="57"/>
                  </w:pPr>
                  <w:r>
                    <w:t>180</w:t>
                  </w:r>
                </w:p>
              </w:tc>
              <w:tc>
                <w:tcPr>
                  <w:tcW w:w="804" w:type="pct"/>
                  <w:tcBorders>
                    <w:top w:val="single" w:color="auto" w:sz="4" w:space="0"/>
                    <w:left w:val="single" w:color="auto" w:sz="4" w:space="0"/>
                    <w:bottom w:val="single" w:color="auto" w:sz="4" w:space="0"/>
                    <w:right w:val="single" w:color="auto" w:sz="4" w:space="0"/>
                  </w:tcBorders>
                  <w:vAlign w:val="center"/>
                </w:tcPr>
                <w:p>
                  <w:pPr>
                    <w:pStyle w:val="57"/>
                  </w:pPr>
                  <w:r>
                    <w:t>6.5~8.0</w:t>
                  </w:r>
                </w:p>
              </w:tc>
              <w:tc>
                <w:tcPr>
                  <w:tcW w:w="739" w:type="pct"/>
                  <w:tcBorders>
                    <w:top w:val="single" w:color="auto" w:sz="4" w:space="0"/>
                    <w:left w:val="single" w:color="auto" w:sz="4" w:space="0"/>
                    <w:bottom w:val="single" w:color="auto" w:sz="4" w:space="0"/>
                    <w:right w:val="single" w:color="auto" w:sz="4" w:space="0"/>
                  </w:tcBorders>
                  <w:vAlign w:val="center"/>
                </w:tcPr>
                <w:p>
                  <w:pPr>
                    <w:pStyle w:val="57"/>
                  </w:pPr>
                  <w:r>
                    <w:t>≤2500</w:t>
                  </w:r>
                </w:p>
              </w:tc>
              <w:tc>
                <w:tcPr>
                  <w:tcW w:w="834" w:type="pct"/>
                  <w:tcBorders>
                    <w:top w:val="single" w:color="auto" w:sz="4" w:space="0"/>
                    <w:left w:val="single" w:color="auto" w:sz="4" w:space="0"/>
                    <w:bottom w:val="single" w:color="auto" w:sz="4" w:space="0"/>
                    <w:right w:val="single" w:color="auto" w:sz="4" w:space="0"/>
                  </w:tcBorders>
                  <w:vAlign w:val="center"/>
                </w:tcPr>
                <w:p>
                  <w:pPr>
                    <w:pStyle w:val="57"/>
                  </w:pPr>
                  <w:r>
                    <w:t>≤100</w:t>
                  </w:r>
                </w:p>
              </w:tc>
              <w:tc>
                <w:tcPr>
                  <w:tcW w:w="739" w:type="pct"/>
                  <w:tcBorders>
                    <w:top w:val="single" w:color="auto" w:sz="4" w:space="0"/>
                    <w:left w:val="single" w:color="auto" w:sz="4" w:space="0"/>
                    <w:bottom w:val="single" w:color="auto" w:sz="4" w:space="0"/>
                    <w:right w:val="single" w:color="auto" w:sz="4" w:space="0"/>
                  </w:tcBorders>
                  <w:vAlign w:val="center"/>
                </w:tcPr>
                <w:p>
                  <w:pPr>
                    <w:pStyle w:val="57"/>
                  </w:pPr>
                  <w:r>
                    <w:t>≤4500</w:t>
                  </w:r>
                </w:p>
              </w:tc>
            </w:tr>
          </w:tbl>
          <w:p>
            <w:pPr>
              <w:adjustRightInd w:val="0"/>
              <w:snapToGrid w:val="0"/>
              <w:ind w:firstLine="422"/>
              <w:rPr>
                <w:b/>
                <w:bCs/>
                <w:sz w:val="21"/>
                <w:szCs w:val="21"/>
              </w:rPr>
            </w:pPr>
            <w:r>
              <w:rPr>
                <w:b/>
                <w:bCs/>
                <w:sz w:val="21"/>
                <w:szCs w:val="21"/>
              </w:rPr>
              <w:t>2.2.4压裂返排废水</w:t>
            </w:r>
          </w:p>
          <w:p>
            <w:pPr>
              <w:adjustRightInd w:val="0"/>
              <w:snapToGrid w:val="0"/>
              <w:ind w:firstLine="420"/>
              <w:rPr>
                <w:bCs/>
                <w:sz w:val="21"/>
                <w:szCs w:val="21"/>
              </w:rPr>
            </w:pPr>
            <w:r>
              <w:rPr>
                <w:rFonts w:hint="eastAsia"/>
                <w:bCs/>
                <w:sz w:val="21"/>
                <w:szCs w:val="21"/>
              </w:rPr>
              <w:t>根据设计资料，平安7井对水平段进行分段压裂，共计压裂1</w:t>
            </w:r>
            <w:r>
              <w:rPr>
                <w:bCs/>
                <w:sz w:val="21"/>
                <w:szCs w:val="21"/>
              </w:rPr>
              <w:t>4次，单次压裂液用量约</w:t>
            </w:r>
            <w:r>
              <w:rPr>
                <w:rFonts w:hint="eastAsia"/>
                <w:bCs/>
                <w:sz w:val="21"/>
                <w:szCs w:val="21"/>
              </w:rPr>
              <w:t>1</w:t>
            </w:r>
            <w:r>
              <w:rPr>
                <w:bCs/>
                <w:sz w:val="21"/>
                <w:szCs w:val="21"/>
              </w:rPr>
              <w:t>351.8m</w:t>
            </w:r>
            <w:r>
              <w:rPr>
                <w:bCs/>
                <w:sz w:val="21"/>
                <w:szCs w:val="21"/>
                <w:vertAlign w:val="superscript"/>
              </w:rPr>
              <w:t>3</w:t>
            </w:r>
            <w:r>
              <w:rPr>
                <w:bCs/>
                <w:sz w:val="21"/>
                <w:szCs w:val="21"/>
              </w:rPr>
              <w:t>，</w:t>
            </w:r>
            <w:r>
              <w:rPr>
                <w:rFonts w:hint="eastAsia"/>
                <w:bCs/>
                <w:sz w:val="21"/>
                <w:szCs w:val="21"/>
              </w:rPr>
              <w:t>平安7井</w:t>
            </w:r>
            <w:r>
              <w:rPr>
                <w:bCs/>
                <w:sz w:val="21"/>
                <w:szCs w:val="21"/>
              </w:rPr>
              <w:t>压裂液总量为18925.2t，压裂液返排率按30%计，则</w:t>
            </w:r>
            <w:r>
              <w:rPr>
                <w:rFonts w:hint="eastAsia"/>
                <w:bCs/>
                <w:sz w:val="21"/>
                <w:szCs w:val="21"/>
              </w:rPr>
              <w:t>平安7井</w:t>
            </w:r>
            <w:r>
              <w:rPr>
                <w:bCs/>
                <w:sz w:val="21"/>
                <w:szCs w:val="21"/>
              </w:rPr>
              <w:t>压裂返排液量共计</w:t>
            </w:r>
            <w:r>
              <w:rPr>
                <w:kern w:val="0"/>
                <w:sz w:val="21"/>
                <w:szCs w:val="21"/>
              </w:rPr>
              <w:t>5677.6</w:t>
            </w:r>
            <w:r>
              <w:rPr>
                <w:bCs/>
                <w:sz w:val="21"/>
                <w:szCs w:val="21"/>
              </w:rPr>
              <w:t>m</w:t>
            </w:r>
            <w:r>
              <w:rPr>
                <w:bCs/>
                <w:sz w:val="21"/>
                <w:szCs w:val="21"/>
                <w:vertAlign w:val="superscript"/>
              </w:rPr>
              <w:t>3</w:t>
            </w:r>
            <w:r>
              <w:rPr>
                <w:bCs/>
                <w:sz w:val="21"/>
                <w:szCs w:val="21"/>
              </w:rPr>
              <w:t>，返排周期约45天，平均每日最大返排量约126.2m</w:t>
            </w:r>
            <w:r>
              <w:rPr>
                <w:bCs/>
                <w:sz w:val="21"/>
                <w:szCs w:val="21"/>
                <w:vertAlign w:val="superscript"/>
              </w:rPr>
              <w:t>3</w:t>
            </w:r>
            <w:r>
              <w:rPr>
                <w:bCs/>
                <w:sz w:val="21"/>
                <w:szCs w:val="21"/>
              </w:rPr>
              <w:t>。工艺上可通过控制放喷阀门的尺寸控制反排作业，进而控制每日返排量。</w:t>
            </w:r>
          </w:p>
          <w:p>
            <w:pPr>
              <w:adjustRightInd w:val="0"/>
              <w:snapToGrid w:val="0"/>
              <w:ind w:firstLine="420"/>
              <w:rPr>
                <w:bCs/>
                <w:sz w:val="21"/>
                <w:szCs w:val="21"/>
              </w:rPr>
            </w:pPr>
            <w:r>
              <w:rPr>
                <w:bCs/>
                <w:sz w:val="21"/>
                <w:szCs w:val="21"/>
              </w:rPr>
              <w:t>项目废水具体产生情况见下表。</w:t>
            </w:r>
          </w:p>
          <w:p>
            <w:pPr>
              <w:adjustRightInd w:val="0"/>
              <w:snapToGrid w:val="0"/>
              <w:ind w:firstLine="0" w:firstLineChars="0"/>
              <w:jc w:val="center"/>
              <w:rPr>
                <w:b/>
                <w:bCs/>
                <w:sz w:val="21"/>
                <w:szCs w:val="21"/>
              </w:rPr>
            </w:pPr>
            <w:r>
              <w:rPr>
                <w:b/>
                <w:bCs/>
                <w:sz w:val="21"/>
                <w:szCs w:val="21"/>
              </w:rPr>
              <w:t>表4-6  压裂液一览表单位：t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765"/>
              <w:gridCol w:w="2273"/>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57"/>
                    <w:rPr>
                      <w:b/>
                    </w:rPr>
                  </w:pPr>
                  <w:r>
                    <w:rPr>
                      <w:b/>
                    </w:rPr>
                    <w:t>井号</w:t>
                  </w:r>
                </w:p>
              </w:tc>
              <w:tc>
                <w:tcPr>
                  <w:tcW w:w="1626" w:type="pct"/>
                  <w:shd w:val="clear" w:color="auto" w:fill="auto"/>
                  <w:vAlign w:val="center"/>
                </w:tcPr>
                <w:p>
                  <w:pPr>
                    <w:pStyle w:val="57"/>
                    <w:rPr>
                      <w:b/>
                    </w:rPr>
                  </w:pPr>
                  <w:r>
                    <w:rPr>
                      <w:b/>
                    </w:rPr>
                    <w:t>压裂液总用量</w:t>
                  </w:r>
                </w:p>
              </w:tc>
              <w:tc>
                <w:tcPr>
                  <w:tcW w:w="1337" w:type="pct"/>
                  <w:shd w:val="clear" w:color="auto" w:fill="auto"/>
                  <w:vAlign w:val="center"/>
                </w:tcPr>
                <w:p>
                  <w:pPr>
                    <w:pStyle w:val="57"/>
                    <w:rPr>
                      <w:b/>
                    </w:rPr>
                  </w:pPr>
                  <w:r>
                    <w:rPr>
                      <w:b/>
                    </w:rPr>
                    <w:t>损耗量70%</w:t>
                  </w:r>
                </w:p>
              </w:tc>
              <w:tc>
                <w:tcPr>
                  <w:tcW w:w="1337" w:type="pct"/>
                  <w:shd w:val="clear" w:color="auto" w:fill="auto"/>
                  <w:vAlign w:val="center"/>
                </w:tcPr>
                <w:p>
                  <w:pPr>
                    <w:pStyle w:val="57"/>
                    <w:rPr>
                      <w:b/>
                    </w:rPr>
                  </w:pPr>
                  <w:r>
                    <w:rPr>
                      <w:b/>
                    </w:rPr>
                    <w:t>返排量30%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0" w:type="pct"/>
                  <w:shd w:val="clear" w:color="auto" w:fill="auto"/>
                  <w:vAlign w:val="center"/>
                </w:tcPr>
                <w:p>
                  <w:pPr>
                    <w:pStyle w:val="57"/>
                  </w:pPr>
                  <w:r>
                    <w:rPr>
                      <w:rFonts w:hint="eastAsia"/>
                      <w:bCs/>
                    </w:rPr>
                    <w:t>平安7井</w:t>
                  </w:r>
                </w:p>
              </w:tc>
              <w:tc>
                <w:tcPr>
                  <w:tcW w:w="1626" w:type="pct"/>
                  <w:shd w:val="clear" w:color="auto" w:fill="auto"/>
                  <w:vAlign w:val="center"/>
                </w:tcPr>
                <w:p>
                  <w:pPr>
                    <w:pStyle w:val="57"/>
                  </w:pPr>
                  <w:r>
                    <w:rPr>
                      <w:bCs/>
                    </w:rPr>
                    <w:t>18925.2</w:t>
                  </w:r>
                </w:p>
              </w:tc>
              <w:tc>
                <w:tcPr>
                  <w:tcW w:w="1337" w:type="pct"/>
                  <w:shd w:val="clear" w:color="auto" w:fill="auto"/>
                  <w:vAlign w:val="center"/>
                </w:tcPr>
                <w:p>
                  <w:pPr>
                    <w:pStyle w:val="57"/>
                  </w:pPr>
                  <w:r>
                    <w:t>13247.6</w:t>
                  </w:r>
                </w:p>
              </w:tc>
              <w:tc>
                <w:tcPr>
                  <w:tcW w:w="1337" w:type="pct"/>
                  <w:shd w:val="clear" w:color="auto" w:fill="auto"/>
                  <w:vAlign w:val="center"/>
                </w:tcPr>
                <w:p>
                  <w:pPr>
                    <w:pStyle w:val="57"/>
                  </w:pPr>
                  <w:r>
                    <w:t>5677.6</w:t>
                  </w:r>
                </w:p>
              </w:tc>
            </w:tr>
          </w:tbl>
          <w:p>
            <w:pPr>
              <w:adjustRightInd w:val="0"/>
              <w:snapToGrid w:val="0"/>
              <w:ind w:firstLine="0" w:firstLineChars="0"/>
              <w:jc w:val="center"/>
              <w:rPr>
                <w:b/>
                <w:bCs/>
                <w:sz w:val="21"/>
                <w:szCs w:val="21"/>
              </w:rPr>
            </w:pPr>
            <w:r>
              <w:rPr>
                <w:b/>
                <w:bCs/>
                <w:sz w:val="21"/>
                <w:szCs w:val="21"/>
              </w:rPr>
              <w:t>表4-7  项目压裂返排废水主要污染物浓度</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1433"/>
              <w:gridCol w:w="1318"/>
              <w:gridCol w:w="1199"/>
              <w:gridCol w:w="131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trPr>
              <w:tc>
                <w:tcPr>
                  <w:tcW w:w="1128" w:type="pct"/>
                  <w:vMerge w:val="restart"/>
                  <w:tcBorders>
                    <w:top w:val="single" w:color="auto" w:sz="4" w:space="0"/>
                    <w:left w:val="single" w:color="auto" w:sz="4" w:space="0"/>
                    <w:bottom w:val="single" w:color="auto" w:sz="4" w:space="0"/>
                    <w:right w:val="single" w:color="auto" w:sz="4" w:space="0"/>
                  </w:tcBorders>
                  <w:vAlign w:val="center"/>
                </w:tcPr>
                <w:p>
                  <w:pPr>
                    <w:pStyle w:val="57"/>
                    <w:rPr>
                      <w:b/>
                    </w:rPr>
                  </w:pPr>
                  <w:r>
                    <w:rPr>
                      <w:b/>
                    </w:rPr>
                    <w:t>废水种类</w:t>
                  </w:r>
                </w:p>
              </w:tc>
              <w:tc>
                <w:tcPr>
                  <w:tcW w:w="3872" w:type="pct"/>
                  <w:gridSpan w:val="5"/>
                  <w:tcBorders>
                    <w:top w:val="single" w:color="auto" w:sz="4" w:space="0"/>
                    <w:left w:val="single" w:color="auto" w:sz="4" w:space="0"/>
                    <w:bottom w:val="single" w:color="auto" w:sz="4" w:space="0"/>
                    <w:right w:val="single" w:color="auto" w:sz="4" w:space="0"/>
                  </w:tcBorders>
                  <w:vAlign w:val="center"/>
                </w:tcPr>
                <w:p>
                  <w:pPr>
                    <w:pStyle w:val="57"/>
                    <w:rPr>
                      <w:b/>
                    </w:rPr>
                  </w:pPr>
                  <w:r>
                    <w:rPr>
                      <w:b/>
                    </w:rPr>
                    <w:t>主要污染物浓度（单位mg/L，pH无量纲）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28" w:type="pct"/>
                  <w:vMerge w:val="continue"/>
                  <w:tcBorders>
                    <w:top w:val="single" w:color="auto" w:sz="4" w:space="0"/>
                    <w:left w:val="single" w:color="auto" w:sz="4" w:space="0"/>
                    <w:bottom w:val="single" w:color="auto" w:sz="4" w:space="0"/>
                    <w:right w:val="single" w:color="auto" w:sz="4" w:space="0"/>
                  </w:tcBorders>
                  <w:vAlign w:val="center"/>
                </w:tcPr>
                <w:p>
                  <w:pPr>
                    <w:pStyle w:val="57"/>
                    <w:rPr>
                      <w:b/>
                    </w:rPr>
                  </w:pPr>
                </w:p>
              </w:tc>
              <w:tc>
                <w:tcPr>
                  <w:tcW w:w="843"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pH</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COD</w:t>
                  </w:r>
                </w:p>
              </w:tc>
              <w:tc>
                <w:tcPr>
                  <w:tcW w:w="705"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石油类</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SS</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rPr>
                      <w:b/>
                    </w:rPr>
                  </w:pPr>
                  <w:r>
                    <w:rPr>
                      <w:b/>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128" w:type="pct"/>
                  <w:tcBorders>
                    <w:top w:val="single" w:color="auto" w:sz="4" w:space="0"/>
                    <w:left w:val="single" w:color="auto" w:sz="4" w:space="0"/>
                    <w:bottom w:val="single" w:color="auto" w:sz="4" w:space="0"/>
                    <w:right w:val="single" w:color="auto" w:sz="4" w:space="0"/>
                  </w:tcBorders>
                  <w:vAlign w:val="center"/>
                </w:tcPr>
                <w:p>
                  <w:pPr>
                    <w:pStyle w:val="57"/>
                  </w:pPr>
                  <w:r>
                    <w:t>压裂返排废水</w:t>
                  </w:r>
                </w:p>
              </w:tc>
              <w:tc>
                <w:tcPr>
                  <w:tcW w:w="843" w:type="pct"/>
                  <w:tcBorders>
                    <w:top w:val="single" w:color="auto" w:sz="4" w:space="0"/>
                    <w:left w:val="single" w:color="auto" w:sz="4" w:space="0"/>
                    <w:bottom w:val="single" w:color="auto" w:sz="4" w:space="0"/>
                    <w:right w:val="single" w:color="auto" w:sz="4" w:space="0"/>
                  </w:tcBorders>
                  <w:vAlign w:val="center"/>
                </w:tcPr>
                <w:p>
                  <w:pPr>
                    <w:pStyle w:val="57"/>
                  </w:pPr>
                  <w:r>
                    <w:t>7.5~9.0</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pPr>
                  <w:r>
                    <w:t>≤3000</w:t>
                  </w:r>
                </w:p>
              </w:tc>
              <w:tc>
                <w:tcPr>
                  <w:tcW w:w="705" w:type="pct"/>
                  <w:tcBorders>
                    <w:top w:val="single" w:color="auto" w:sz="4" w:space="0"/>
                    <w:left w:val="single" w:color="auto" w:sz="4" w:space="0"/>
                    <w:bottom w:val="single" w:color="auto" w:sz="4" w:space="0"/>
                    <w:right w:val="single" w:color="auto" w:sz="4" w:space="0"/>
                  </w:tcBorders>
                  <w:vAlign w:val="center"/>
                </w:tcPr>
                <w:p>
                  <w:pPr>
                    <w:pStyle w:val="57"/>
                  </w:pPr>
                  <w:r>
                    <w:t>≤100</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pPr>
                  <w:r>
                    <w:t>≤1000</w:t>
                  </w:r>
                </w:p>
              </w:tc>
              <w:tc>
                <w:tcPr>
                  <w:tcW w:w="775" w:type="pct"/>
                  <w:tcBorders>
                    <w:top w:val="single" w:color="auto" w:sz="4" w:space="0"/>
                    <w:left w:val="single" w:color="auto" w:sz="4" w:space="0"/>
                    <w:bottom w:val="single" w:color="auto" w:sz="4" w:space="0"/>
                    <w:right w:val="single" w:color="auto" w:sz="4" w:space="0"/>
                  </w:tcBorders>
                  <w:vAlign w:val="center"/>
                </w:tcPr>
                <w:p>
                  <w:pPr>
                    <w:pStyle w:val="57"/>
                  </w:pPr>
                  <w:r>
                    <w:t>≤7000</w:t>
                  </w:r>
                </w:p>
              </w:tc>
            </w:tr>
          </w:tbl>
          <w:p>
            <w:pPr>
              <w:adjustRightInd w:val="0"/>
              <w:snapToGrid w:val="0"/>
              <w:ind w:firstLine="420"/>
              <w:rPr>
                <w:bCs/>
                <w:sz w:val="21"/>
                <w:szCs w:val="21"/>
              </w:rPr>
            </w:pPr>
            <w:r>
              <w:rPr>
                <w:bCs/>
                <w:sz w:val="21"/>
                <w:szCs w:val="21"/>
              </w:rPr>
              <w:t>本工程对返排出的压裂废水进行回收利用，回用量用于</w:t>
            </w:r>
            <w:r>
              <w:rPr>
                <w:rFonts w:hint="eastAsia"/>
                <w:bCs/>
                <w:sz w:val="21"/>
                <w:szCs w:val="21"/>
              </w:rPr>
              <w:t>探矿区</w:t>
            </w:r>
            <w:r>
              <w:rPr>
                <w:bCs/>
                <w:sz w:val="21"/>
                <w:szCs w:val="21"/>
              </w:rPr>
              <w:t>内其他井的压裂液的配置，</w:t>
            </w:r>
            <w:r>
              <w:rPr>
                <w:rFonts w:hint="eastAsia"/>
                <w:bCs/>
                <w:sz w:val="21"/>
                <w:szCs w:val="21"/>
              </w:rPr>
              <w:t>建设</w:t>
            </w:r>
            <w:r>
              <w:rPr>
                <w:bCs/>
                <w:sz w:val="21"/>
                <w:szCs w:val="21"/>
              </w:rPr>
              <w:t>单位在探矿区内已部署了数量众多的钻井工程，项目返排废水（约90%，</w:t>
            </w:r>
            <w:r>
              <w:rPr>
                <w:bCs/>
                <w:spacing w:val="10"/>
                <w:sz w:val="21"/>
                <w:szCs w:val="21"/>
              </w:rPr>
              <w:t>5109.8m</w:t>
            </w:r>
            <w:r>
              <w:rPr>
                <w:bCs/>
                <w:spacing w:val="10"/>
                <w:sz w:val="21"/>
                <w:szCs w:val="21"/>
                <w:vertAlign w:val="superscript"/>
              </w:rPr>
              <w:t>3</w:t>
            </w:r>
            <w:r>
              <w:rPr>
                <w:bCs/>
                <w:sz w:val="21"/>
                <w:szCs w:val="21"/>
              </w:rPr>
              <w:t>）可回用于</w:t>
            </w:r>
            <w:r>
              <w:rPr>
                <w:rFonts w:hint="eastAsia"/>
                <w:bCs/>
                <w:sz w:val="21"/>
                <w:szCs w:val="21"/>
              </w:rPr>
              <w:t>区域</w:t>
            </w:r>
            <w:r>
              <w:rPr>
                <w:bCs/>
                <w:sz w:val="21"/>
                <w:szCs w:val="21"/>
              </w:rPr>
              <w:t>内同步实施的平安</w:t>
            </w:r>
            <w:r>
              <w:rPr>
                <w:rFonts w:hint="eastAsia"/>
                <w:bCs/>
                <w:sz w:val="21"/>
                <w:szCs w:val="21"/>
              </w:rPr>
              <w:t>1</w:t>
            </w:r>
            <w:r>
              <w:rPr>
                <w:bCs/>
                <w:sz w:val="21"/>
                <w:szCs w:val="21"/>
              </w:rPr>
              <w:t>03井、东升</w:t>
            </w:r>
            <w:r>
              <w:rPr>
                <w:rFonts w:hint="eastAsia"/>
                <w:bCs/>
                <w:sz w:val="21"/>
                <w:szCs w:val="21"/>
              </w:rPr>
              <w:t>2井</w:t>
            </w:r>
            <w:r>
              <w:rPr>
                <w:bCs/>
                <w:sz w:val="21"/>
                <w:szCs w:val="21"/>
              </w:rPr>
              <w:t>等用于配置压裂液，从而减少废水处理的成本，也减少了取用新鲜水配置压裂液的量，节约用水，项目剩余返排液（约</w:t>
            </w:r>
            <w:r>
              <w:rPr>
                <w:bCs/>
                <w:spacing w:val="10"/>
                <w:sz w:val="21"/>
                <w:szCs w:val="21"/>
              </w:rPr>
              <w:t>567.8m</w:t>
            </w:r>
            <w:r>
              <w:rPr>
                <w:bCs/>
                <w:spacing w:val="10"/>
                <w:sz w:val="21"/>
                <w:szCs w:val="21"/>
                <w:vertAlign w:val="superscript"/>
              </w:rPr>
              <w:t>3</w:t>
            </w:r>
            <w:r>
              <w:rPr>
                <w:bCs/>
                <w:sz w:val="21"/>
                <w:szCs w:val="21"/>
              </w:rPr>
              <w:t>）外运污水处理厂处置。</w:t>
            </w:r>
          </w:p>
          <w:p>
            <w:pPr>
              <w:adjustRightInd w:val="0"/>
              <w:snapToGrid w:val="0"/>
              <w:ind w:firstLine="422"/>
              <w:rPr>
                <w:b/>
                <w:bCs/>
                <w:sz w:val="21"/>
                <w:szCs w:val="21"/>
              </w:rPr>
            </w:pPr>
            <w:r>
              <w:rPr>
                <w:b/>
                <w:bCs/>
                <w:sz w:val="21"/>
                <w:szCs w:val="21"/>
              </w:rPr>
              <w:t>2.2.5生活污水</w:t>
            </w:r>
          </w:p>
          <w:p>
            <w:pPr>
              <w:adjustRightInd w:val="0"/>
              <w:snapToGrid w:val="0"/>
              <w:ind w:firstLine="420"/>
              <w:rPr>
                <w:bCs/>
                <w:sz w:val="21"/>
                <w:szCs w:val="21"/>
              </w:rPr>
            </w:pPr>
            <w:r>
              <w:rPr>
                <w:rFonts w:hint="eastAsia"/>
                <w:bCs/>
                <w:snapToGrid w:val="0"/>
                <w:kern w:val="0"/>
                <w:sz w:val="21"/>
                <w:szCs w:val="21"/>
              </w:rPr>
              <w:t>钻井作业人员有</w:t>
            </w:r>
            <w:r>
              <w:rPr>
                <w:bCs/>
                <w:snapToGrid w:val="0"/>
                <w:kern w:val="0"/>
                <w:sz w:val="21"/>
                <w:szCs w:val="21"/>
              </w:rPr>
              <w:t>40</w:t>
            </w:r>
            <w:r>
              <w:rPr>
                <w:rFonts w:hint="eastAsia"/>
                <w:bCs/>
                <w:snapToGrid w:val="0"/>
                <w:kern w:val="0"/>
                <w:sz w:val="21"/>
                <w:szCs w:val="21"/>
              </w:rPr>
              <w:t>人，</w:t>
            </w:r>
            <w:r>
              <w:rPr>
                <w:rFonts w:hAnsi="宋体"/>
                <w:snapToGrid w:val="0"/>
                <w:kern w:val="0"/>
                <w:sz w:val="21"/>
                <w:szCs w:val="21"/>
              </w:rPr>
              <w:t>人均生活用水量按</w:t>
            </w:r>
            <w:r>
              <w:rPr>
                <w:snapToGrid w:val="0"/>
                <w:kern w:val="0"/>
                <w:sz w:val="21"/>
                <w:szCs w:val="21"/>
              </w:rPr>
              <w:t>100L/d</w:t>
            </w:r>
            <w:r>
              <w:rPr>
                <w:rFonts w:hAnsi="宋体"/>
                <w:snapToGrid w:val="0"/>
                <w:kern w:val="0"/>
                <w:sz w:val="21"/>
                <w:szCs w:val="21"/>
              </w:rPr>
              <w:t>计，生活总用水量约</w:t>
            </w:r>
            <w:r>
              <w:rPr>
                <w:snapToGrid w:val="0"/>
                <w:kern w:val="0"/>
                <w:sz w:val="21"/>
                <w:szCs w:val="21"/>
              </w:rPr>
              <w:t>4.0m</w:t>
            </w:r>
            <w:r>
              <w:rPr>
                <w:snapToGrid w:val="0"/>
                <w:kern w:val="0"/>
                <w:sz w:val="21"/>
                <w:szCs w:val="21"/>
                <w:vertAlign w:val="superscript"/>
              </w:rPr>
              <w:t>3</w:t>
            </w:r>
            <w:r>
              <w:rPr>
                <w:snapToGrid w:val="0"/>
                <w:kern w:val="0"/>
                <w:sz w:val="21"/>
                <w:szCs w:val="21"/>
              </w:rPr>
              <w:t>/d</w:t>
            </w:r>
            <w:r>
              <w:rPr>
                <w:rFonts w:hAnsi="宋体"/>
                <w:snapToGrid w:val="0"/>
                <w:kern w:val="0"/>
                <w:sz w:val="21"/>
                <w:szCs w:val="21"/>
              </w:rPr>
              <w:t>，产污系数取</w:t>
            </w:r>
            <w:r>
              <w:rPr>
                <w:snapToGrid w:val="0"/>
                <w:kern w:val="0"/>
                <w:sz w:val="21"/>
                <w:szCs w:val="21"/>
              </w:rPr>
              <w:t>0.9</w:t>
            </w:r>
            <w:r>
              <w:rPr>
                <w:rFonts w:hAnsi="宋体"/>
                <w:snapToGrid w:val="0"/>
                <w:kern w:val="0"/>
                <w:sz w:val="21"/>
                <w:szCs w:val="21"/>
              </w:rPr>
              <w:t>，则生活污水量</w:t>
            </w:r>
            <w:r>
              <w:rPr>
                <w:snapToGrid w:val="0"/>
                <w:kern w:val="0"/>
                <w:sz w:val="21"/>
                <w:szCs w:val="21"/>
              </w:rPr>
              <w:t>3.6m</w:t>
            </w:r>
            <w:r>
              <w:rPr>
                <w:snapToGrid w:val="0"/>
                <w:kern w:val="0"/>
                <w:sz w:val="21"/>
                <w:szCs w:val="21"/>
                <w:vertAlign w:val="superscript"/>
              </w:rPr>
              <w:t>3</w:t>
            </w:r>
            <w:r>
              <w:rPr>
                <w:snapToGrid w:val="0"/>
                <w:kern w:val="0"/>
                <w:sz w:val="21"/>
                <w:szCs w:val="21"/>
              </w:rPr>
              <w:t>/d</w:t>
            </w:r>
            <w:r>
              <w:rPr>
                <w:rFonts w:hAnsi="宋体"/>
                <w:snapToGrid w:val="0"/>
                <w:kern w:val="0"/>
                <w:sz w:val="21"/>
                <w:szCs w:val="21"/>
              </w:rPr>
              <w:t>，钻井施工期（含完井搬迁）累计6个月</w:t>
            </w:r>
            <w:r>
              <w:rPr>
                <w:rFonts w:hint="eastAsia" w:hAnsi="宋体"/>
                <w:snapToGrid w:val="0"/>
                <w:kern w:val="0"/>
                <w:sz w:val="21"/>
                <w:szCs w:val="21"/>
              </w:rPr>
              <w:t>，则</w:t>
            </w:r>
            <w:r>
              <w:rPr>
                <w:rFonts w:hAnsi="宋体"/>
                <w:snapToGrid w:val="0"/>
                <w:kern w:val="0"/>
                <w:sz w:val="21"/>
                <w:szCs w:val="21"/>
              </w:rPr>
              <w:t>生活用水总量</w:t>
            </w:r>
            <w:r>
              <w:rPr>
                <w:snapToGrid w:val="0"/>
                <w:kern w:val="0"/>
                <w:sz w:val="21"/>
                <w:szCs w:val="21"/>
              </w:rPr>
              <w:t>720.0m</w:t>
            </w:r>
            <w:r>
              <w:rPr>
                <w:snapToGrid w:val="0"/>
                <w:kern w:val="0"/>
                <w:sz w:val="21"/>
                <w:szCs w:val="21"/>
                <w:vertAlign w:val="superscript"/>
              </w:rPr>
              <w:t>3</w:t>
            </w:r>
            <w:r>
              <w:rPr>
                <w:rFonts w:hint="eastAsia" w:hAnsi="宋体"/>
                <w:snapToGrid w:val="0"/>
                <w:kern w:val="0"/>
                <w:sz w:val="21"/>
                <w:szCs w:val="21"/>
              </w:rPr>
              <w:t>，</w:t>
            </w:r>
            <w:r>
              <w:rPr>
                <w:rFonts w:hAnsi="宋体"/>
                <w:snapToGrid w:val="0"/>
                <w:kern w:val="0"/>
                <w:sz w:val="21"/>
                <w:szCs w:val="21"/>
              </w:rPr>
              <w:t>生活污水总量为648.0</w:t>
            </w:r>
            <w:r>
              <w:rPr>
                <w:snapToGrid w:val="0"/>
                <w:kern w:val="0"/>
                <w:sz w:val="21"/>
                <w:szCs w:val="21"/>
              </w:rPr>
              <w:t>m</w:t>
            </w:r>
            <w:r>
              <w:rPr>
                <w:snapToGrid w:val="0"/>
                <w:kern w:val="0"/>
                <w:sz w:val="21"/>
                <w:szCs w:val="21"/>
                <w:vertAlign w:val="superscript"/>
              </w:rPr>
              <w:t>3</w:t>
            </w:r>
            <w:r>
              <w:rPr>
                <w:rFonts w:hint="eastAsia" w:hAnsi="宋体"/>
                <w:snapToGrid w:val="0"/>
                <w:kern w:val="0"/>
                <w:sz w:val="21"/>
                <w:szCs w:val="21"/>
              </w:rPr>
              <w:t>。</w:t>
            </w:r>
            <w:r>
              <w:rPr>
                <w:rFonts w:hAnsi="宋体"/>
                <w:snapToGrid w:val="0"/>
                <w:kern w:val="0"/>
                <w:sz w:val="21"/>
                <w:szCs w:val="21"/>
              </w:rPr>
              <w:t>生活污水主要污染物为</w:t>
            </w:r>
            <w:r>
              <w:rPr>
                <w:snapToGrid w:val="0"/>
                <w:kern w:val="0"/>
                <w:sz w:val="21"/>
                <w:szCs w:val="21"/>
              </w:rPr>
              <w:t>COD</w:t>
            </w:r>
            <w:r>
              <w:rPr>
                <w:rFonts w:hAnsi="宋体"/>
                <w:snapToGrid w:val="0"/>
                <w:kern w:val="0"/>
                <w:sz w:val="21"/>
                <w:szCs w:val="21"/>
              </w:rPr>
              <w:t>、</w:t>
            </w:r>
            <w:r>
              <w:rPr>
                <w:snapToGrid w:val="0"/>
                <w:kern w:val="0"/>
                <w:sz w:val="21"/>
                <w:szCs w:val="21"/>
              </w:rPr>
              <w:t>BOD</w:t>
            </w:r>
            <w:r>
              <w:rPr>
                <w:snapToGrid w:val="0"/>
                <w:kern w:val="0"/>
                <w:sz w:val="21"/>
                <w:szCs w:val="21"/>
                <w:vertAlign w:val="subscript"/>
              </w:rPr>
              <w:t>5</w:t>
            </w:r>
            <w:r>
              <w:rPr>
                <w:rFonts w:hAnsi="宋体"/>
                <w:snapToGrid w:val="0"/>
                <w:kern w:val="0"/>
                <w:sz w:val="21"/>
                <w:szCs w:val="21"/>
              </w:rPr>
              <w:t>、</w:t>
            </w:r>
            <w:r>
              <w:rPr>
                <w:snapToGrid w:val="0"/>
                <w:kern w:val="0"/>
                <w:sz w:val="21"/>
                <w:szCs w:val="21"/>
              </w:rPr>
              <w:t>SS</w:t>
            </w:r>
            <w:r>
              <w:rPr>
                <w:rFonts w:hAnsi="宋体"/>
                <w:snapToGrid w:val="0"/>
                <w:kern w:val="0"/>
                <w:sz w:val="21"/>
                <w:szCs w:val="21"/>
              </w:rPr>
              <w:t>、</w:t>
            </w:r>
            <w:r>
              <w:rPr>
                <w:snapToGrid w:val="0"/>
                <w:kern w:val="0"/>
                <w:sz w:val="21"/>
                <w:szCs w:val="21"/>
              </w:rPr>
              <w:t>NH</w:t>
            </w:r>
            <w:r>
              <w:rPr>
                <w:snapToGrid w:val="0"/>
                <w:kern w:val="0"/>
                <w:sz w:val="21"/>
                <w:szCs w:val="21"/>
                <w:vertAlign w:val="subscript"/>
              </w:rPr>
              <w:t>3</w:t>
            </w:r>
            <w:r>
              <w:rPr>
                <w:snapToGrid w:val="0"/>
                <w:kern w:val="0"/>
                <w:sz w:val="21"/>
                <w:szCs w:val="21"/>
              </w:rPr>
              <w:t>-N</w:t>
            </w:r>
            <w:r>
              <w:rPr>
                <w:rFonts w:hAnsi="宋体"/>
                <w:snapToGrid w:val="0"/>
                <w:kern w:val="0"/>
                <w:sz w:val="21"/>
                <w:szCs w:val="21"/>
              </w:rPr>
              <w:t>，浓度依次大约</w:t>
            </w:r>
            <w:r>
              <w:rPr>
                <w:snapToGrid w:val="0"/>
                <w:kern w:val="0"/>
                <w:sz w:val="21"/>
                <w:szCs w:val="21"/>
              </w:rPr>
              <w:t>400mg/L</w:t>
            </w:r>
            <w:r>
              <w:rPr>
                <w:rFonts w:hAnsi="宋体"/>
                <w:snapToGrid w:val="0"/>
                <w:kern w:val="0"/>
                <w:sz w:val="21"/>
                <w:szCs w:val="21"/>
              </w:rPr>
              <w:t>、</w:t>
            </w:r>
            <w:r>
              <w:rPr>
                <w:snapToGrid w:val="0"/>
                <w:kern w:val="0"/>
                <w:sz w:val="21"/>
                <w:szCs w:val="21"/>
              </w:rPr>
              <w:t>200mg/L</w:t>
            </w:r>
            <w:r>
              <w:rPr>
                <w:rFonts w:hAnsi="宋体"/>
                <w:snapToGrid w:val="0"/>
                <w:kern w:val="0"/>
                <w:sz w:val="21"/>
                <w:szCs w:val="21"/>
              </w:rPr>
              <w:t>、</w:t>
            </w:r>
            <w:r>
              <w:rPr>
                <w:snapToGrid w:val="0"/>
                <w:kern w:val="0"/>
                <w:sz w:val="21"/>
                <w:szCs w:val="21"/>
              </w:rPr>
              <w:t>300mg/L</w:t>
            </w:r>
            <w:r>
              <w:rPr>
                <w:rFonts w:hAnsi="宋体"/>
                <w:snapToGrid w:val="0"/>
                <w:kern w:val="0"/>
                <w:sz w:val="21"/>
                <w:szCs w:val="21"/>
              </w:rPr>
              <w:t>、</w:t>
            </w:r>
            <w:r>
              <w:rPr>
                <w:snapToGrid w:val="0"/>
                <w:kern w:val="0"/>
                <w:sz w:val="21"/>
                <w:szCs w:val="21"/>
              </w:rPr>
              <w:t>25mg/L</w:t>
            </w:r>
            <w:r>
              <w:rPr>
                <w:rFonts w:hAnsi="宋体"/>
                <w:snapToGrid w:val="0"/>
                <w:kern w:val="0"/>
                <w:sz w:val="21"/>
                <w:szCs w:val="21"/>
              </w:rPr>
              <w:t>。</w:t>
            </w:r>
            <w:r>
              <w:rPr>
                <w:rFonts w:hint="eastAsia" w:hAnsi="宋体"/>
                <w:snapToGrid w:val="0"/>
                <w:kern w:val="0"/>
                <w:sz w:val="21"/>
                <w:szCs w:val="21"/>
              </w:rPr>
              <w:t>项目钻井期间生活污水经旱厕收集后</w:t>
            </w:r>
            <w:r>
              <w:rPr>
                <w:rFonts w:cs="Arial"/>
                <w:snapToGrid w:val="0"/>
                <w:kern w:val="0"/>
                <w:sz w:val="21"/>
                <w:szCs w:val="21"/>
              </w:rPr>
              <w:t>用于周边农田施肥</w:t>
            </w:r>
            <w:r>
              <w:rPr>
                <w:rFonts w:hint="eastAsia" w:hAnsi="宋体"/>
                <w:snapToGrid w:val="0"/>
                <w:kern w:val="0"/>
                <w:sz w:val="21"/>
                <w:szCs w:val="21"/>
              </w:rPr>
              <w:t>。</w:t>
            </w:r>
          </w:p>
          <w:p>
            <w:pPr>
              <w:adjustRightInd w:val="0"/>
              <w:snapToGrid w:val="0"/>
              <w:ind w:firstLine="420"/>
              <w:rPr>
                <w:bCs/>
                <w:sz w:val="21"/>
                <w:szCs w:val="21"/>
              </w:rPr>
            </w:pPr>
            <w:r>
              <w:rPr>
                <w:bCs/>
                <w:sz w:val="21"/>
                <w:szCs w:val="21"/>
              </w:rPr>
              <w:t>综上，项目产生的废水情况统计详见表4-8。</w:t>
            </w:r>
          </w:p>
          <w:p>
            <w:pPr>
              <w:adjustRightInd w:val="0"/>
              <w:snapToGrid w:val="0"/>
              <w:ind w:firstLine="0" w:firstLineChars="0"/>
              <w:jc w:val="center"/>
              <w:rPr>
                <w:b/>
                <w:bCs/>
                <w:sz w:val="21"/>
                <w:szCs w:val="21"/>
              </w:rPr>
            </w:pPr>
            <w:r>
              <w:rPr>
                <w:b/>
                <w:bCs/>
                <w:sz w:val="21"/>
                <w:szCs w:val="21"/>
              </w:rPr>
              <w:t>表4-8  项目废水统计一览表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1234"/>
              <w:gridCol w:w="1416"/>
              <w:gridCol w:w="1416"/>
              <w:gridCol w:w="1416"/>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46"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废水种类</w:t>
                  </w:r>
                </w:p>
              </w:tc>
              <w:tc>
                <w:tcPr>
                  <w:tcW w:w="726"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钻井废水</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洗井废水</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方井雨水</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返排液</w:t>
                  </w:r>
                </w:p>
              </w:tc>
              <w:tc>
                <w:tcPr>
                  <w:tcW w:w="829"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b/>
                      <w:kern w:val="2"/>
                      <w:sz w:val="21"/>
                    </w:rPr>
                  </w:pPr>
                  <w:r>
                    <w:rPr>
                      <w:b/>
                      <w:kern w:val="2"/>
                      <w:sz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46"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kern w:val="2"/>
                      <w:sz w:val="21"/>
                    </w:rPr>
                    <w:t>产生量（m</w:t>
                  </w:r>
                  <w:r>
                    <w:rPr>
                      <w:kern w:val="2"/>
                      <w:sz w:val="21"/>
                      <w:vertAlign w:val="superscript"/>
                    </w:rPr>
                    <w:t>3</w:t>
                  </w:r>
                  <w:r>
                    <w:rPr>
                      <w:kern w:val="2"/>
                      <w:sz w:val="21"/>
                    </w:rPr>
                    <w:t>）</w:t>
                  </w:r>
                </w:p>
              </w:tc>
              <w:tc>
                <w:tcPr>
                  <w:tcW w:w="726"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rFonts w:hint="eastAsia"/>
                      <w:sz w:val="21"/>
                    </w:rPr>
                    <w:t>237.2</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kern w:val="2"/>
                      <w:sz w:val="21"/>
                    </w:rPr>
                    <w:t>180</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bCs/>
                      <w:snapToGrid w:val="0"/>
                      <w:sz w:val="21"/>
                    </w:rPr>
                    <w:t>348.3</w:t>
                  </w:r>
                </w:p>
              </w:tc>
              <w:tc>
                <w:tcPr>
                  <w:tcW w:w="833"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sz w:val="21"/>
                    </w:rPr>
                    <w:t>5677.6</w:t>
                  </w:r>
                </w:p>
              </w:tc>
              <w:tc>
                <w:tcPr>
                  <w:tcW w:w="829" w:type="pct"/>
                  <w:tcBorders>
                    <w:top w:val="single" w:color="auto" w:sz="4" w:space="0"/>
                    <w:left w:val="single" w:color="auto" w:sz="4" w:space="0"/>
                    <w:bottom w:val="single" w:color="auto" w:sz="4" w:space="0"/>
                    <w:right w:val="single" w:color="auto" w:sz="4" w:space="0"/>
                  </w:tcBorders>
                  <w:vAlign w:val="center"/>
                </w:tcPr>
                <w:p>
                  <w:pPr>
                    <w:pStyle w:val="45"/>
                    <w:widowControl w:val="0"/>
                    <w:tabs>
                      <w:tab w:val="left" w:pos="420"/>
                      <w:tab w:val="clear" w:pos="377"/>
                    </w:tabs>
                    <w:adjustRightInd w:val="0"/>
                    <w:snapToGrid w:val="0"/>
                    <w:spacing w:line="240" w:lineRule="auto"/>
                    <w:ind w:firstLine="0" w:firstLineChars="0"/>
                    <w:jc w:val="center"/>
                    <w:rPr>
                      <w:kern w:val="2"/>
                      <w:sz w:val="21"/>
                    </w:rPr>
                  </w:pPr>
                  <w:r>
                    <w:rPr>
                      <w:rFonts w:hAnsi="宋体"/>
                      <w:snapToGrid w:val="0"/>
                      <w:sz w:val="21"/>
                    </w:rPr>
                    <w:t>648.0</w:t>
                  </w:r>
                </w:p>
              </w:tc>
            </w:tr>
          </w:tbl>
          <w:p>
            <w:pPr>
              <w:adjustRightInd w:val="0"/>
              <w:snapToGrid w:val="0"/>
              <w:ind w:firstLine="422"/>
              <w:jc w:val="left"/>
              <w:rPr>
                <w:b/>
                <w:sz w:val="21"/>
                <w:szCs w:val="21"/>
              </w:rPr>
            </w:pPr>
            <w:r>
              <w:rPr>
                <w:b/>
                <w:sz w:val="21"/>
                <w:szCs w:val="21"/>
              </w:rPr>
              <w:t>2.2.6水平衡</w:t>
            </w:r>
          </w:p>
          <w:p>
            <w:pPr>
              <w:adjustRightInd w:val="0"/>
              <w:snapToGrid w:val="0"/>
              <w:ind w:firstLine="420"/>
              <w:rPr>
                <w:b/>
                <w:sz w:val="21"/>
                <w:szCs w:val="21"/>
              </w:rPr>
            </w:pPr>
            <w:r>
              <w:rPr>
                <w:sz w:val="21"/>
                <w:szCs w:val="21"/>
              </w:rPr>
              <w:t>根据项目工程分析和原辅材料统计表，项目水基泥浆配置总用水量约</w:t>
            </w:r>
            <w:r>
              <w:rPr>
                <w:rFonts w:hint="eastAsia"/>
                <w:sz w:val="21"/>
                <w:szCs w:val="21"/>
              </w:rPr>
              <w:t>444.8m</w:t>
            </w:r>
            <w:r>
              <w:rPr>
                <w:sz w:val="21"/>
                <w:szCs w:val="21"/>
                <w:vertAlign w:val="superscript"/>
              </w:rPr>
              <w:t>3</w:t>
            </w:r>
            <w:r>
              <w:rPr>
                <w:sz w:val="21"/>
                <w:szCs w:val="21"/>
              </w:rPr>
              <w:t>；洗井阶段用水约200</w:t>
            </w:r>
            <w:r>
              <w:rPr>
                <w:rFonts w:hint="eastAsia"/>
                <w:sz w:val="21"/>
                <w:szCs w:val="21"/>
              </w:rPr>
              <w:t>m</w:t>
            </w:r>
            <w:r>
              <w:rPr>
                <w:sz w:val="21"/>
                <w:szCs w:val="21"/>
                <w:vertAlign w:val="superscript"/>
              </w:rPr>
              <w:t>3</w:t>
            </w:r>
            <w:r>
              <w:rPr>
                <w:sz w:val="21"/>
                <w:szCs w:val="21"/>
              </w:rPr>
              <w:t>；项目压裂阶段补充新鲜用水量约16864.4</w:t>
            </w:r>
            <w:r>
              <w:rPr>
                <w:rFonts w:hint="eastAsia"/>
                <w:sz w:val="21"/>
                <w:szCs w:val="21"/>
              </w:rPr>
              <w:t>m</w:t>
            </w:r>
            <w:r>
              <w:rPr>
                <w:sz w:val="21"/>
                <w:szCs w:val="21"/>
                <w:vertAlign w:val="superscript"/>
              </w:rPr>
              <w:t>3</w:t>
            </w:r>
            <w:r>
              <w:rPr>
                <w:sz w:val="21"/>
                <w:szCs w:val="21"/>
              </w:rPr>
              <w:t>，项目生活用水约</w:t>
            </w:r>
            <w:r>
              <w:rPr>
                <w:snapToGrid w:val="0"/>
                <w:kern w:val="0"/>
                <w:sz w:val="21"/>
                <w:szCs w:val="21"/>
              </w:rPr>
              <w:t>720.0</w:t>
            </w:r>
            <w:r>
              <w:rPr>
                <w:rFonts w:hint="eastAsia"/>
                <w:sz w:val="21"/>
                <w:szCs w:val="21"/>
              </w:rPr>
              <w:t>m</w:t>
            </w:r>
            <w:r>
              <w:rPr>
                <w:sz w:val="21"/>
                <w:szCs w:val="21"/>
                <w:vertAlign w:val="superscript"/>
              </w:rPr>
              <w:t>3</w:t>
            </w:r>
            <w:r>
              <w:rPr>
                <w:sz w:val="21"/>
                <w:szCs w:val="21"/>
              </w:rPr>
              <w:t>。压裂返排液中不考虑支撑剂返排，返排物质全部按水考虑。拟建项目水平衡见下图：</w:t>
            </w:r>
          </w:p>
          <w:p>
            <w:pPr>
              <w:adjustRightInd w:val="0"/>
              <w:snapToGrid w:val="0"/>
              <w:ind w:firstLine="0" w:firstLineChars="0"/>
              <w:jc w:val="center"/>
              <w:rPr>
                <w:sz w:val="21"/>
                <w:szCs w:val="21"/>
              </w:rPr>
            </w:pPr>
            <w:r>
              <w:object>
                <v:shape id="_x0000_i1028" o:spt="75" type="#_x0000_t75" style="height:252.5pt;width:395.5pt;" o:ole="t" filled="f" o:preferrelative="t" stroked="f" coordsize="21600,21600">
                  <v:path/>
                  <v:fill on="f" focussize="0,0"/>
                  <v:stroke on="f" joinstyle="miter"/>
                  <v:imagedata r:id="rId23" o:title=""/>
                  <o:lock v:ext="edit" aspectratio="t"/>
                  <w10:wrap type="none"/>
                  <w10:anchorlock/>
                </v:shape>
                <o:OLEObject Type="Embed" ProgID="Visio.Drawing.15" ShapeID="_x0000_i1028" DrawAspect="Content" ObjectID="_1468075728" r:id="rId22">
                  <o:LockedField>false</o:LockedField>
                </o:OLEObject>
              </w:object>
            </w:r>
          </w:p>
          <w:p>
            <w:pPr>
              <w:adjustRightInd w:val="0"/>
              <w:snapToGrid w:val="0"/>
              <w:ind w:firstLine="0" w:firstLineChars="0"/>
              <w:jc w:val="center"/>
              <w:rPr>
                <w:b/>
                <w:bCs/>
                <w:sz w:val="21"/>
                <w:szCs w:val="21"/>
              </w:rPr>
            </w:pPr>
            <w:r>
              <w:rPr>
                <w:b/>
                <w:bCs/>
                <w:sz w:val="21"/>
                <w:szCs w:val="21"/>
              </w:rPr>
              <w:t>图4-1 项目水平衡图</w:t>
            </w:r>
            <w:r>
              <w:rPr>
                <w:rFonts w:hint="eastAsia"/>
                <w:b/>
                <w:bCs/>
                <w:sz w:val="21"/>
                <w:szCs w:val="21"/>
              </w:rPr>
              <w:t xml:space="preserve"> </w:t>
            </w:r>
            <w:r>
              <w:rPr>
                <w:b/>
                <w:bCs/>
                <w:sz w:val="21"/>
                <w:szCs w:val="21"/>
              </w:rPr>
              <w:t xml:space="preserve"> 单位：m</w:t>
            </w:r>
            <w:r>
              <w:rPr>
                <w:b/>
                <w:bCs/>
                <w:sz w:val="21"/>
                <w:szCs w:val="21"/>
                <w:vertAlign w:val="superscript"/>
              </w:rPr>
              <w:t>3</w:t>
            </w:r>
          </w:p>
          <w:p>
            <w:pPr>
              <w:adjustRightInd w:val="0"/>
              <w:snapToGrid w:val="0"/>
              <w:ind w:firstLine="422"/>
              <w:rPr>
                <w:b/>
                <w:bCs/>
                <w:sz w:val="21"/>
                <w:szCs w:val="21"/>
              </w:rPr>
            </w:pPr>
            <w:r>
              <w:rPr>
                <w:b/>
                <w:bCs/>
                <w:sz w:val="21"/>
                <w:szCs w:val="21"/>
              </w:rPr>
              <w:t>2.3噪声环境影响</w:t>
            </w:r>
          </w:p>
          <w:p>
            <w:pPr>
              <w:adjustRightInd w:val="0"/>
              <w:snapToGrid w:val="0"/>
              <w:ind w:firstLine="420"/>
              <w:rPr>
                <w:bCs/>
                <w:sz w:val="21"/>
                <w:szCs w:val="21"/>
              </w:rPr>
            </w:pPr>
            <w:r>
              <w:rPr>
                <w:rFonts w:hint="eastAsia"/>
                <w:bCs/>
                <w:sz w:val="21"/>
                <w:szCs w:val="21"/>
              </w:rPr>
              <w:t>依据钻井工艺，项目钻井作业期间噪声主要为钻机、柴油发电机及振动筛、除砂器、除泥器、离心机等设备噪声；完井测试过程包括压裂作业噪声和测试放喷作业噪声。</w:t>
            </w:r>
          </w:p>
          <w:p>
            <w:pPr>
              <w:adjustRightInd w:val="0"/>
              <w:snapToGrid w:val="0"/>
              <w:ind w:firstLine="422"/>
              <w:rPr>
                <w:b/>
                <w:bCs/>
                <w:snapToGrid w:val="0"/>
                <w:kern w:val="0"/>
                <w:sz w:val="21"/>
                <w:szCs w:val="21"/>
              </w:rPr>
            </w:pPr>
            <w:r>
              <w:rPr>
                <w:rFonts w:hint="eastAsia"/>
                <w:b/>
                <w:bCs/>
                <w:snapToGrid w:val="0"/>
                <w:kern w:val="0"/>
                <w:sz w:val="21"/>
                <w:szCs w:val="21"/>
              </w:rPr>
              <w:t>2.3.1预测模式</w:t>
            </w:r>
          </w:p>
          <w:p>
            <w:pPr>
              <w:adjustRightInd w:val="0"/>
              <w:snapToGrid w:val="0"/>
              <w:ind w:firstLine="420"/>
              <w:rPr>
                <w:bCs/>
                <w:snapToGrid w:val="0"/>
                <w:kern w:val="0"/>
                <w:sz w:val="21"/>
                <w:szCs w:val="21"/>
              </w:rPr>
            </w:pPr>
            <w:r>
              <w:rPr>
                <w:rFonts w:hint="eastAsia"/>
                <w:bCs/>
                <w:snapToGrid w:val="0"/>
                <w:kern w:val="0"/>
                <w:sz w:val="21"/>
                <w:szCs w:val="21"/>
              </w:rPr>
              <w:t>本次噪声影响评价选用点源的噪声预测模式，在声源传播过程中，经过距离衰减和空气吸收后，到达受声点，其预测模式如下：</w:t>
            </w:r>
          </w:p>
          <w:p>
            <w:pPr>
              <w:adjustRightInd w:val="0"/>
              <w:snapToGrid w:val="0"/>
              <w:ind w:firstLine="420"/>
              <w:rPr>
                <w:bCs/>
                <w:snapToGrid w:val="0"/>
                <w:kern w:val="0"/>
                <w:sz w:val="21"/>
                <w:szCs w:val="21"/>
              </w:rPr>
            </w:pPr>
            <w:r>
              <w:rPr>
                <w:rFonts w:hint="eastAsia"/>
                <w:bCs/>
                <w:snapToGrid w:val="0"/>
                <w:kern w:val="0"/>
                <w:sz w:val="21"/>
                <w:szCs w:val="21"/>
              </w:rPr>
              <w:t>①点声源模式，在预测点的贡献值计算：</w:t>
            </w:r>
          </w:p>
          <w:p>
            <w:pPr>
              <w:adjustRightInd w:val="0"/>
              <w:snapToGrid w:val="0"/>
              <w:ind w:firstLine="0" w:firstLineChars="0"/>
              <w:jc w:val="center"/>
              <w:rPr>
                <w:snapToGrid w:val="0"/>
                <w:kern w:val="0"/>
                <w:sz w:val="21"/>
                <w:szCs w:val="21"/>
              </w:rPr>
            </w:pPr>
            <w:r>
              <w:rPr>
                <w:snapToGrid w:val="0"/>
                <w:kern w:val="0"/>
                <w:sz w:val="21"/>
                <w:szCs w:val="21"/>
              </w:rPr>
              <w:drawing>
                <wp:inline distT="0" distB="0" distL="0" distR="0">
                  <wp:extent cx="2247265" cy="478790"/>
                  <wp:effectExtent l="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47265" cy="478790"/>
                          </a:xfrm>
                          <a:prstGeom prst="rect">
                            <a:avLst/>
                          </a:prstGeom>
                          <a:noFill/>
                          <a:ln>
                            <a:noFill/>
                          </a:ln>
                        </pic:spPr>
                      </pic:pic>
                    </a:graphicData>
                  </a:graphic>
                </wp:inline>
              </w:drawing>
            </w:r>
          </w:p>
          <w:p>
            <w:pPr>
              <w:adjustRightInd w:val="0"/>
              <w:snapToGrid w:val="0"/>
              <w:ind w:firstLine="420"/>
              <w:rPr>
                <w:snapToGrid w:val="0"/>
                <w:kern w:val="0"/>
                <w:sz w:val="21"/>
                <w:szCs w:val="21"/>
              </w:rPr>
            </w:pPr>
            <w:r>
              <w:rPr>
                <w:rFonts w:hint="eastAsia"/>
                <w:snapToGrid w:val="0"/>
                <w:kern w:val="0"/>
                <w:sz w:val="21"/>
                <w:szCs w:val="21"/>
              </w:rPr>
              <w:t>若声源处于半自由声场，且已知声源声功率级，则公式等效为：</w:t>
            </w:r>
          </w:p>
          <w:p>
            <w:pPr>
              <w:adjustRightInd w:val="0"/>
              <w:snapToGrid w:val="0"/>
              <w:ind w:firstLine="0" w:firstLineChars="0"/>
              <w:jc w:val="center"/>
              <w:rPr>
                <w:snapToGrid w:val="0"/>
                <w:kern w:val="0"/>
                <w:sz w:val="21"/>
                <w:szCs w:val="21"/>
              </w:rPr>
            </w:pPr>
            <w:r>
              <w:rPr>
                <w:snapToGrid w:val="0"/>
                <w:kern w:val="0"/>
                <w:sz w:val="21"/>
                <w:szCs w:val="21"/>
              </w:rPr>
              <w:drawing>
                <wp:inline distT="0" distB="0" distL="0" distR="0">
                  <wp:extent cx="2136140" cy="469900"/>
                  <wp:effectExtent l="0" t="0" r="0" b="0"/>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36140" cy="469900"/>
                          </a:xfrm>
                          <a:prstGeom prst="rect">
                            <a:avLst/>
                          </a:prstGeom>
                          <a:noFill/>
                          <a:ln>
                            <a:noFill/>
                          </a:ln>
                        </pic:spPr>
                      </pic:pic>
                    </a:graphicData>
                  </a:graphic>
                </wp:inline>
              </w:drawing>
            </w:r>
          </w:p>
          <w:p>
            <w:pPr>
              <w:adjustRightInd w:val="0"/>
              <w:snapToGrid w:val="0"/>
              <w:ind w:firstLine="420"/>
              <w:rPr>
                <w:snapToGrid w:val="0"/>
                <w:kern w:val="0"/>
                <w:sz w:val="21"/>
                <w:szCs w:val="21"/>
              </w:rPr>
            </w:pPr>
            <w:r>
              <w:rPr>
                <w:rFonts w:hint="eastAsia"/>
                <w:snapToGrid w:val="0"/>
                <w:kern w:val="0"/>
                <w:sz w:val="21"/>
                <w:szCs w:val="21"/>
              </w:rPr>
              <w:t>式中：</w:t>
            </w:r>
          </w:p>
          <w:p>
            <w:pPr>
              <w:adjustRightInd w:val="0"/>
              <w:snapToGrid w:val="0"/>
              <w:ind w:firstLine="420"/>
              <w:rPr>
                <w:snapToGrid w:val="0"/>
                <w:kern w:val="0"/>
                <w:sz w:val="21"/>
                <w:szCs w:val="21"/>
              </w:rPr>
            </w:pPr>
            <w:r>
              <w:rPr>
                <w:rFonts w:hint="eastAsia"/>
                <w:snapToGrid w:val="0"/>
                <w:kern w:val="0"/>
                <w:sz w:val="21"/>
                <w:szCs w:val="21"/>
              </w:rPr>
              <w:t>L</w:t>
            </w:r>
            <w:r>
              <w:rPr>
                <w:rFonts w:hint="eastAsia"/>
                <w:snapToGrid w:val="0"/>
                <w:kern w:val="0"/>
                <w:sz w:val="21"/>
                <w:szCs w:val="21"/>
                <w:vertAlign w:val="subscript"/>
              </w:rPr>
              <w:t>A</w:t>
            </w:r>
            <w:r>
              <w:rPr>
                <w:rFonts w:hint="eastAsia"/>
                <w:snapToGrid w:val="0"/>
                <w:kern w:val="0"/>
                <w:sz w:val="21"/>
                <w:szCs w:val="21"/>
              </w:rPr>
              <w:t>(r)——距声源r处的声级值，dB(A)；</w:t>
            </w:r>
          </w:p>
          <w:p>
            <w:pPr>
              <w:adjustRightInd w:val="0"/>
              <w:snapToGrid w:val="0"/>
              <w:ind w:firstLine="420"/>
              <w:rPr>
                <w:snapToGrid w:val="0"/>
                <w:kern w:val="0"/>
                <w:sz w:val="21"/>
                <w:szCs w:val="21"/>
              </w:rPr>
            </w:pPr>
            <w:r>
              <w:rPr>
                <w:rFonts w:hint="eastAsia"/>
                <w:snapToGrid w:val="0"/>
                <w:kern w:val="0"/>
                <w:sz w:val="21"/>
                <w:szCs w:val="21"/>
              </w:rPr>
              <w:t>L</w:t>
            </w:r>
            <w:r>
              <w:rPr>
                <w:rFonts w:hint="eastAsia"/>
                <w:snapToGrid w:val="0"/>
                <w:kern w:val="0"/>
                <w:sz w:val="21"/>
                <w:szCs w:val="21"/>
                <w:vertAlign w:val="subscript"/>
              </w:rPr>
              <w:t>A</w:t>
            </w:r>
            <w:r>
              <w:rPr>
                <w:rFonts w:hint="eastAsia"/>
                <w:snapToGrid w:val="0"/>
                <w:kern w:val="0"/>
                <w:sz w:val="21"/>
                <w:szCs w:val="21"/>
              </w:rPr>
              <w:t>(r0)——参考位置r0处的声级值，dB(A)；</w:t>
            </w:r>
          </w:p>
          <w:p>
            <w:pPr>
              <w:adjustRightInd w:val="0"/>
              <w:snapToGrid w:val="0"/>
              <w:ind w:firstLine="420"/>
              <w:rPr>
                <w:snapToGrid w:val="0"/>
                <w:kern w:val="0"/>
                <w:sz w:val="21"/>
                <w:szCs w:val="21"/>
              </w:rPr>
            </w:pPr>
            <w:r>
              <w:rPr>
                <w:rFonts w:hint="eastAsia"/>
                <w:snapToGrid w:val="0"/>
                <w:kern w:val="0"/>
                <w:sz w:val="21"/>
                <w:szCs w:val="21"/>
              </w:rPr>
              <w:t>L</w:t>
            </w:r>
            <w:r>
              <w:rPr>
                <w:rFonts w:hint="eastAsia"/>
                <w:snapToGrid w:val="0"/>
                <w:kern w:val="0"/>
                <w:sz w:val="21"/>
                <w:szCs w:val="21"/>
                <w:vertAlign w:val="subscript"/>
              </w:rPr>
              <w:t>AW</w:t>
            </w:r>
            <w:r>
              <w:rPr>
                <w:rFonts w:hint="eastAsia"/>
                <w:snapToGrid w:val="0"/>
                <w:kern w:val="0"/>
                <w:sz w:val="21"/>
                <w:szCs w:val="21"/>
              </w:rPr>
              <w:t>(r0)——参考位置r0处的声功率值，dB；</w:t>
            </w:r>
          </w:p>
          <w:p>
            <w:pPr>
              <w:adjustRightInd w:val="0"/>
              <w:snapToGrid w:val="0"/>
              <w:ind w:firstLine="420"/>
              <w:rPr>
                <w:snapToGrid w:val="0"/>
                <w:kern w:val="0"/>
                <w:sz w:val="21"/>
                <w:szCs w:val="21"/>
              </w:rPr>
            </w:pPr>
            <w:r>
              <w:rPr>
                <w:rFonts w:hint="eastAsia"/>
                <w:snapToGrid w:val="0"/>
                <w:kern w:val="0"/>
                <w:sz w:val="21"/>
                <w:szCs w:val="21"/>
              </w:rPr>
              <w:t>r——预测点至声源的距离，m；</w:t>
            </w:r>
          </w:p>
          <w:p>
            <w:pPr>
              <w:adjustRightInd w:val="0"/>
              <w:snapToGrid w:val="0"/>
              <w:ind w:firstLine="420"/>
              <w:rPr>
                <w:snapToGrid w:val="0"/>
                <w:kern w:val="0"/>
                <w:sz w:val="21"/>
                <w:szCs w:val="21"/>
              </w:rPr>
            </w:pPr>
            <w:r>
              <w:rPr>
                <w:rFonts w:hint="eastAsia"/>
                <w:snapToGrid w:val="0"/>
                <w:kern w:val="0"/>
                <w:sz w:val="21"/>
                <w:szCs w:val="21"/>
              </w:rPr>
              <w:t>r</w:t>
            </w:r>
            <w:r>
              <w:rPr>
                <w:rFonts w:hint="eastAsia"/>
                <w:snapToGrid w:val="0"/>
                <w:kern w:val="0"/>
                <w:sz w:val="21"/>
                <w:szCs w:val="21"/>
                <w:vertAlign w:val="subscript"/>
              </w:rPr>
              <w:t>0</w:t>
            </w:r>
            <w:r>
              <w:rPr>
                <w:rFonts w:hint="eastAsia"/>
                <w:snapToGrid w:val="0"/>
                <w:kern w:val="0"/>
                <w:sz w:val="21"/>
                <w:szCs w:val="21"/>
              </w:rPr>
              <w:t>——参考点至声源的距离，m。</w:t>
            </w:r>
          </w:p>
          <w:p>
            <w:pPr>
              <w:adjustRightInd w:val="0"/>
              <w:snapToGrid w:val="0"/>
              <w:ind w:firstLine="420"/>
              <w:rPr>
                <w:snapToGrid w:val="0"/>
                <w:kern w:val="0"/>
                <w:sz w:val="21"/>
                <w:szCs w:val="21"/>
              </w:rPr>
            </w:pPr>
            <w:r>
              <w:rPr>
                <w:rFonts w:hint="eastAsia"/>
                <w:snapToGrid w:val="0"/>
                <w:kern w:val="0"/>
                <w:sz w:val="21"/>
                <w:szCs w:val="21"/>
              </w:rPr>
              <w:t>ΔLA——各种因素引起的噪声衰减量，dB(A)。一般指房间墙壁、室外建筑、绿化带和空气吸声衰减值。</w:t>
            </w:r>
          </w:p>
          <w:p>
            <w:pPr>
              <w:adjustRightInd w:val="0"/>
              <w:snapToGrid w:val="0"/>
              <w:ind w:firstLine="420"/>
              <w:rPr>
                <w:snapToGrid w:val="0"/>
                <w:kern w:val="0"/>
                <w:sz w:val="21"/>
                <w:szCs w:val="21"/>
              </w:rPr>
            </w:pPr>
            <w:r>
              <w:rPr>
                <w:rFonts w:hint="eastAsia"/>
                <w:snapToGrid w:val="0"/>
                <w:kern w:val="0"/>
                <w:sz w:val="21"/>
                <w:szCs w:val="21"/>
              </w:rPr>
              <w:t>②工程声源对预测点产生的贡献值计算公式如下：</w:t>
            </w:r>
          </w:p>
          <w:p>
            <w:pPr>
              <w:adjustRightInd w:val="0"/>
              <w:snapToGrid w:val="0"/>
              <w:ind w:firstLine="0" w:firstLineChars="0"/>
              <w:jc w:val="center"/>
              <w:rPr>
                <w:snapToGrid w:val="0"/>
                <w:kern w:val="0"/>
                <w:sz w:val="21"/>
                <w:szCs w:val="21"/>
              </w:rPr>
            </w:pPr>
            <w:r>
              <w:rPr>
                <w:rFonts w:ascii="宋体" w:hAnsi="宋体" w:cs="宋体"/>
                <w:snapToGrid w:val="0"/>
                <w:kern w:val="0"/>
                <w:sz w:val="21"/>
                <w:szCs w:val="21"/>
              </w:rPr>
              <w:drawing>
                <wp:inline distT="0" distB="0" distL="0" distR="0">
                  <wp:extent cx="2619375" cy="527050"/>
                  <wp:effectExtent l="0" t="0" r="9525" b="635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19375" cy="527050"/>
                          </a:xfrm>
                          <a:prstGeom prst="rect">
                            <a:avLst/>
                          </a:prstGeom>
                          <a:noFill/>
                          <a:ln>
                            <a:noFill/>
                          </a:ln>
                        </pic:spPr>
                      </pic:pic>
                    </a:graphicData>
                  </a:graphic>
                </wp:inline>
              </w:drawing>
            </w:r>
          </w:p>
          <w:p>
            <w:pPr>
              <w:adjustRightInd w:val="0"/>
              <w:snapToGrid w:val="0"/>
              <w:ind w:firstLine="420"/>
              <w:rPr>
                <w:snapToGrid w:val="0"/>
                <w:kern w:val="0"/>
                <w:sz w:val="21"/>
                <w:szCs w:val="21"/>
              </w:rPr>
            </w:pPr>
            <w:r>
              <w:rPr>
                <w:rFonts w:hint="eastAsia"/>
                <w:snapToGrid w:val="0"/>
                <w:kern w:val="0"/>
                <w:sz w:val="21"/>
                <w:szCs w:val="21"/>
              </w:rPr>
              <w:t>式中：</w:t>
            </w:r>
          </w:p>
          <w:p>
            <w:pPr>
              <w:adjustRightInd w:val="0"/>
              <w:snapToGrid w:val="0"/>
              <w:ind w:firstLine="420"/>
              <w:rPr>
                <w:snapToGrid w:val="0"/>
                <w:kern w:val="0"/>
                <w:sz w:val="21"/>
                <w:szCs w:val="21"/>
              </w:rPr>
            </w:pPr>
            <w:r>
              <w:rPr>
                <w:snapToGrid w:val="0"/>
                <w:kern w:val="0"/>
                <w:sz w:val="21"/>
                <w:szCs w:val="21"/>
              </w:rPr>
              <w:t>L</w:t>
            </w:r>
            <w:r>
              <w:rPr>
                <w:snapToGrid w:val="0"/>
                <w:kern w:val="0"/>
                <w:sz w:val="21"/>
                <w:szCs w:val="21"/>
                <w:vertAlign w:val="subscript"/>
              </w:rPr>
              <w:t>eqg</w:t>
            </w:r>
            <w:r>
              <w:rPr>
                <w:snapToGrid w:val="0"/>
                <w:kern w:val="0"/>
                <w:sz w:val="21"/>
                <w:szCs w:val="21"/>
              </w:rPr>
              <w:t>——</w:t>
            </w:r>
            <w:r>
              <w:rPr>
                <w:rFonts w:hint="eastAsia"/>
                <w:snapToGrid w:val="0"/>
                <w:kern w:val="0"/>
                <w:sz w:val="21"/>
                <w:szCs w:val="21"/>
              </w:rPr>
              <w:t>建设项目声源在预测点产生的噪声贡献值，</w:t>
            </w:r>
            <w:r>
              <w:rPr>
                <w:snapToGrid w:val="0"/>
                <w:kern w:val="0"/>
                <w:sz w:val="21"/>
                <w:szCs w:val="21"/>
              </w:rPr>
              <w:t>dB</w:t>
            </w:r>
            <w:r>
              <w:rPr>
                <w:rFonts w:hint="eastAsia"/>
                <w:snapToGrid w:val="0"/>
                <w:kern w:val="0"/>
                <w:sz w:val="21"/>
                <w:szCs w:val="21"/>
              </w:rPr>
              <w:t>；</w:t>
            </w:r>
          </w:p>
          <w:p>
            <w:pPr>
              <w:adjustRightInd w:val="0"/>
              <w:snapToGrid w:val="0"/>
              <w:ind w:firstLine="420"/>
              <w:rPr>
                <w:snapToGrid w:val="0"/>
                <w:kern w:val="0"/>
                <w:sz w:val="21"/>
                <w:szCs w:val="21"/>
              </w:rPr>
            </w:pPr>
            <w:r>
              <w:rPr>
                <w:snapToGrid w:val="0"/>
                <w:kern w:val="0"/>
                <w:sz w:val="21"/>
                <w:szCs w:val="21"/>
              </w:rPr>
              <w:t>T——</w:t>
            </w:r>
            <w:r>
              <w:rPr>
                <w:rFonts w:hint="eastAsia"/>
                <w:snapToGrid w:val="0"/>
                <w:kern w:val="0"/>
                <w:sz w:val="21"/>
                <w:szCs w:val="21"/>
              </w:rPr>
              <w:t>用于计算等效声级的时间，</w:t>
            </w:r>
            <w:r>
              <w:rPr>
                <w:snapToGrid w:val="0"/>
                <w:kern w:val="0"/>
                <w:sz w:val="21"/>
                <w:szCs w:val="21"/>
              </w:rPr>
              <w:t>s</w:t>
            </w:r>
            <w:r>
              <w:rPr>
                <w:rFonts w:hint="eastAsia"/>
                <w:snapToGrid w:val="0"/>
                <w:kern w:val="0"/>
                <w:sz w:val="21"/>
                <w:szCs w:val="21"/>
              </w:rPr>
              <w:t>；</w:t>
            </w:r>
          </w:p>
          <w:p>
            <w:pPr>
              <w:adjustRightInd w:val="0"/>
              <w:snapToGrid w:val="0"/>
              <w:ind w:firstLine="420"/>
              <w:rPr>
                <w:snapToGrid w:val="0"/>
                <w:kern w:val="0"/>
                <w:sz w:val="21"/>
                <w:szCs w:val="21"/>
              </w:rPr>
            </w:pPr>
            <w:r>
              <w:rPr>
                <w:snapToGrid w:val="0"/>
                <w:kern w:val="0"/>
                <w:sz w:val="21"/>
                <w:szCs w:val="21"/>
              </w:rPr>
              <w:t>N——</w:t>
            </w:r>
            <w:r>
              <w:rPr>
                <w:rFonts w:hint="eastAsia"/>
                <w:snapToGrid w:val="0"/>
                <w:kern w:val="0"/>
                <w:sz w:val="21"/>
                <w:szCs w:val="21"/>
              </w:rPr>
              <w:t>室外声源个数；</w:t>
            </w:r>
          </w:p>
          <w:p>
            <w:pPr>
              <w:adjustRightInd w:val="0"/>
              <w:snapToGrid w:val="0"/>
              <w:ind w:firstLine="420"/>
              <w:rPr>
                <w:snapToGrid w:val="0"/>
                <w:kern w:val="0"/>
                <w:sz w:val="21"/>
                <w:szCs w:val="21"/>
              </w:rPr>
            </w:pPr>
            <w:r>
              <w:rPr>
                <w:snapToGrid w:val="0"/>
                <w:kern w:val="0"/>
                <w:sz w:val="21"/>
                <w:szCs w:val="21"/>
              </w:rPr>
              <w:t>t</w:t>
            </w:r>
            <w:r>
              <w:rPr>
                <w:snapToGrid w:val="0"/>
                <w:kern w:val="0"/>
                <w:sz w:val="21"/>
                <w:szCs w:val="21"/>
                <w:vertAlign w:val="subscript"/>
              </w:rPr>
              <w:t>i</w:t>
            </w:r>
            <w:r>
              <w:rPr>
                <w:snapToGrid w:val="0"/>
                <w:kern w:val="0"/>
                <w:sz w:val="21"/>
                <w:szCs w:val="21"/>
              </w:rPr>
              <w:t xml:space="preserve"> ——</w:t>
            </w:r>
            <w:r>
              <w:rPr>
                <w:rFonts w:hint="eastAsia"/>
                <w:snapToGrid w:val="0"/>
                <w:kern w:val="0"/>
                <w:sz w:val="21"/>
                <w:szCs w:val="21"/>
              </w:rPr>
              <w:t>在</w:t>
            </w:r>
            <w:r>
              <w:rPr>
                <w:snapToGrid w:val="0"/>
                <w:kern w:val="0"/>
                <w:sz w:val="21"/>
                <w:szCs w:val="21"/>
              </w:rPr>
              <w:t>T</w:t>
            </w:r>
            <w:r>
              <w:rPr>
                <w:rFonts w:hint="eastAsia"/>
                <w:snapToGrid w:val="0"/>
                <w:kern w:val="0"/>
                <w:sz w:val="21"/>
                <w:szCs w:val="21"/>
              </w:rPr>
              <w:t>时间内</w:t>
            </w:r>
            <w:r>
              <w:rPr>
                <w:snapToGrid w:val="0"/>
                <w:kern w:val="0"/>
                <w:sz w:val="21"/>
                <w:szCs w:val="21"/>
              </w:rPr>
              <w:t>i</w:t>
            </w:r>
            <w:r>
              <w:rPr>
                <w:rFonts w:hint="eastAsia"/>
                <w:snapToGrid w:val="0"/>
                <w:kern w:val="0"/>
                <w:sz w:val="21"/>
                <w:szCs w:val="21"/>
              </w:rPr>
              <w:t>声源工作时间，</w:t>
            </w:r>
            <w:r>
              <w:rPr>
                <w:snapToGrid w:val="0"/>
                <w:kern w:val="0"/>
                <w:sz w:val="21"/>
                <w:szCs w:val="21"/>
              </w:rPr>
              <w:t>s</w:t>
            </w:r>
            <w:r>
              <w:rPr>
                <w:rFonts w:hint="eastAsia"/>
                <w:snapToGrid w:val="0"/>
                <w:kern w:val="0"/>
                <w:sz w:val="21"/>
                <w:szCs w:val="21"/>
              </w:rPr>
              <w:t>；</w:t>
            </w:r>
          </w:p>
          <w:p>
            <w:pPr>
              <w:adjustRightInd w:val="0"/>
              <w:snapToGrid w:val="0"/>
              <w:ind w:firstLine="420"/>
              <w:rPr>
                <w:snapToGrid w:val="0"/>
                <w:kern w:val="0"/>
                <w:sz w:val="21"/>
                <w:szCs w:val="21"/>
              </w:rPr>
            </w:pPr>
            <w:r>
              <w:rPr>
                <w:snapToGrid w:val="0"/>
                <w:kern w:val="0"/>
                <w:sz w:val="21"/>
                <w:szCs w:val="21"/>
              </w:rPr>
              <w:t>M——</w:t>
            </w:r>
            <w:r>
              <w:rPr>
                <w:rFonts w:hint="eastAsia"/>
                <w:snapToGrid w:val="0"/>
                <w:kern w:val="0"/>
                <w:sz w:val="21"/>
                <w:szCs w:val="21"/>
              </w:rPr>
              <w:t>等效室外声源个数；</w:t>
            </w:r>
          </w:p>
          <w:p>
            <w:pPr>
              <w:adjustRightInd w:val="0"/>
              <w:snapToGrid w:val="0"/>
              <w:ind w:firstLine="420"/>
              <w:rPr>
                <w:snapToGrid w:val="0"/>
                <w:kern w:val="0"/>
                <w:sz w:val="21"/>
                <w:szCs w:val="21"/>
              </w:rPr>
            </w:pPr>
            <w:r>
              <w:rPr>
                <w:snapToGrid w:val="0"/>
                <w:kern w:val="0"/>
                <w:sz w:val="21"/>
                <w:szCs w:val="21"/>
              </w:rPr>
              <w:t>t</w:t>
            </w:r>
            <w:r>
              <w:rPr>
                <w:snapToGrid w:val="0"/>
                <w:kern w:val="0"/>
                <w:sz w:val="21"/>
                <w:szCs w:val="21"/>
                <w:vertAlign w:val="subscript"/>
              </w:rPr>
              <w:t>j</w:t>
            </w:r>
            <w:r>
              <w:rPr>
                <w:snapToGrid w:val="0"/>
                <w:kern w:val="0"/>
                <w:sz w:val="21"/>
                <w:szCs w:val="21"/>
              </w:rPr>
              <w:t>——</w:t>
            </w:r>
            <w:r>
              <w:rPr>
                <w:rFonts w:hint="eastAsia"/>
                <w:snapToGrid w:val="0"/>
                <w:kern w:val="0"/>
                <w:sz w:val="21"/>
                <w:szCs w:val="21"/>
              </w:rPr>
              <w:t>在</w:t>
            </w:r>
            <w:r>
              <w:rPr>
                <w:snapToGrid w:val="0"/>
                <w:kern w:val="0"/>
                <w:sz w:val="21"/>
                <w:szCs w:val="21"/>
              </w:rPr>
              <w:t>T</w:t>
            </w:r>
            <w:r>
              <w:rPr>
                <w:rFonts w:hint="eastAsia"/>
                <w:snapToGrid w:val="0"/>
                <w:kern w:val="0"/>
                <w:sz w:val="21"/>
                <w:szCs w:val="21"/>
              </w:rPr>
              <w:t>时间内</w:t>
            </w:r>
            <w:r>
              <w:rPr>
                <w:snapToGrid w:val="0"/>
                <w:kern w:val="0"/>
                <w:sz w:val="21"/>
                <w:szCs w:val="21"/>
              </w:rPr>
              <w:t>j</w:t>
            </w:r>
            <w:r>
              <w:rPr>
                <w:rFonts w:hint="eastAsia"/>
                <w:snapToGrid w:val="0"/>
                <w:kern w:val="0"/>
                <w:sz w:val="21"/>
                <w:szCs w:val="21"/>
              </w:rPr>
              <w:t>声源工作时间，</w:t>
            </w:r>
            <w:r>
              <w:rPr>
                <w:snapToGrid w:val="0"/>
                <w:kern w:val="0"/>
                <w:sz w:val="21"/>
                <w:szCs w:val="21"/>
              </w:rPr>
              <w:t>s</w:t>
            </w:r>
            <w:r>
              <w:rPr>
                <w:rFonts w:hint="eastAsia"/>
                <w:snapToGrid w:val="0"/>
                <w:kern w:val="0"/>
                <w:sz w:val="21"/>
                <w:szCs w:val="21"/>
              </w:rPr>
              <w:t>。</w:t>
            </w:r>
          </w:p>
          <w:p>
            <w:pPr>
              <w:adjustRightInd w:val="0"/>
              <w:snapToGrid w:val="0"/>
              <w:ind w:firstLine="420"/>
              <w:rPr>
                <w:snapToGrid w:val="0"/>
                <w:kern w:val="0"/>
                <w:sz w:val="21"/>
                <w:szCs w:val="21"/>
              </w:rPr>
            </w:pPr>
            <w:r>
              <w:rPr>
                <w:rFonts w:hint="eastAsia"/>
                <w:snapToGrid w:val="0"/>
                <w:kern w:val="0"/>
                <w:sz w:val="21"/>
                <w:szCs w:val="21"/>
              </w:rPr>
              <w:t>③噪声预测值为预测点的贡献值和背景值按能量叠加方法计算得到的声级，其计算公式如下：</w:t>
            </w:r>
          </w:p>
          <w:p>
            <w:pPr>
              <w:adjustRightInd w:val="0"/>
              <w:snapToGrid w:val="0"/>
              <w:ind w:firstLine="0" w:firstLineChars="0"/>
              <w:jc w:val="center"/>
              <w:rPr>
                <w:bCs/>
                <w:snapToGrid w:val="0"/>
                <w:kern w:val="0"/>
                <w:sz w:val="21"/>
                <w:szCs w:val="21"/>
              </w:rPr>
            </w:pPr>
            <w:r>
              <w:rPr>
                <w:snapToGrid w:val="0"/>
                <w:kern w:val="0"/>
                <w:sz w:val="21"/>
                <w:szCs w:val="21"/>
              </w:rPr>
              <w:drawing>
                <wp:inline distT="0" distB="0" distL="0" distR="0">
                  <wp:extent cx="1834515" cy="249555"/>
                  <wp:effectExtent l="0" t="0" r="0" b="0"/>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79698" cy="255988"/>
                          </a:xfrm>
                          <a:prstGeom prst="rect">
                            <a:avLst/>
                          </a:prstGeom>
                          <a:noFill/>
                          <a:ln>
                            <a:noFill/>
                          </a:ln>
                        </pic:spPr>
                      </pic:pic>
                    </a:graphicData>
                  </a:graphic>
                </wp:inline>
              </w:drawing>
            </w:r>
          </w:p>
          <w:p>
            <w:pPr>
              <w:adjustRightInd w:val="0"/>
              <w:snapToGrid w:val="0"/>
              <w:ind w:firstLine="420"/>
              <w:rPr>
                <w:bCs/>
                <w:snapToGrid w:val="0"/>
                <w:kern w:val="0"/>
                <w:sz w:val="21"/>
                <w:szCs w:val="21"/>
              </w:rPr>
            </w:pPr>
            <w:r>
              <w:rPr>
                <w:rFonts w:hint="eastAsia"/>
                <w:bCs/>
                <w:snapToGrid w:val="0"/>
                <w:kern w:val="0"/>
                <w:sz w:val="21"/>
                <w:szCs w:val="21"/>
              </w:rPr>
              <w:t>式中：</w:t>
            </w:r>
          </w:p>
          <w:p>
            <w:pPr>
              <w:adjustRightInd w:val="0"/>
              <w:snapToGrid w:val="0"/>
              <w:ind w:firstLine="420"/>
              <w:rPr>
                <w:bCs/>
                <w:snapToGrid w:val="0"/>
                <w:kern w:val="0"/>
                <w:sz w:val="21"/>
                <w:szCs w:val="21"/>
              </w:rPr>
            </w:pPr>
            <w:r>
              <w:rPr>
                <w:bCs/>
                <w:snapToGrid w:val="0"/>
                <w:kern w:val="0"/>
                <w:sz w:val="21"/>
                <w:szCs w:val="21"/>
              </w:rPr>
              <w:t>L</w:t>
            </w:r>
            <w:r>
              <w:rPr>
                <w:bCs/>
                <w:snapToGrid w:val="0"/>
                <w:kern w:val="0"/>
                <w:sz w:val="21"/>
                <w:szCs w:val="21"/>
                <w:vertAlign w:val="subscript"/>
              </w:rPr>
              <w:t>Ar</w:t>
            </w:r>
            <w:r>
              <w:rPr>
                <w:bCs/>
                <w:snapToGrid w:val="0"/>
                <w:kern w:val="0"/>
                <w:sz w:val="21"/>
                <w:szCs w:val="21"/>
              </w:rPr>
              <w:t>—</w:t>
            </w:r>
            <w:r>
              <w:rPr>
                <w:rFonts w:hint="eastAsia"/>
                <w:bCs/>
                <w:snapToGrid w:val="0"/>
                <w:kern w:val="0"/>
                <w:sz w:val="21"/>
                <w:szCs w:val="21"/>
              </w:rPr>
              <w:t>预测贡献值，</w:t>
            </w:r>
            <w:r>
              <w:rPr>
                <w:bCs/>
                <w:snapToGrid w:val="0"/>
                <w:kern w:val="0"/>
                <w:sz w:val="21"/>
                <w:szCs w:val="21"/>
              </w:rPr>
              <w:t>dB(A)</w:t>
            </w:r>
            <w:r>
              <w:rPr>
                <w:rFonts w:hint="eastAsia"/>
                <w:bCs/>
                <w:snapToGrid w:val="0"/>
                <w:kern w:val="0"/>
                <w:sz w:val="21"/>
                <w:szCs w:val="21"/>
              </w:rPr>
              <w:t>；</w:t>
            </w:r>
          </w:p>
          <w:p>
            <w:pPr>
              <w:adjustRightInd w:val="0"/>
              <w:snapToGrid w:val="0"/>
              <w:ind w:firstLine="420"/>
              <w:rPr>
                <w:bCs/>
                <w:sz w:val="21"/>
                <w:szCs w:val="21"/>
              </w:rPr>
            </w:pPr>
            <w:r>
              <w:rPr>
                <w:bCs/>
                <w:snapToGrid w:val="0"/>
                <w:kern w:val="0"/>
                <w:sz w:val="21"/>
                <w:szCs w:val="21"/>
              </w:rPr>
              <w:t>L</w:t>
            </w:r>
            <w:r>
              <w:rPr>
                <w:bCs/>
                <w:snapToGrid w:val="0"/>
                <w:kern w:val="0"/>
                <w:sz w:val="21"/>
                <w:szCs w:val="21"/>
                <w:vertAlign w:val="subscript"/>
              </w:rPr>
              <w:t>Ab</w:t>
            </w:r>
            <w:r>
              <w:rPr>
                <w:bCs/>
                <w:snapToGrid w:val="0"/>
                <w:kern w:val="0"/>
                <w:sz w:val="21"/>
                <w:szCs w:val="21"/>
              </w:rPr>
              <w:t>—</w:t>
            </w:r>
            <w:r>
              <w:rPr>
                <w:rFonts w:hint="eastAsia"/>
                <w:bCs/>
                <w:snapToGrid w:val="0"/>
                <w:kern w:val="0"/>
                <w:sz w:val="21"/>
                <w:szCs w:val="21"/>
              </w:rPr>
              <w:t>背景值，</w:t>
            </w:r>
            <w:r>
              <w:rPr>
                <w:bCs/>
                <w:snapToGrid w:val="0"/>
                <w:kern w:val="0"/>
                <w:sz w:val="21"/>
                <w:szCs w:val="21"/>
              </w:rPr>
              <w:t>dB(A)</w:t>
            </w:r>
            <w:r>
              <w:rPr>
                <w:rFonts w:hint="eastAsia"/>
                <w:bCs/>
                <w:snapToGrid w:val="0"/>
                <w:kern w:val="0"/>
                <w:sz w:val="21"/>
                <w:szCs w:val="21"/>
              </w:rPr>
              <w:t>。</w:t>
            </w:r>
          </w:p>
          <w:p>
            <w:pPr>
              <w:adjustRightInd w:val="0"/>
              <w:snapToGrid w:val="0"/>
              <w:ind w:firstLine="422"/>
              <w:rPr>
                <w:b/>
                <w:bCs/>
                <w:sz w:val="21"/>
                <w:szCs w:val="21"/>
              </w:rPr>
            </w:pPr>
            <w:r>
              <w:rPr>
                <w:b/>
                <w:bCs/>
                <w:sz w:val="21"/>
                <w:szCs w:val="21"/>
              </w:rPr>
              <w:t>2.3.2噪声源强及影响分析</w:t>
            </w:r>
          </w:p>
          <w:p>
            <w:pPr>
              <w:adjustRightInd w:val="0"/>
              <w:snapToGrid w:val="0"/>
              <w:ind w:firstLine="422"/>
              <w:rPr>
                <w:b/>
                <w:bCs/>
                <w:sz w:val="21"/>
                <w:szCs w:val="21"/>
              </w:rPr>
            </w:pPr>
            <w:r>
              <w:rPr>
                <w:b/>
                <w:bCs/>
                <w:sz w:val="21"/>
                <w:szCs w:val="21"/>
              </w:rPr>
              <w:t>（1）钻井阶段噪声</w:t>
            </w:r>
          </w:p>
          <w:p>
            <w:pPr>
              <w:adjustRightInd w:val="0"/>
              <w:snapToGrid w:val="0"/>
              <w:ind w:firstLine="420"/>
              <w:rPr>
                <w:bCs/>
                <w:snapToGrid w:val="0"/>
                <w:kern w:val="0"/>
                <w:sz w:val="21"/>
                <w:szCs w:val="21"/>
              </w:rPr>
            </w:pPr>
            <w:r>
              <w:rPr>
                <w:rFonts w:hint="eastAsia"/>
                <w:bCs/>
                <w:snapToGrid w:val="0"/>
                <w:kern w:val="0"/>
                <w:sz w:val="21"/>
                <w:szCs w:val="21"/>
              </w:rPr>
              <w:t>根据钻井工程建设项目施工特点，项目开钻后至完钻前，主要产噪声设备均为2</w:t>
            </w:r>
            <w:r>
              <w:rPr>
                <w:bCs/>
                <w:snapToGrid w:val="0"/>
                <w:kern w:val="0"/>
                <w:sz w:val="21"/>
                <w:szCs w:val="21"/>
              </w:rPr>
              <w:t>4h不间断运行，因此，不存在昼夜噪声源差异。</w:t>
            </w:r>
            <w:r>
              <w:rPr>
                <w:rFonts w:hint="eastAsia"/>
                <w:bCs/>
                <w:snapToGrid w:val="0"/>
                <w:kern w:val="0"/>
                <w:sz w:val="21"/>
                <w:szCs w:val="21"/>
              </w:rPr>
              <w:t>钻井过程的噪声源主要来源于柴油发电机、钻机及振动筛、除砂器、除泥器、离心机等固控设备等，钻井噪声的处理难度较大，要减轻钻井噪声的影响，主要还是通过在钻井过程中采取相应的降噪措施，采取降噪措施后设备的噪声值见表4-</w:t>
            </w:r>
            <w:r>
              <w:rPr>
                <w:bCs/>
                <w:snapToGrid w:val="0"/>
                <w:kern w:val="0"/>
                <w:sz w:val="21"/>
                <w:szCs w:val="21"/>
              </w:rPr>
              <w:t>9</w:t>
            </w:r>
            <w:r>
              <w:rPr>
                <w:rFonts w:hint="eastAsia"/>
                <w:bCs/>
                <w:snapToGrid w:val="0"/>
                <w:kern w:val="0"/>
                <w:sz w:val="21"/>
                <w:szCs w:val="21"/>
              </w:rPr>
              <w:t>。</w:t>
            </w:r>
          </w:p>
          <w:p>
            <w:pPr>
              <w:autoSpaceDE w:val="0"/>
              <w:autoSpaceDN w:val="0"/>
              <w:adjustRightInd w:val="0"/>
              <w:ind w:firstLine="0" w:firstLineChars="0"/>
              <w:jc w:val="center"/>
              <w:rPr>
                <w:b/>
                <w:kern w:val="0"/>
                <w:sz w:val="21"/>
                <w:szCs w:val="21"/>
              </w:rPr>
            </w:pPr>
            <w:r>
              <w:rPr>
                <w:rFonts w:hint="eastAsia"/>
                <w:b/>
                <w:kern w:val="0"/>
                <w:sz w:val="21"/>
                <w:szCs w:val="21"/>
              </w:rPr>
              <w:t>表4-</w:t>
            </w:r>
            <w:r>
              <w:rPr>
                <w:b/>
                <w:kern w:val="0"/>
                <w:sz w:val="21"/>
                <w:szCs w:val="21"/>
              </w:rPr>
              <w:t>9</w:t>
            </w:r>
            <w:r>
              <w:rPr>
                <w:rFonts w:hint="eastAsia"/>
                <w:b/>
                <w:kern w:val="0"/>
                <w:sz w:val="21"/>
                <w:szCs w:val="21"/>
              </w:rPr>
              <w:t xml:space="preserve">  采取降噪措施后设备的噪声值</w:t>
            </w:r>
          </w:p>
          <w:tbl>
            <w:tblPr>
              <w:tblStyle w:val="22"/>
              <w:tblW w:w="49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057"/>
              <w:gridCol w:w="1688"/>
              <w:gridCol w:w="656"/>
              <w:gridCol w:w="656"/>
              <w:gridCol w:w="522"/>
              <w:gridCol w:w="1076"/>
              <w:gridCol w:w="1625"/>
              <w:gridCol w:w="65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Merge w:val="restart"/>
                  <w:tcBorders>
                    <w:top w:val="single" w:color="auto" w:sz="2" w:space="0"/>
                    <w:left w:val="single" w:color="auto" w:sz="2"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序号</w:t>
                  </w:r>
                </w:p>
              </w:tc>
              <w:tc>
                <w:tcPr>
                  <w:tcW w:w="639" w:type="pct"/>
                  <w:vMerge w:val="restart"/>
                  <w:tcBorders>
                    <w:top w:val="single" w:color="auto" w:sz="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声源</w:t>
                  </w:r>
                </w:p>
                <w:p>
                  <w:pPr>
                    <w:adjustRightInd w:val="0"/>
                    <w:snapToGrid w:val="0"/>
                    <w:spacing w:line="240" w:lineRule="auto"/>
                    <w:ind w:firstLine="0" w:firstLineChars="0"/>
                    <w:jc w:val="center"/>
                    <w:rPr>
                      <w:b/>
                      <w:snapToGrid w:val="0"/>
                      <w:kern w:val="0"/>
                      <w:sz w:val="21"/>
                      <w:szCs w:val="21"/>
                    </w:rPr>
                  </w:pPr>
                  <w:r>
                    <w:rPr>
                      <w:b/>
                      <w:snapToGrid w:val="0"/>
                      <w:kern w:val="0"/>
                      <w:sz w:val="21"/>
                      <w:szCs w:val="21"/>
                    </w:rPr>
                    <w:t>名称</w:t>
                  </w:r>
                </w:p>
              </w:tc>
              <w:tc>
                <w:tcPr>
                  <w:tcW w:w="912" w:type="pct"/>
                  <w:vMerge w:val="restart"/>
                  <w:tcBorders>
                    <w:top w:val="single" w:color="auto" w:sz="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型号/功率</w:t>
                  </w:r>
                </w:p>
              </w:tc>
              <w:tc>
                <w:tcPr>
                  <w:tcW w:w="1123" w:type="pct"/>
                  <w:gridSpan w:val="3"/>
                  <w:tcBorders>
                    <w:top w:val="single" w:color="auto" w:sz="2"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
                      <w:snapToGrid w:val="0"/>
                      <w:kern w:val="0"/>
                      <w:sz w:val="21"/>
                      <w:szCs w:val="21"/>
                    </w:rPr>
                  </w:pPr>
                  <w:r>
                    <w:rPr>
                      <w:b/>
                      <w:snapToGrid w:val="0"/>
                      <w:kern w:val="0"/>
                      <w:sz w:val="21"/>
                      <w:szCs w:val="21"/>
                    </w:rPr>
                    <w:t>空间相对位置m</w:t>
                  </w:r>
                </w:p>
              </w:tc>
              <w:tc>
                <w:tcPr>
                  <w:tcW w:w="650" w:type="pct"/>
                  <w:vMerge w:val="restart"/>
                  <w:tcBorders>
                    <w:top w:val="single" w:color="auto" w:sz="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声功率级/dB（A）</w:t>
                  </w:r>
                </w:p>
              </w:tc>
              <w:tc>
                <w:tcPr>
                  <w:tcW w:w="976" w:type="pct"/>
                  <w:vMerge w:val="restart"/>
                  <w:tcBorders>
                    <w:top w:val="single" w:color="auto" w:sz="2"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声源控制措施</w:t>
                  </w:r>
                </w:p>
              </w:tc>
              <w:tc>
                <w:tcPr>
                  <w:tcW w:w="398" w:type="pct"/>
                  <w:vMerge w:val="restart"/>
                  <w:tcBorders>
                    <w:top w:val="single" w:color="auto" w:sz="2"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运行时段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vMerge w:val="continue"/>
                  <w:tcBorders>
                    <w:top w:val="single" w:color="auto" w:sz="2" w:space="0"/>
                    <w:left w:val="single" w:color="auto" w:sz="2" w:space="0"/>
                    <w:bottom w:val="single" w:color="auto" w:sz="4" w:space="0"/>
                    <w:right w:val="single" w:color="auto" w:sz="4" w:space="0"/>
                  </w:tcBorders>
                  <w:vAlign w:val="center"/>
                </w:tcPr>
                <w:p>
                  <w:pPr>
                    <w:widowControl/>
                    <w:snapToGrid w:val="0"/>
                    <w:spacing w:line="240" w:lineRule="auto"/>
                    <w:ind w:firstLine="0" w:firstLineChars="0"/>
                    <w:jc w:val="center"/>
                    <w:rPr>
                      <w:b/>
                      <w:snapToGrid w:val="0"/>
                      <w:kern w:val="0"/>
                      <w:sz w:val="21"/>
                      <w:szCs w:val="21"/>
                    </w:rPr>
                  </w:pPr>
                </w:p>
              </w:tc>
              <w:tc>
                <w:tcPr>
                  <w:tcW w:w="639" w:type="pct"/>
                  <w:vMerge w:val="continue"/>
                  <w:tcBorders>
                    <w:top w:val="single" w:color="auto" w:sz="2"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b/>
                      <w:snapToGrid w:val="0"/>
                      <w:kern w:val="0"/>
                      <w:sz w:val="21"/>
                      <w:szCs w:val="21"/>
                    </w:rPr>
                  </w:pPr>
                </w:p>
              </w:tc>
              <w:tc>
                <w:tcPr>
                  <w:tcW w:w="912" w:type="pct"/>
                  <w:vMerge w:val="continue"/>
                  <w:tcBorders>
                    <w:top w:val="single" w:color="auto" w:sz="2"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b/>
                      <w:snapToGrid w:val="0"/>
                      <w:kern w:val="0"/>
                      <w:sz w:val="21"/>
                      <w:szCs w:val="21"/>
                    </w:rPr>
                  </w:pP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X</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napToGrid w:val="0"/>
                      <w:kern w:val="0"/>
                      <w:sz w:val="21"/>
                      <w:szCs w:val="21"/>
                    </w:rPr>
                  </w:pPr>
                  <w:r>
                    <w:rPr>
                      <w:b/>
                      <w:bCs/>
                      <w:snapToGrid w:val="0"/>
                      <w:kern w:val="0"/>
                      <w:sz w:val="21"/>
                      <w:szCs w:val="21"/>
                    </w:rPr>
                    <w:t>Y</w:t>
                  </w:r>
                </w:p>
              </w:tc>
              <w:tc>
                <w:tcPr>
                  <w:tcW w:w="3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ind w:firstLine="0" w:firstLineChars="0"/>
                    <w:jc w:val="center"/>
                    <w:rPr>
                      <w:b/>
                      <w:bCs/>
                      <w:snapToGrid w:val="0"/>
                      <w:kern w:val="0"/>
                      <w:sz w:val="21"/>
                      <w:szCs w:val="21"/>
                    </w:rPr>
                  </w:pPr>
                  <w:r>
                    <w:rPr>
                      <w:b/>
                      <w:bCs/>
                      <w:snapToGrid w:val="0"/>
                      <w:kern w:val="0"/>
                      <w:sz w:val="21"/>
                      <w:szCs w:val="21"/>
                    </w:rPr>
                    <w:t>Z</w:t>
                  </w:r>
                </w:p>
              </w:tc>
              <w:tc>
                <w:tcPr>
                  <w:tcW w:w="650" w:type="pct"/>
                  <w:vMerge w:val="continue"/>
                  <w:tcBorders>
                    <w:top w:val="single" w:color="auto" w:sz="2"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b/>
                      <w:snapToGrid w:val="0"/>
                      <w:kern w:val="0"/>
                      <w:sz w:val="21"/>
                      <w:szCs w:val="21"/>
                    </w:rPr>
                  </w:pPr>
                </w:p>
              </w:tc>
              <w:tc>
                <w:tcPr>
                  <w:tcW w:w="976" w:type="pct"/>
                  <w:vMerge w:val="continue"/>
                  <w:tcBorders>
                    <w:top w:val="single" w:color="auto" w:sz="2"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b/>
                      <w:snapToGrid w:val="0"/>
                      <w:kern w:val="0"/>
                      <w:sz w:val="21"/>
                      <w:szCs w:val="21"/>
                    </w:rPr>
                  </w:pPr>
                </w:p>
              </w:tc>
              <w:tc>
                <w:tcPr>
                  <w:tcW w:w="398" w:type="pct"/>
                  <w:vMerge w:val="continue"/>
                  <w:tcBorders>
                    <w:top w:val="single" w:color="auto" w:sz="2" w:space="0"/>
                    <w:left w:val="single" w:color="auto" w:sz="4" w:space="0"/>
                    <w:bottom w:val="single" w:color="auto" w:sz="4" w:space="0"/>
                    <w:right w:val="single" w:color="auto" w:sz="2" w:space="0"/>
                  </w:tcBorders>
                  <w:vAlign w:val="center"/>
                </w:tcPr>
                <w:p>
                  <w:pPr>
                    <w:widowControl/>
                    <w:snapToGrid w:val="0"/>
                    <w:spacing w:line="240" w:lineRule="auto"/>
                    <w:ind w:firstLine="0" w:firstLineChars="0"/>
                    <w:jc w:val="center"/>
                    <w:rPr>
                      <w:b/>
                      <w:snapToGrid w:val="0"/>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r>
                    <w:rPr>
                      <w:snapToGrid w:val="0"/>
                      <w:kern w:val="0"/>
                      <w:sz w:val="21"/>
                      <w:szCs w:val="21"/>
                    </w:rPr>
                    <w:t>1</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柴油发电机组1</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G12V190/ZLD</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25.6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napToGrid w:val="0"/>
                      <w:kern w:val="0"/>
                      <w:sz w:val="21"/>
                      <w:szCs w:val="21"/>
                    </w:rPr>
                  </w:pPr>
                  <w:r>
                    <w:rPr>
                      <w:rFonts w:hint="eastAsia"/>
                      <w:snapToGrid w:val="0"/>
                      <w:kern w:val="0"/>
                      <w:sz w:val="21"/>
                      <w:szCs w:val="21"/>
                    </w:rPr>
                    <w:t xml:space="preserve">7.1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110</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发电房</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2</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柴油发电机组2</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G12V190/ZLD</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30.1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6.9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110</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发电房</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3</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柴油发电机组3</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G12V190/ZLD</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35.2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7.1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110</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发电房</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4</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钻机</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ZJ－50</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0.0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-0.5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95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5</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钻井泵1</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w:t>
                  </w:r>
                  <w:r>
                    <w:rPr>
                      <w:rFonts w:hint="eastAsia"/>
                      <w:snapToGrid w:val="0"/>
                      <w:kern w:val="0"/>
                      <w:sz w:val="21"/>
                      <w:szCs w:val="21"/>
                    </w:rPr>
                    <w:t>-</w:t>
                  </w:r>
                  <w:r>
                    <w:rPr>
                      <w:snapToGrid w:val="0"/>
                      <w:kern w:val="0"/>
                      <w:sz w:val="21"/>
                      <w:szCs w:val="21"/>
                    </w:rPr>
                    <w:t>1600</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9.9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-8.3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90</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泵房、垫料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6</w:t>
                  </w:r>
                </w:p>
              </w:tc>
              <w:tc>
                <w:tcPr>
                  <w:tcW w:w="63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钻井泵2</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F</w:t>
                  </w:r>
                  <w:r>
                    <w:rPr>
                      <w:rFonts w:hint="eastAsia"/>
                      <w:snapToGrid w:val="0"/>
                      <w:kern w:val="0"/>
                      <w:sz w:val="21"/>
                      <w:szCs w:val="21"/>
                    </w:rPr>
                    <w:t>-</w:t>
                  </w:r>
                  <w:r>
                    <w:rPr>
                      <w:snapToGrid w:val="0"/>
                      <w:kern w:val="0"/>
                      <w:sz w:val="21"/>
                      <w:szCs w:val="21"/>
                    </w:rPr>
                    <w:t>1600</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14.4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-8.3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90</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泵房、垫料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7</w:t>
                  </w:r>
                </w:p>
              </w:tc>
              <w:tc>
                <w:tcPr>
                  <w:tcW w:w="639"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r>
                    <w:rPr>
                      <w:snapToGrid w:val="0"/>
                      <w:kern w:val="0"/>
                      <w:sz w:val="21"/>
                      <w:szCs w:val="21"/>
                    </w:rPr>
                    <w:t>振动筛1</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BL</w:t>
                  </w:r>
                  <w:r>
                    <w:rPr>
                      <w:rFonts w:hint="eastAsia"/>
                      <w:snapToGrid w:val="0"/>
                      <w:kern w:val="0"/>
                      <w:sz w:val="21"/>
                      <w:szCs w:val="21"/>
                    </w:rPr>
                    <w:t>-</w:t>
                  </w:r>
                  <w:r>
                    <w:rPr>
                      <w:snapToGrid w:val="0"/>
                      <w:kern w:val="0"/>
                      <w:sz w:val="21"/>
                      <w:szCs w:val="21"/>
                    </w:rPr>
                    <w:t>50高·直</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7.1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-18.2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8</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振动筛2</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BL</w:t>
                  </w:r>
                  <w:r>
                    <w:rPr>
                      <w:rFonts w:hint="eastAsia"/>
                      <w:snapToGrid w:val="0"/>
                      <w:kern w:val="0"/>
                      <w:sz w:val="21"/>
                      <w:szCs w:val="21"/>
                    </w:rPr>
                    <w:t>-</w:t>
                  </w:r>
                  <w:r>
                    <w:rPr>
                      <w:snapToGrid w:val="0"/>
                      <w:kern w:val="0"/>
                      <w:sz w:val="21"/>
                      <w:szCs w:val="21"/>
                    </w:rPr>
                    <w:t>50高·直</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11.6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-18.3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9</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振动筛3</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BL</w:t>
                  </w:r>
                  <w:r>
                    <w:rPr>
                      <w:rFonts w:hint="eastAsia"/>
                      <w:snapToGrid w:val="0"/>
                      <w:kern w:val="0"/>
                      <w:sz w:val="21"/>
                      <w:szCs w:val="21"/>
                    </w:rPr>
                    <w:t>-</w:t>
                  </w:r>
                  <w:r>
                    <w:rPr>
                      <w:snapToGrid w:val="0"/>
                      <w:kern w:val="0"/>
                      <w:sz w:val="21"/>
                      <w:szCs w:val="21"/>
                    </w:rPr>
                    <w:t>50高·直</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16.0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-18.3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10</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除砂器</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NQJ－250×2</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20.3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-18.4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11</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除泥器</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NQJ－100×10</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24.4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-18.4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2</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离心机1</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SWACO-518</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28.3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-18.5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op w:val="single" w:color="auto" w:sz="4" w:space="0"/>
                    <w:left w:val="single" w:color="auto" w:sz="2" w:space="0"/>
                    <w:bottom w:val="single" w:color="auto" w:sz="4" w:space="0"/>
                    <w:right w:val="single" w:color="auto" w:sz="4" w:space="0"/>
                  </w:tcBorders>
                  <w:vAlign w:val="center"/>
                </w:tcPr>
                <w:p>
                  <w:pPr>
                    <w:widowControl/>
                    <w:snapToGrid w:val="0"/>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3</w:t>
                  </w:r>
                </w:p>
              </w:tc>
              <w:tc>
                <w:tcPr>
                  <w:tcW w:w="639" w:type="pct"/>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离心机2</w:t>
                  </w:r>
                </w:p>
              </w:tc>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LW-500×1250-N</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32.0 </w:t>
                  </w:r>
                </w:p>
              </w:tc>
              <w:tc>
                <w:tcPr>
                  <w:tcW w:w="40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 xml:space="preserve">-18.5 </w:t>
                  </w:r>
                </w:p>
              </w:tc>
              <w:tc>
                <w:tcPr>
                  <w:tcW w:w="32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z w:val="21"/>
                      <w:szCs w:val="21"/>
                    </w:rPr>
                    <w:t>1.0</w:t>
                  </w:r>
                </w:p>
              </w:tc>
              <w:tc>
                <w:tcPr>
                  <w:tcW w:w="6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85</w:t>
                  </w:r>
                </w:p>
              </w:tc>
              <w:tc>
                <w:tcPr>
                  <w:tcW w:w="97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加衬弹性垫料</w:t>
                  </w:r>
                </w:p>
              </w:tc>
              <w:tc>
                <w:tcPr>
                  <w:tcW w:w="398" w:type="pct"/>
                  <w:tcBorders>
                    <w:top w:val="single" w:color="auto" w:sz="4" w:space="0"/>
                    <w:left w:val="single" w:color="auto" w:sz="4" w:space="0"/>
                    <w:bottom w:val="single" w:color="auto" w:sz="4" w:space="0"/>
                    <w:right w:val="single" w:color="auto" w:sz="2"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tcBorders>
                    <w:top w:val="single" w:color="auto" w:sz="4" w:space="0"/>
                    <w:left w:val="single" w:color="auto" w:sz="2" w:space="0"/>
                    <w:bottom w:val="single" w:color="auto" w:sz="2" w:space="0"/>
                    <w:right w:val="single" w:color="auto" w:sz="2" w:space="0"/>
                  </w:tcBorders>
                  <w:vAlign w:val="center"/>
                </w:tcPr>
                <w:p>
                  <w:pPr>
                    <w:autoSpaceDE w:val="0"/>
                    <w:autoSpaceDN w:val="0"/>
                    <w:adjustRightInd w:val="0"/>
                    <w:snapToGrid w:val="0"/>
                    <w:spacing w:line="240" w:lineRule="auto"/>
                    <w:ind w:firstLine="0" w:firstLineChars="0"/>
                    <w:rPr>
                      <w:snapToGrid w:val="0"/>
                      <w:kern w:val="0"/>
                      <w:sz w:val="21"/>
                      <w:szCs w:val="21"/>
                    </w:rPr>
                  </w:pPr>
                  <w:r>
                    <w:rPr>
                      <w:snapToGrid w:val="0"/>
                      <w:kern w:val="0"/>
                      <w:sz w:val="21"/>
                      <w:szCs w:val="21"/>
                    </w:rPr>
                    <w:t>注：1、以</w:t>
                  </w:r>
                  <w:r>
                    <w:rPr>
                      <w:rFonts w:hint="eastAsia"/>
                      <w:snapToGrid w:val="0"/>
                      <w:kern w:val="0"/>
                      <w:sz w:val="21"/>
                      <w:szCs w:val="21"/>
                    </w:rPr>
                    <w:t>平安</w:t>
                  </w:r>
                  <w:r>
                    <w:rPr>
                      <w:snapToGrid w:val="0"/>
                      <w:kern w:val="0"/>
                      <w:sz w:val="21"/>
                      <w:szCs w:val="21"/>
                    </w:rPr>
                    <w:t>7井口为中心，坐标为（0,0）点；2、采取声源控制措施后，柴油发电机组、钻井泵、振动筛、除砂器、除泥器、离心机声功率级分别为100dB（A）、85dB（A）、80dB（A）、80dB（A）、80dB（A）、80dB（A）。</w:t>
                  </w:r>
                </w:p>
              </w:tc>
            </w:tr>
          </w:tbl>
          <w:p>
            <w:pPr>
              <w:adjustRightInd w:val="0"/>
              <w:snapToGrid w:val="0"/>
              <w:ind w:firstLine="420"/>
              <w:rPr>
                <w:bCs/>
                <w:snapToGrid w:val="0"/>
                <w:kern w:val="0"/>
                <w:sz w:val="21"/>
                <w:szCs w:val="21"/>
              </w:rPr>
            </w:pPr>
            <w:r>
              <w:rPr>
                <w:bCs/>
                <w:snapToGrid w:val="0"/>
                <w:kern w:val="0"/>
                <w:sz w:val="21"/>
                <w:szCs w:val="21"/>
              </w:rPr>
              <w:t>（</w:t>
            </w:r>
            <w:r>
              <w:rPr>
                <w:rFonts w:hint="eastAsia"/>
                <w:bCs/>
                <w:snapToGrid w:val="0"/>
                <w:kern w:val="0"/>
                <w:sz w:val="21"/>
                <w:szCs w:val="21"/>
              </w:rPr>
              <w:t>2</w:t>
            </w:r>
            <w:r>
              <w:rPr>
                <w:bCs/>
                <w:snapToGrid w:val="0"/>
                <w:kern w:val="0"/>
                <w:sz w:val="21"/>
                <w:szCs w:val="21"/>
              </w:rPr>
              <w:t>）声环境保护目标调查情况</w:t>
            </w:r>
          </w:p>
          <w:p>
            <w:pPr>
              <w:adjustRightInd w:val="0"/>
              <w:snapToGrid w:val="0"/>
              <w:ind w:firstLine="420"/>
              <w:rPr>
                <w:bCs/>
                <w:snapToGrid w:val="0"/>
                <w:kern w:val="0"/>
                <w:sz w:val="21"/>
                <w:szCs w:val="21"/>
              </w:rPr>
            </w:pPr>
            <w:r>
              <w:rPr>
                <w:bCs/>
                <w:snapToGrid w:val="0"/>
                <w:kern w:val="0"/>
                <w:sz w:val="21"/>
                <w:szCs w:val="21"/>
              </w:rPr>
              <w:t>项目产生的噪声影响主要为</w:t>
            </w:r>
            <w:r>
              <w:rPr>
                <w:rFonts w:hint="eastAsia"/>
                <w:bCs/>
                <w:snapToGrid w:val="0"/>
                <w:kern w:val="0"/>
                <w:sz w:val="21"/>
                <w:szCs w:val="21"/>
              </w:rPr>
              <w:t>3</w:t>
            </w:r>
            <w:r>
              <w:rPr>
                <w:bCs/>
                <w:snapToGrid w:val="0"/>
                <w:kern w:val="0"/>
                <w:sz w:val="21"/>
                <w:szCs w:val="21"/>
              </w:rPr>
              <w:t>00m范围内散户居民，声环境保护目标调查情况详见下表。</w:t>
            </w:r>
          </w:p>
          <w:p>
            <w:pPr>
              <w:adjustRightInd w:val="0"/>
              <w:snapToGrid w:val="0"/>
              <w:ind w:firstLine="0" w:firstLineChars="0"/>
              <w:jc w:val="center"/>
              <w:rPr>
                <w:b/>
                <w:bCs/>
                <w:sz w:val="21"/>
                <w:szCs w:val="21"/>
              </w:rPr>
            </w:pPr>
            <w:r>
              <w:rPr>
                <w:rFonts w:hint="eastAsia" w:hAnsi="宋体"/>
                <w:b/>
                <w:snapToGrid w:val="0"/>
                <w:kern w:val="0"/>
                <w:sz w:val="21"/>
                <w:szCs w:val="21"/>
              </w:rPr>
              <w:t>表</w:t>
            </w:r>
            <w:r>
              <w:rPr>
                <w:rFonts w:hint="eastAsia"/>
                <w:b/>
                <w:snapToGrid w:val="0"/>
                <w:kern w:val="0"/>
                <w:sz w:val="21"/>
                <w:szCs w:val="21"/>
              </w:rPr>
              <w:t>4-</w:t>
            </w:r>
            <w:r>
              <w:rPr>
                <w:b/>
                <w:snapToGrid w:val="0"/>
                <w:kern w:val="0"/>
                <w:sz w:val="21"/>
                <w:szCs w:val="21"/>
              </w:rPr>
              <w:t xml:space="preserve">10  </w:t>
            </w:r>
            <w:r>
              <w:rPr>
                <w:rFonts w:hint="eastAsia" w:hAnsi="宋体"/>
                <w:b/>
                <w:snapToGrid w:val="0"/>
                <w:kern w:val="0"/>
                <w:sz w:val="21"/>
                <w:szCs w:val="21"/>
              </w:rPr>
              <w:t>声环境保护目标调查表</w:t>
            </w:r>
          </w:p>
          <w:tbl>
            <w:tblPr>
              <w:tblStyle w:val="22"/>
              <w:tblW w:w="495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2"/>
              <w:gridCol w:w="1258"/>
              <w:gridCol w:w="873"/>
              <w:gridCol w:w="853"/>
              <w:gridCol w:w="717"/>
              <w:gridCol w:w="978"/>
              <w:gridCol w:w="962"/>
              <w:gridCol w:w="1145"/>
              <w:gridCol w:w="10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序号</w:t>
                  </w:r>
                </w:p>
              </w:tc>
              <w:tc>
                <w:tcPr>
                  <w:tcW w:w="1238"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声环境保护目标名称</w:t>
                  </w:r>
                </w:p>
              </w:tc>
              <w:tc>
                <w:tcPr>
                  <w:tcW w:w="240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空间相对位置/m</w:t>
                  </w:r>
                </w:p>
              </w:tc>
              <w:tc>
                <w:tcPr>
                  <w:tcW w:w="963"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距井口最近距离/m</w:t>
                  </w:r>
                </w:p>
              </w:tc>
              <w:tc>
                <w:tcPr>
                  <w:tcW w:w="947"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方位</w:t>
                  </w:r>
                </w:p>
              </w:tc>
              <w:tc>
                <w:tcPr>
                  <w:tcW w:w="1127"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执行标准/功能区类别</w:t>
                  </w:r>
                </w:p>
              </w:tc>
              <w:tc>
                <w:tcPr>
                  <w:tcW w:w="1050"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b/>
                      <w:snapToGrid w:val="0"/>
                      <w:kern w:val="0"/>
                      <w:sz w:val="21"/>
                      <w:szCs w:val="21"/>
                    </w:rPr>
                  </w:pPr>
                  <w:r>
                    <w:rPr>
                      <w:b/>
                      <w:snapToGrid w:val="0"/>
                      <w:kern w:val="0"/>
                      <w:sz w:val="21"/>
                      <w:szCs w:val="21"/>
                    </w:rPr>
                    <w:t>声环境保护目标情况说明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3"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238"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i/>
                      <w:iCs/>
                      <w:snapToGrid w:val="0"/>
                      <w:kern w:val="0"/>
                      <w:sz w:val="21"/>
                      <w:szCs w:val="21"/>
                    </w:rPr>
                    <w:t>X</w:t>
                  </w:r>
                </w:p>
              </w:tc>
              <w:tc>
                <w:tcPr>
                  <w:tcW w:w="840" w:type="dxa"/>
                  <w:vAlign w:val="center"/>
                </w:tcPr>
                <w:p>
                  <w:pPr>
                    <w:widowControl/>
                    <w:adjustRightInd w:val="0"/>
                    <w:snapToGrid w:val="0"/>
                    <w:spacing w:line="240" w:lineRule="auto"/>
                    <w:ind w:firstLine="0" w:firstLineChars="0"/>
                    <w:jc w:val="center"/>
                    <w:rPr>
                      <w:snapToGrid w:val="0"/>
                      <w:kern w:val="0"/>
                      <w:sz w:val="21"/>
                      <w:szCs w:val="21"/>
                    </w:rPr>
                  </w:pPr>
                  <w:r>
                    <w:rPr>
                      <w:i/>
                      <w:iCs/>
                      <w:snapToGrid w:val="0"/>
                      <w:kern w:val="0"/>
                      <w:sz w:val="21"/>
                      <w:szCs w:val="21"/>
                    </w:rPr>
                    <w:t>Y</w:t>
                  </w:r>
                </w:p>
              </w:tc>
              <w:tc>
                <w:tcPr>
                  <w:tcW w:w="706" w:type="dxa"/>
                  <w:tcBorders>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i/>
                      <w:iCs/>
                      <w:snapToGrid w:val="0"/>
                      <w:kern w:val="0"/>
                      <w:sz w:val="21"/>
                      <w:szCs w:val="21"/>
                    </w:rPr>
                    <w:t>Z</w:t>
                  </w:r>
                </w:p>
              </w:tc>
              <w:tc>
                <w:tcPr>
                  <w:tcW w:w="963" w:type="dxa"/>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947" w:type="dxa"/>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127" w:type="dxa"/>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c>
                <w:tcPr>
                  <w:tcW w:w="1050" w:type="dxa"/>
                  <w:vMerge w:val="continue"/>
                  <w:tcBorders>
                    <w:left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1#</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散户居民</w:t>
                  </w:r>
                </w:p>
              </w:tc>
              <w:tc>
                <w:tcPr>
                  <w:tcW w:w="8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 xml:space="preserve">-69.0 </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 xml:space="preserve">-80.8 </w:t>
                  </w:r>
                </w:p>
              </w:tc>
              <w:tc>
                <w:tcPr>
                  <w:tcW w:w="706" w:type="dxa"/>
                  <w:vAlign w:val="center"/>
                </w:tcPr>
                <w:p>
                  <w:pPr>
                    <w:adjustRightInd w:val="0"/>
                    <w:snapToGrid w:val="0"/>
                    <w:spacing w:line="240" w:lineRule="auto"/>
                    <w:ind w:firstLine="0" w:firstLineChars="0"/>
                    <w:jc w:val="center"/>
                    <w:rPr>
                      <w:sz w:val="21"/>
                      <w:szCs w:val="21"/>
                    </w:rPr>
                  </w:pPr>
                  <w:r>
                    <w:rPr>
                      <w:sz w:val="21"/>
                      <w:szCs w:val="21"/>
                    </w:rPr>
                    <w:t>15</w:t>
                  </w:r>
                </w:p>
              </w:tc>
              <w:tc>
                <w:tcPr>
                  <w:tcW w:w="963" w:type="dxa"/>
                  <w:vAlign w:val="center"/>
                </w:tcPr>
                <w:p>
                  <w:pPr>
                    <w:adjustRightInd w:val="0"/>
                    <w:snapToGrid w:val="0"/>
                    <w:spacing w:line="240" w:lineRule="auto"/>
                    <w:ind w:firstLine="0" w:firstLineChars="0"/>
                    <w:jc w:val="center"/>
                    <w:rPr>
                      <w:snapToGrid w:val="0"/>
                      <w:kern w:val="0"/>
                      <w:sz w:val="21"/>
                      <w:szCs w:val="21"/>
                    </w:rPr>
                  </w:pPr>
                  <w:r>
                    <w:rPr>
                      <w:sz w:val="21"/>
                      <w:szCs w:val="21"/>
                    </w:rPr>
                    <w:t>15</w:t>
                  </w:r>
                </w:p>
              </w:tc>
              <w:tc>
                <w:tcPr>
                  <w:tcW w:w="947" w:type="dxa"/>
                  <w:vAlign w:val="center"/>
                </w:tcPr>
                <w:p>
                  <w:pPr>
                    <w:adjustRightInd w:val="0"/>
                    <w:snapToGrid w:val="0"/>
                    <w:spacing w:line="240" w:lineRule="auto"/>
                    <w:ind w:firstLine="0" w:firstLineChars="0"/>
                    <w:jc w:val="center"/>
                    <w:rPr>
                      <w:sz w:val="21"/>
                      <w:szCs w:val="21"/>
                    </w:rPr>
                  </w:pPr>
                  <w:r>
                    <w:rPr>
                      <w:rFonts w:hint="eastAsia"/>
                      <w:sz w:val="21"/>
                      <w:szCs w:val="21"/>
                    </w:rPr>
                    <w:t>南偏西</w:t>
                  </w:r>
                  <w:r>
                    <w:rPr>
                      <w:sz w:val="21"/>
                      <w:szCs w:val="21"/>
                    </w:rPr>
                    <w:t>33°</w:t>
                  </w:r>
                </w:p>
              </w:tc>
              <w:tc>
                <w:tcPr>
                  <w:tcW w:w="1127" w:type="dxa"/>
                  <w:vMerge w:val="restart"/>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二类</w:t>
                  </w:r>
                </w:p>
              </w:tc>
              <w:tc>
                <w:tcPr>
                  <w:tcW w:w="1050" w:type="dxa"/>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二层砖混结构楼房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2#</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散户居民</w:t>
                  </w:r>
                </w:p>
              </w:tc>
              <w:tc>
                <w:tcPr>
                  <w:tcW w:w="8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 xml:space="preserve">162.2 </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 xml:space="preserve">-174.1 </w:t>
                  </w:r>
                </w:p>
              </w:tc>
              <w:tc>
                <w:tcPr>
                  <w:tcW w:w="706" w:type="dxa"/>
                  <w:vAlign w:val="center"/>
                </w:tcPr>
                <w:p>
                  <w:pPr>
                    <w:adjustRightInd w:val="0"/>
                    <w:snapToGrid w:val="0"/>
                    <w:spacing w:line="240" w:lineRule="auto"/>
                    <w:ind w:firstLine="0" w:firstLineChars="0"/>
                    <w:jc w:val="center"/>
                    <w:rPr>
                      <w:sz w:val="21"/>
                      <w:szCs w:val="21"/>
                    </w:rPr>
                  </w:pPr>
                  <w:r>
                    <w:rPr>
                      <w:sz w:val="21"/>
                      <w:szCs w:val="21"/>
                    </w:rPr>
                    <w:t>-4</w:t>
                  </w:r>
                </w:p>
              </w:tc>
              <w:tc>
                <w:tcPr>
                  <w:tcW w:w="963" w:type="dxa"/>
                  <w:vAlign w:val="center"/>
                </w:tcPr>
                <w:p>
                  <w:pPr>
                    <w:adjustRightInd w:val="0"/>
                    <w:snapToGrid w:val="0"/>
                    <w:spacing w:line="240" w:lineRule="auto"/>
                    <w:ind w:firstLine="0" w:firstLineChars="0"/>
                    <w:jc w:val="center"/>
                    <w:rPr>
                      <w:snapToGrid w:val="0"/>
                      <w:kern w:val="0"/>
                      <w:sz w:val="21"/>
                      <w:szCs w:val="21"/>
                    </w:rPr>
                  </w:pPr>
                  <w:r>
                    <w:rPr>
                      <w:sz w:val="21"/>
                      <w:szCs w:val="21"/>
                    </w:rPr>
                    <w:t>229</w:t>
                  </w:r>
                </w:p>
              </w:tc>
              <w:tc>
                <w:tcPr>
                  <w:tcW w:w="947" w:type="dxa"/>
                  <w:vAlign w:val="center"/>
                </w:tcPr>
                <w:p>
                  <w:pPr>
                    <w:adjustRightInd w:val="0"/>
                    <w:snapToGrid w:val="0"/>
                    <w:spacing w:line="240" w:lineRule="auto"/>
                    <w:ind w:firstLine="0" w:firstLineChars="0"/>
                    <w:jc w:val="center"/>
                    <w:rPr>
                      <w:sz w:val="21"/>
                      <w:szCs w:val="21"/>
                    </w:rPr>
                  </w:pPr>
                  <w:r>
                    <w:rPr>
                      <w:rFonts w:hint="eastAsia"/>
                      <w:sz w:val="21"/>
                      <w:szCs w:val="21"/>
                    </w:rPr>
                    <w:t>南偏东</w:t>
                  </w:r>
                  <w:r>
                    <w:rPr>
                      <w:sz w:val="21"/>
                      <w:szCs w:val="21"/>
                    </w:rPr>
                    <w:t>42°</w:t>
                  </w:r>
                </w:p>
              </w:tc>
              <w:tc>
                <w:tcPr>
                  <w:tcW w:w="1127" w:type="dxa"/>
                  <w:vMerge w:val="continue"/>
                  <w:vAlign w:val="center"/>
                </w:tcPr>
                <w:p>
                  <w:pPr>
                    <w:widowControl/>
                    <w:adjustRightInd w:val="0"/>
                    <w:snapToGrid w:val="0"/>
                    <w:spacing w:line="240" w:lineRule="auto"/>
                    <w:ind w:firstLine="0" w:firstLineChars="0"/>
                    <w:jc w:val="center"/>
                    <w:rPr>
                      <w:snapToGrid w:val="0"/>
                      <w:kern w:val="0"/>
                      <w:sz w:val="21"/>
                      <w:szCs w:val="21"/>
                    </w:rPr>
                  </w:pPr>
                </w:p>
              </w:tc>
              <w:tc>
                <w:tcPr>
                  <w:tcW w:w="1050" w:type="dxa"/>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二层砖混结构楼房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3#</w:t>
                  </w:r>
                </w:p>
              </w:tc>
              <w:tc>
                <w:tcPr>
                  <w:tcW w:w="123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散户居民</w:t>
                  </w:r>
                </w:p>
              </w:tc>
              <w:tc>
                <w:tcPr>
                  <w:tcW w:w="8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21"/>
                      <w:szCs w:val="21"/>
                    </w:rPr>
                  </w:pPr>
                  <w:r>
                    <w:rPr>
                      <w:rFonts w:hint="eastAsia"/>
                      <w:sz w:val="21"/>
                      <w:szCs w:val="21"/>
                    </w:rPr>
                    <w:t xml:space="preserve">61.8 </w:t>
                  </w:r>
                </w:p>
              </w:tc>
              <w:tc>
                <w:tcPr>
                  <w:tcW w:w="840" w:type="dxa"/>
                  <w:vAlign w:val="center"/>
                </w:tcPr>
                <w:p>
                  <w:pPr>
                    <w:adjustRightInd w:val="0"/>
                    <w:snapToGrid w:val="0"/>
                    <w:spacing w:line="240" w:lineRule="auto"/>
                    <w:ind w:firstLine="0" w:firstLineChars="0"/>
                    <w:jc w:val="center"/>
                    <w:rPr>
                      <w:sz w:val="21"/>
                      <w:szCs w:val="21"/>
                    </w:rPr>
                  </w:pPr>
                  <w:r>
                    <w:rPr>
                      <w:rFonts w:hint="eastAsia"/>
                      <w:sz w:val="21"/>
                      <w:szCs w:val="21"/>
                    </w:rPr>
                    <w:t xml:space="preserve">210.0 </w:t>
                  </w:r>
                </w:p>
              </w:tc>
              <w:tc>
                <w:tcPr>
                  <w:tcW w:w="706" w:type="dxa"/>
                  <w:vAlign w:val="center"/>
                </w:tcPr>
                <w:p>
                  <w:pPr>
                    <w:adjustRightInd w:val="0"/>
                    <w:snapToGrid w:val="0"/>
                    <w:spacing w:line="240" w:lineRule="auto"/>
                    <w:ind w:firstLine="0" w:firstLineChars="0"/>
                    <w:jc w:val="center"/>
                    <w:rPr>
                      <w:sz w:val="21"/>
                      <w:szCs w:val="21"/>
                    </w:rPr>
                  </w:pPr>
                  <w:r>
                    <w:rPr>
                      <w:sz w:val="21"/>
                      <w:szCs w:val="21"/>
                    </w:rPr>
                    <w:t>-75</w:t>
                  </w:r>
                </w:p>
              </w:tc>
              <w:tc>
                <w:tcPr>
                  <w:tcW w:w="963" w:type="dxa"/>
                  <w:vAlign w:val="center"/>
                </w:tcPr>
                <w:p>
                  <w:pPr>
                    <w:adjustRightInd w:val="0"/>
                    <w:snapToGrid w:val="0"/>
                    <w:spacing w:line="240" w:lineRule="auto"/>
                    <w:ind w:firstLine="0" w:firstLineChars="0"/>
                    <w:jc w:val="center"/>
                    <w:rPr>
                      <w:snapToGrid w:val="0"/>
                      <w:kern w:val="0"/>
                      <w:sz w:val="21"/>
                      <w:szCs w:val="21"/>
                    </w:rPr>
                  </w:pPr>
                  <w:r>
                    <w:rPr>
                      <w:sz w:val="21"/>
                      <w:szCs w:val="21"/>
                    </w:rPr>
                    <w:t>214</w:t>
                  </w:r>
                </w:p>
              </w:tc>
              <w:tc>
                <w:tcPr>
                  <w:tcW w:w="947" w:type="dxa"/>
                  <w:vAlign w:val="center"/>
                </w:tcPr>
                <w:p>
                  <w:pPr>
                    <w:adjustRightInd w:val="0"/>
                    <w:snapToGrid w:val="0"/>
                    <w:spacing w:line="240" w:lineRule="auto"/>
                    <w:ind w:firstLine="0" w:firstLineChars="0"/>
                    <w:jc w:val="center"/>
                    <w:rPr>
                      <w:sz w:val="21"/>
                      <w:szCs w:val="21"/>
                    </w:rPr>
                  </w:pPr>
                  <w:r>
                    <w:rPr>
                      <w:rFonts w:hint="eastAsia"/>
                      <w:sz w:val="21"/>
                      <w:szCs w:val="21"/>
                    </w:rPr>
                    <w:t>北偏东</w:t>
                  </w:r>
                  <w:r>
                    <w:rPr>
                      <w:sz w:val="21"/>
                      <w:szCs w:val="21"/>
                    </w:rPr>
                    <w:t>27°</w:t>
                  </w:r>
                </w:p>
              </w:tc>
              <w:tc>
                <w:tcPr>
                  <w:tcW w:w="1127" w:type="dxa"/>
                  <w:vMerge w:val="continue"/>
                  <w:vAlign w:val="center"/>
                </w:tcPr>
                <w:p>
                  <w:pPr>
                    <w:widowControl/>
                    <w:adjustRightInd w:val="0"/>
                    <w:snapToGrid w:val="0"/>
                    <w:spacing w:line="240" w:lineRule="auto"/>
                    <w:ind w:firstLine="0" w:firstLineChars="0"/>
                    <w:jc w:val="center"/>
                    <w:rPr>
                      <w:snapToGrid w:val="0"/>
                      <w:kern w:val="0"/>
                      <w:sz w:val="21"/>
                      <w:szCs w:val="21"/>
                    </w:rPr>
                  </w:pPr>
                </w:p>
              </w:tc>
              <w:tc>
                <w:tcPr>
                  <w:tcW w:w="1050" w:type="dxa"/>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二层砖混结构楼房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93" w:type="dxa"/>
                  <w:gridSpan w:val="9"/>
                  <w:tcBorders>
                    <w:top w:val="single" w:color="auto" w:sz="4" w:space="0"/>
                    <w:left w:val="single" w:color="auto" w:sz="4" w:space="0"/>
                    <w:bottom w:val="single" w:color="auto" w:sz="4" w:space="0"/>
                  </w:tcBorders>
                  <w:vAlign w:val="center"/>
                </w:tcPr>
                <w:p>
                  <w:pPr>
                    <w:widowControl/>
                    <w:adjustRightInd w:val="0"/>
                    <w:snapToGrid w:val="0"/>
                    <w:spacing w:line="240" w:lineRule="auto"/>
                    <w:ind w:firstLine="0" w:firstLineChars="0"/>
                    <w:rPr>
                      <w:snapToGrid w:val="0"/>
                      <w:kern w:val="0"/>
                      <w:sz w:val="21"/>
                      <w:szCs w:val="21"/>
                    </w:rPr>
                  </w:pPr>
                  <w:r>
                    <w:rPr>
                      <w:snapToGrid w:val="0"/>
                      <w:kern w:val="0"/>
                      <w:sz w:val="21"/>
                      <w:szCs w:val="21"/>
                    </w:rPr>
                    <w:t>注：以井口为坐标原点（0,0,0）</w:t>
                  </w:r>
                </w:p>
              </w:tc>
            </w:tr>
          </w:tbl>
          <w:p>
            <w:pPr>
              <w:adjustRightInd w:val="0"/>
              <w:snapToGrid w:val="0"/>
              <w:ind w:firstLine="420"/>
              <w:rPr>
                <w:bCs/>
                <w:snapToGrid w:val="0"/>
                <w:kern w:val="0"/>
                <w:sz w:val="21"/>
                <w:szCs w:val="21"/>
              </w:rPr>
            </w:pPr>
            <w:r>
              <w:rPr>
                <w:rFonts w:hint="eastAsia"/>
                <w:bCs/>
                <w:snapToGrid w:val="0"/>
                <w:kern w:val="0"/>
                <w:sz w:val="21"/>
                <w:szCs w:val="21"/>
              </w:rPr>
              <w:t>钻井期间井场噪声贡献值等声级线见图4-</w:t>
            </w:r>
            <w:r>
              <w:rPr>
                <w:bCs/>
                <w:snapToGrid w:val="0"/>
                <w:kern w:val="0"/>
                <w:sz w:val="21"/>
                <w:szCs w:val="21"/>
              </w:rPr>
              <w:t>2</w:t>
            </w:r>
            <w:r>
              <w:rPr>
                <w:rFonts w:hint="eastAsia"/>
                <w:bCs/>
                <w:snapToGrid w:val="0"/>
                <w:kern w:val="0"/>
                <w:sz w:val="21"/>
                <w:szCs w:val="21"/>
              </w:rPr>
              <w:t>。</w:t>
            </w: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rFonts w:hint="eastAsia"/>
                <w:bCs/>
                <w:sz w:val="21"/>
                <w:szCs w:val="21"/>
              </w:rPr>
            </w:pPr>
          </w:p>
          <w:p>
            <w:pPr>
              <w:adjustRightInd w:val="0"/>
              <w:snapToGrid w:val="0"/>
              <w:ind w:firstLine="0" w:firstLineChars="0"/>
              <w:jc w:val="center"/>
              <w:rPr>
                <w:bCs/>
                <w:sz w:val="21"/>
                <w:szCs w:val="21"/>
              </w:rPr>
            </w:pPr>
            <w:r>
              <w:rPr>
                <w:bCs/>
                <w:sz w:val="21"/>
                <w:szCs w:val="21"/>
              </w:rPr>
              <w:drawing>
                <wp:inline distT="0" distB="0" distL="0" distR="0">
                  <wp:extent cx="4679950" cy="4214495"/>
                  <wp:effectExtent l="19050" t="0" r="63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srcRect/>
                          <a:stretch>
                            <a:fillRect/>
                          </a:stretch>
                        </pic:blipFill>
                        <pic:spPr>
                          <a:xfrm>
                            <a:off x="0" y="0"/>
                            <a:ext cx="4680000" cy="4214495"/>
                          </a:xfrm>
                          <a:prstGeom prst="rect">
                            <a:avLst/>
                          </a:prstGeom>
                          <a:noFill/>
                          <a:ln w="9525">
                            <a:noFill/>
                            <a:miter lim="800000"/>
                            <a:headEnd/>
                            <a:tailEnd/>
                          </a:ln>
                        </pic:spPr>
                      </pic:pic>
                    </a:graphicData>
                  </a:graphic>
                </wp:inline>
              </w:drawing>
            </w:r>
          </w:p>
          <w:p>
            <w:pPr>
              <w:adjustRightInd w:val="0"/>
              <w:snapToGrid w:val="0"/>
              <w:ind w:firstLine="0" w:firstLineChars="0"/>
              <w:jc w:val="center"/>
              <w:rPr>
                <w:b/>
                <w:bCs/>
                <w:sz w:val="21"/>
                <w:szCs w:val="21"/>
              </w:rPr>
            </w:pPr>
            <w:r>
              <w:rPr>
                <w:rFonts w:hint="eastAsia"/>
                <w:b/>
                <w:bCs/>
                <w:sz w:val="21"/>
                <w:szCs w:val="21"/>
              </w:rPr>
              <w:t>图4-</w:t>
            </w:r>
            <w:r>
              <w:rPr>
                <w:b/>
                <w:bCs/>
                <w:sz w:val="21"/>
                <w:szCs w:val="21"/>
              </w:rPr>
              <w:t>2</w:t>
            </w:r>
            <w:r>
              <w:rPr>
                <w:rFonts w:hint="eastAsia"/>
                <w:b/>
                <w:bCs/>
                <w:sz w:val="21"/>
                <w:szCs w:val="21"/>
              </w:rPr>
              <w:t xml:space="preserve">  钻井噪声贡献值等声级线图</w:t>
            </w:r>
          </w:p>
          <w:p>
            <w:pPr>
              <w:adjustRightInd w:val="0"/>
              <w:snapToGrid w:val="0"/>
              <w:ind w:firstLine="420"/>
              <w:rPr>
                <w:bCs/>
                <w:snapToGrid w:val="0"/>
                <w:kern w:val="0"/>
                <w:sz w:val="21"/>
                <w:szCs w:val="21"/>
              </w:rPr>
            </w:pPr>
            <w:r>
              <w:rPr>
                <w:rFonts w:hint="eastAsia"/>
                <w:bCs/>
                <w:snapToGrid w:val="0"/>
                <w:kern w:val="0"/>
                <w:sz w:val="21"/>
                <w:szCs w:val="21"/>
              </w:rPr>
              <w:t>根据噪声预测结果可知，项目钻井施工期间，井场东侧场界噪声贡献值为</w:t>
            </w:r>
            <w:r>
              <w:rPr>
                <w:bCs/>
                <w:snapToGrid w:val="0"/>
                <w:kern w:val="0"/>
                <w:sz w:val="21"/>
                <w:szCs w:val="21"/>
              </w:rPr>
              <w:t>66.0dB</w:t>
            </w:r>
            <w:r>
              <w:rPr>
                <w:rFonts w:hint="eastAsia" w:hAnsi="宋体"/>
                <w:bCs/>
                <w:snapToGrid w:val="0"/>
                <w:kern w:val="0"/>
                <w:sz w:val="21"/>
                <w:szCs w:val="21"/>
              </w:rPr>
              <w:t>（</w:t>
            </w:r>
            <w:r>
              <w:rPr>
                <w:bCs/>
                <w:snapToGrid w:val="0"/>
                <w:kern w:val="0"/>
                <w:sz w:val="21"/>
                <w:szCs w:val="21"/>
              </w:rPr>
              <w:t>A</w:t>
            </w:r>
            <w:r>
              <w:rPr>
                <w:rFonts w:hint="eastAsia" w:hAnsi="宋体"/>
                <w:bCs/>
                <w:snapToGrid w:val="0"/>
                <w:kern w:val="0"/>
                <w:sz w:val="21"/>
                <w:szCs w:val="21"/>
              </w:rPr>
              <w:t>），南侧</w:t>
            </w:r>
            <w:r>
              <w:rPr>
                <w:rFonts w:hint="eastAsia"/>
                <w:bCs/>
                <w:snapToGrid w:val="0"/>
                <w:kern w:val="0"/>
                <w:sz w:val="21"/>
                <w:szCs w:val="21"/>
              </w:rPr>
              <w:t>场界噪声贡献值为</w:t>
            </w:r>
            <w:r>
              <w:rPr>
                <w:bCs/>
                <w:snapToGrid w:val="0"/>
                <w:kern w:val="0"/>
                <w:sz w:val="21"/>
                <w:szCs w:val="21"/>
              </w:rPr>
              <w:t>63.6dB</w:t>
            </w:r>
            <w:r>
              <w:rPr>
                <w:rFonts w:hint="eastAsia" w:hAnsi="宋体"/>
                <w:bCs/>
                <w:snapToGrid w:val="0"/>
                <w:kern w:val="0"/>
                <w:sz w:val="21"/>
                <w:szCs w:val="21"/>
              </w:rPr>
              <w:t>（</w:t>
            </w:r>
            <w:r>
              <w:rPr>
                <w:bCs/>
                <w:snapToGrid w:val="0"/>
                <w:kern w:val="0"/>
                <w:sz w:val="21"/>
                <w:szCs w:val="21"/>
              </w:rPr>
              <w:t>A</w:t>
            </w:r>
            <w:r>
              <w:rPr>
                <w:rFonts w:hint="eastAsia" w:hAnsi="宋体"/>
                <w:bCs/>
                <w:snapToGrid w:val="0"/>
                <w:kern w:val="0"/>
                <w:sz w:val="21"/>
                <w:szCs w:val="21"/>
              </w:rPr>
              <w:t>），西侧</w:t>
            </w:r>
            <w:r>
              <w:rPr>
                <w:rFonts w:hint="eastAsia"/>
                <w:bCs/>
                <w:snapToGrid w:val="0"/>
                <w:kern w:val="0"/>
                <w:sz w:val="21"/>
                <w:szCs w:val="21"/>
              </w:rPr>
              <w:t>场界噪声贡献值为</w:t>
            </w:r>
            <w:r>
              <w:rPr>
                <w:rFonts w:hint="eastAsia"/>
                <w:sz w:val="21"/>
                <w:szCs w:val="21"/>
              </w:rPr>
              <w:t>55.5</w:t>
            </w:r>
            <w:r>
              <w:rPr>
                <w:bCs/>
                <w:snapToGrid w:val="0"/>
                <w:kern w:val="0"/>
                <w:sz w:val="21"/>
                <w:szCs w:val="21"/>
              </w:rPr>
              <w:t>dB</w:t>
            </w:r>
            <w:r>
              <w:rPr>
                <w:rFonts w:hint="eastAsia" w:hAnsi="宋体"/>
                <w:bCs/>
                <w:snapToGrid w:val="0"/>
                <w:kern w:val="0"/>
                <w:sz w:val="21"/>
                <w:szCs w:val="21"/>
              </w:rPr>
              <w:t>（</w:t>
            </w:r>
            <w:r>
              <w:rPr>
                <w:bCs/>
                <w:snapToGrid w:val="0"/>
                <w:kern w:val="0"/>
                <w:sz w:val="21"/>
                <w:szCs w:val="21"/>
              </w:rPr>
              <w:t>A</w:t>
            </w:r>
            <w:r>
              <w:rPr>
                <w:rFonts w:hint="eastAsia" w:hAnsi="宋体"/>
                <w:bCs/>
                <w:snapToGrid w:val="0"/>
                <w:kern w:val="0"/>
                <w:sz w:val="21"/>
                <w:szCs w:val="21"/>
              </w:rPr>
              <w:t>），北侧</w:t>
            </w:r>
            <w:r>
              <w:rPr>
                <w:rFonts w:hint="eastAsia"/>
                <w:bCs/>
                <w:snapToGrid w:val="0"/>
                <w:kern w:val="0"/>
                <w:sz w:val="21"/>
                <w:szCs w:val="21"/>
              </w:rPr>
              <w:t>场界噪声贡献值为</w:t>
            </w:r>
            <w:r>
              <w:rPr>
                <w:rFonts w:hint="eastAsia"/>
                <w:sz w:val="21"/>
                <w:szCs w:val="21"/>
              </w:rPr>
              <w:t>68.0</w:t>
            </w:r>
            <w:r>
              <w:rPr>
                <w:bCs/>
                <w:snapToGrid w:val="0"/>
                <w:kern w:val="0"/>
                <w:sz w:val="21"/>
                <w:szCs w:val="21"/>
              </w:rPr>
              <w:t>dB</w:t>
            </w:r>
            <w:r>
              <w:rPr>
                <w:rFonts w:hint="eastAsia" w:hAnsi="宋体"/>
                <w:bCs/>
                <w:snapToGrid w:val="0"/>
                <w:kern w:val="0"/>
                <w:sz w:val="21"/>
                <w:szCs w:val="21"/>
              </w:rPr>
              <w:t>（</w:t>
            </w:r>
            <w:r>
              <w:rPr>
                <w:bCs/>
                <w:snapToGrid w:val="0"/>
                <w:kern w:val="0"/>
                <w:sz w:val="21"/>
                <w:szCs w:val="21"/>
              </w:rPr>
              <w:t>A</w:t>
            </w:r>
            <w:r>
              <w:rPr>
                <w:rFonts w:hint="eastAsia" w:hAnsi="宋体"/>
                <w:bCs/>
                <w:snapToGrid w:val="0"/>
                <w:kern w:val="0"/>
                <w:sz w:val="21"/>
                <w:szCs w:val="21"/>
              </w:rPr>
              <w:t>），项目昼间场界均满足</w:t>
            </w:r>
            <w:r>
              <w:rPr>
                <w:rFonts w:hint="eastAsia"/>
                <w:bCs/>
                <w:snapToGrid w:val="0"/>
                <w:kern w:val="0"/>
                <w:sz w:val="21"/>
                <w:szCs w:val="21"/>
              </w:rPr>
              <w:t>《建筑施工场界环境噪声排放标准》（GB12523-2011）昼间标准限值，夜间施工场界</w:t>
            </w:r>
            <w:r>
              <w:rPr>
                <w:rFonts w:hint="eastAsia" w:hAnsi="宋体"/>
                <w:bCs/>
                <w:snapToGrid w:val="0"/>
                <w:kern w:val="0"/>
                <w:sz w:val="21"/>
                <w:szCs w:val="21"/>
              </w:rPr>
              <w:t>均不满足</w:t>
            </w:r>
            <w:r>
              <w:rPr>
                <w:rFonts w:hint="eastAsia"/>
                <w:bCs/>
                <w:snapToGrid w:val="0"/>
                <w:kern w:val="0"/>
                <w:sz w:val="21"/>
                <w:szCs w:val="21"/>
              </w:rPr>
              <w:t>《建筑施工场界环境噪声排放标准》（GB12523-2011）夜间标准限值。</w:t>
            </w:r>
            <w:r>
              <w:rPr>
                <w:bCs/>
                <w:snapToGrid w:val="0"/>
                <w:kern w:val="0"/>
                <w:sz w:val="21"/>
                <w:szCs w:val="21"/>
              </w:rPr>
              <w:t>项目钻井期间</w:t>
            </w:r>
            <w:r>
              <w:rPr>
                <w:rFonts w:hint="eastAsia"/>
                <w:bCs/>
                <w:snapToGrid w:val="0"/>
                <w:kern w:val="0"/>
                <w:sz w:val="21"/>
                <w:szCs w:val="21"/>
              </w:rPr>
              <w:t>昼间</w:t>
            </w:r>
            <w:r>
              <w:rPr>
                <w:bCs/>
                <w:snapToGrid w:val="0"/>
                <w:kern w:val="0"/>
                <w:sz w:val="21"/>
                <w:szCs w:val="21"/>
              </w:rPr>
              <w:t>噪声</w:t>
            </w:r>
            <w:r>
              <w:rPr>
                <w:rFonts w:hint="eastAsia"/>
                <w:bCs/>
                <w:snapToGrid w:val="0"/>
                <w:kern w:val="0"/>
                <w:sz w:val="21"/>
                <w:szCs w:val="21"/>
              </w:rPr>
              <w:t>贡献值</w:t>
            </w:r>
            <w:r>
              <w:rPr>
                <w:bCs/>
                <w:snapToGrid w:val="0"/>
                <w:kern w:val="0"/>
                <w:sz w:val="21"/>
                <w:szCs w:val="21"/>
              </w:rPr>
              <w:t>达标距离为：</w:t>
            </w:r>
            <w:r>
              <w:rPr>
                <w:rFonts w:hint="eastAsia"/>
                <w:bCs/>
                <w:snapToGrid w:val="0"/>
                <w:kern w:val="0"/>
                <w:sz w:val="21"/>
                <w:szCs w:val="21"/>
              </w:rPr>
              <w:t>东侧</w:t>
            </w:r>
            <w:r>
              <w:rPr>
                <w:bCs/>
                <w:snapToGrid w:val="0"/>
                <w:kern w:val="0"/>
                <w:sz w:val="21"/>
                <w:szCs w:val="21"/>
              </w:rPr>
              <w:t>距离井口约</w:t>
            </w:r>
            <w:r>
              <w:rPr>
                <w:rFonts w:hint="eastAsia"/>
                <w:bCs/>
                <w:snapToGrid w:val="0"/>
                <w:kern w:val="0"/>
                <w:sz w:val="21"/>
                <w:szCs w:val="21"/>
              </w:rPr>
              <w:t>75</w:t>
            </w:r>
            <w:r>
              <w:rPr>
                <w:bCs/>
                <w:snapToGrid w:val="0"/>
                <w:kern w:val="0"/>
                <w:sz w:val="21"/>
                <w:szCs w:val="21"/>
              </w:rPr>
              <w:t>m，</w:t>
            </w:r>
            <w:r>
              <w:rPr>
                <w:rFonts w:hint="eastAsia"/>
                <w:bCs/>
                <w:snapToGrid w:val="0"/>
                <w:kern w:val="0"/>
                <w:sz w:val="21"/>
                <w:szCs w:val="21"/>
              </w:rPr>
              <w:t>南侧</w:t>
            </w:r>
            <w:r>
              <w:rPr>
                <w:bCs/>
                <w:snapToGrid w:val="0"/>
                <w:kern w:val="0"/>
                <w:sz w:val="21"/>
                <w:szCs w:val="21"/>
              </w:rPr>
              <w:t>距离井口约</w:t>
            </w:r>
            <w:r>
              <w:rPr>
                <w:rFonts w:hint="eastAsia"/>
                <w:bCs/>
                <w:snapToGrid w:val="0"/>
                <w:kern w:val="0"/>
                <w:sz w:val="21"/>
                <w:szCs w:val="21"/>
              </w:rPr>
              <w:t>45</w:t>
            </w:r>
            <w:r>
              <w:rPr>
                <w:bCs/>
                <w:snapToGrid w:val="0"/>
                <w:kern w:val="0"/>
                <w:sz w:val="21"/>
                <w:szCs w:val="21"/>
              </w:rPr>
              <w:t>m，西</w:t>
            </w:r>
            <w:r>
              <w:rPr>
                <w:rFonts w:hint="eastAsia"/>
                <w:bCs/>
                <w:snapToGrid w:val="0"/>
                <w:kern w:val="0"/>
                <w:sz w:val="21"/>
                <w:szCs w:val="21"/>
              </w:rPr>
              <w:t>侧</w:t>
            </w:r>
            <w:r>
              <w:rPr>
                <w:bCs/>
                <w:snapToGrid w:val="0"/>
                <w:kern w:val="0"/>
                <w:sz w:val="21"/>
                <w:szCs w:val="21"/>
              </w:rPr>
              <w:t>距离井口约25m，</w:t>
            </w:r>
            <w:r>
              <w:rPr>
                <w:rFonts w:hint="eastAsia"/>
                <w:bCs/>
                <w:snapToGrid w:val="0"/>
                <w:kern w:val="0"/>
                <w:sz w:val="21"/>
                <w:szCs w:val="21"/>
              </w:rPr>
              <w:t>北侧</w:t>
            </w:r>
            <w:r>
              <w:rPr>
                <w:bCs/>
                <w:snapToGrid w:val="0"/>
                <w:kern w:val="0"/>
                <w:sz w:val="21"/>
                <w:szCs w:val="21"/>
              </w:rPr>
              <w:t>距离井口约</w:t>
            </w:r>
            <w:r>
              <w:rPr>
                <w:rFonts w:hint="eastAsia"/>
                <w:bCs/>
                <w:snapToGrid w:val="0"/>
                <w:kern w:val="0"/>
                <w:sz w:val="21"/>
                <w:szCs w:val="21"/>
              </w:rPr>
              <w:t>55</w:t>
            </w:r>
            <w:r>
              <w:rPr>
                <w:bCs/>
                <w:snapToGrid w:val="0"/>
                <w:kern w:val="0"/>
                <w:sz w:val="21"/>
                <w:szCs w:val="21"/>
              </w:rPr>
              <w:t>m</w:t>
            </w:r>
            <w:r>
              <w:rPr>
                <w:rFonts w:hint="eastAsia"/>
                <w:bCs/>
                <w:snapToGrid w:val="0"/>
                <w:kern w:val="0"/>
                <w:sz w:val="21"/>
                <w:szCs w:val="21"/>
              </w:rPr>
              <w:t>，超标范围内无敏感点分布</w:t>
            </w:r>
            <w:r>
              <w:rPr>
                <w:bCs/>
                <w:snapToGrid w:val="0"/>
                <w:kern w:val="0"/>
                <w:sz w:val="21"/>
                <w:szCs w:val="21"/>
              </w:rPr>
              <w:t>；夜间</w:t>
            </w:r>
            <w:r>
              <w:rPr>
                <w:rFonts w:hint="eastAsia"/>
                <w:bCs/>
                <w:snapToGrid w:val="0"/>
                <w:kern w:val="0"/>
                <w:sz w:val="21"/>
                <w:szCs w:val="21"/>
              </w:rPr>
              <w:t>贡献值</w:t>
            </w:r>
            <w:r>
              <w:rPr>
                <w:bCs/>
                <w:snapToGrid w:val="0"/>
                <w:kern w:val="0"/>
                <w:sz w:val="21"/>
                <w:szCs w:val="21"/>
              </w:rPr>
              <w:t>噪声达标距离为：</w:t>
            </w:r>
            <w:r>
              <w:rPr>
                <w:rFonts w:hint="eastAsia"/>
                <w:bCs/>
                <w:snapToGrid w:val="0"/>
                <w:kern w:val="0"/>
                <w:sz w:val="21"/>
                <w:szCs w:val="21"/>
              </w:rPr>
              <w:t>东侧</w:t>
            </w:r>
            <w:r>
              <w:rPr>
                <w:bCs/>
                <w:snapToGrid w:val="0"/>
                <w:kern w:val="0"/>
                <w:sz w:val="21"/>
                <w:szCs w:val="21"/>
              </w:rPr>
              <w:t>距离井口约</w:t>
            </w:r>
            <w:r>
              <w:rPr>
                <w:rFonts w:hint="eastAsia"/>
                <w:bCs/>
                <w:snapToGrid w:val="0"/>
                <w:kern w:val="0"/>
                <w:sz w:val="21"/>
                <w:szCs w:val="21"/>
              </w:rPr>
              <w:t>160</w:t>
            </w:r>
            <w:r>
              <w:rPr>
                <w:bCs/>
                <w:snapToGrid w:val="0"/>
                <w:kern w:val="0"/>
                <w:sz w:val="21"/>
                <w:szCs w:val="21"/>
              </w:rPr>
              <w:t>m，</w:t>
            </w:r>
            <w:r>
              <w:rPr>
                <w:rFonts w:hint="eastAsia"/>
                <w:bCs/>
                <w:snapToGrid w:val="0"/>
                <w:kern w:val="0"/>
                <w:sz w:val="21"/>
                <w:szCs w:val="21"/>
              </w:rPr>
              <w:t>南侧</w:t>
            </w:r>
            <w:r>
              <w:rPr>
                <w:bCs/>
                <w:snapToGrid w:val="0"/>
                <w:kern w:val="0"/>
                <w:sz w:val="21"/>
                <w:szCs w:val="21"/>
              </w:rPr>
              <w:t>距离井口约</w:t>
            </w:r>
            <w:r>
              <w:rPr>
                <w:rFonts w:hint="eastAsia"/>
                <w:bCs/>
                <w:snapToGrid w:val="0"/>
                <w:kern w:val="0"/>
                <w:sz w:val="21"/>
                <w:szCs w:val="21"/>
              </w:rPr>
              <w:t>135</w:t>
            </w:r>
            <w:r>
              <w:rPr>
                <w:bCs/>
                <w:snapToGrid w:val="0"/>
                <w:kern w:val="0"/>
                <w:sz w:val="21"/>
                <w:szCs w:val="21"/>
              </w:rPr>
              <w:t>m，</w:t>
            </w:r>
            <w:r>
              <w:rPr>
                <w:rFonts w:hint="eastAsia"/>
                <w:bCs/>
                <w:snapToGrid w:val="0"/>
                <w:kern w:val="0"/>
                <w:sz w:val="21"/>
                <w:szCs w:val="21"/>
              </w:rPr>
              <w:t>西侧</w:t>
            </w:r>
            <w:r>
              <w:rPr>
                <w:bCs/>
                <w:snapToGrid w:val="0"/>
                <w:kern w:val="0"/>
                <w:sz w:val="21"/>
                <w:szCs w:val="21"/>
              </w:rPr>
              <w:t>距离井口约</w:t>
            </w:r>
            <w:r>
              <w:rPr>
                <w:rFonts w:hint="eastAsia"/>
                <w:bCs/>
                <w:snapToGrid w:val="0"/>
                <w:kern w:val="0"/>
                <w:sz w:val="21"/>
                <w:szCs w:val="21"/>
              </w:rPr>
              <w:t>110</w:t>
            </w:r>
            <w:r>
              <w:rPr>
                <w:bCs/>
                <w:snapToGrid w:val="0"/>
                <w:kern w:val="0"/>
                <w:sz w:val="21"/>
                <w:szCs w:val="21"/>
              </w:rPr>
              <w:t>m，</w:t>
            </w:r>
            <w:r>
              <w:rPr>
                <w:rFonts w:hint="eastAsia"/>
                <w:bCs/>
                <w:snapToGrid w:val="0"/>
                <w:kern w:val="0"/>
                <w:sz w:val="21"/>
                <w:szCs w:val="21"/>
              </w:rPr>
              <w:t>北侧</w:t>
            </w:r>
            <w:r>
              <w:rPr>
                <w:bCs/>
                <w:snapToGrid w:val="0"/>
                <w:kern w:val="0"/>
                <w:sz w:val="21"/>
                <w:szCs w:val="21"/>
              </w:rPr>
              <w:t>距离井口约11</w:t>
            </w:r>
            <w:r>
              <w:rPr>
                <w:rFonts w:hint="eastAsia"/>
                <w:bCs/>
                <w:snapToGrid w:val="0"/>
                <w:kern w:val="0"/>
                <w:sz w:val="21"/>
                <w:szCs w:val="21"/>
              </w:rPr>
              <w:t>5</w:t>
            </w:r>
            <w:r>
              <w:rPr>
                <w:bCs/>
                <w:snapToGrid w:val="0"/>
                <w:kern w:val="0"/>
                <w:sz w:val="21"/>
                <w:szCs w:val="21"/>
              </w:rPr>
              <w:t>m</w:t>
            </w:r>
            <w:r>
              <w:rPr>
                <w:rFonts w:hint="eastAsia"/>
                <w:bCs/>
                <w:snapToGrid w:val="0"/>
                <w:kern w:val="0"/>
                <w:sz w:val="21"/>
                <w:szCs w:val="21"/>
              </w:rPr>
              <w:t>，</w:t>
            </w:r>
            <w:r>
              <w:rPr>
                <w:bCs/>
                <w:snapToGrid w:val="0"/>
                <w:kern w:val="0"/>
                <w:sz w:val="21"/>
                <w:szCs w:val="21"/>
              </w:rPr>
              <w:t>超标范围内</w:t>
            </w:r>
            <w:r>
              <w:rPr>
                <w:rFonts w:hint="eastAsia"/>
                <w:bCs/>
                <w:snapToGrid w:val="0"/>
                <w:kern w:val="0"/>
                <w:sz w:val="21"/>
                <w:szCs w:val="21"/>
              </w:rPr>
              <w:t>分布有1</w:t>
            </w:r>
            <w:r>
              <w:rPr>
                <w:bCs/>
                <w:snapToGrid w:val="0"/>
                <w:kern w:val="0"/>
                <w:sz w:val="21"/>
                <w:szCs w:val="21"/>
              </w:rPr>
              <w:t>#敏感点</w:t>
            </w:r>
            <w:r>
              <w:rPr>
                <w:rFonts w:hint="eastAsia"/>
                <w:bCs/>
                <w:snapToGrid w:val="0"/>
                <w:kern w:val="0"/>
                <w:sz w:val="21"/>
                <w:szCs w:val="21"/>
              </w:rPr>
              <w:t>。</w:t>
            </w:r>
          </w:p>
          <w:p>
            <w:pPr>
              <w:adjustRightInd w:val="0"/>
              <w:snapToGrid w:val="0"/>
              <w:ind w:firstLine="420"/>
              <w:rPr>
                <w:bCs/>
                <w:snapToGrid w:val="0"/>
                <w:kern w:val="0"/>
                <w:sz w:val="21"/>
                <w:szCs w:val="21"/>
              </w:rPr>
            </w:pPr>
            <w:r>
              <w:rPr>
                <w:rFonts w:hint="eastAsia"/>
                <w:bCs/>
                <w:snapToGrid w:val="0"/>
                <w:kern w:val="0"/>
                <w:sz w:val="21"/>
                <w:szCs w:val="21"/>
              </w:rPr>
              <w:t>项目拟采取泥浆泵、振动筛、除砂器、除泥器及离心机等高噪声设备下方</w:t>
            </w:r>
            <w:r>
              <w:rPr>
                <w:rFonts w:hint="eastAsia" w:hAnsi="宋体"/>
                <w:snapToGrid w:val="0"/>
                <w:kern w:val="0"/>
                <w:sz w:val="21"/>
                <w:szCs w:val="21"/>
              </w:rPr>
              <w:t>加衬弹性垫料</w:t>
            </w:r>
            <w:r>
              <w:rPr>
                <w:rFonts w:hint="eastAsia"/>
                <w:bCs/>
                <w:snapToGrid w:val="0"/>
                <w:kern w:val="0"/>
                <w:sz w:val="21"/>
                <w:szCs w:val="21"/>
              </w:rPr>
              <w:t>，建设单独的泥浆泵房和放电机房降低噪声影响。</w:t>
            </w: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420"/>
              <w:rPr>
                <w:rFonts w:hint="eastAsia"/>
                <w:bCs/>
                <w:sz w:val="21"/>
                <w:szCs w:val="21"/>
              </w:rPr>
            </w:pPr>
          </w:p>
          <w:p>
            <w:pPr>
              <w:adjustRightInd w:val="0"/>
              <w:snapToGrid w:val="0"/>
              <w:ind w:firstLine="420"/>
              <w:rPr>
                <w:bCs/>
                <w:sz w:val="21"/>
                <w:szCs w:val="21"/>
              </w:rPr>
            </w:pPr>
          </w:p>
        </w:tc>
      </w:tr>
    </w:tbl>
    <w:p>
      <w:pPr>
        <w:ind w:firstLine="420"/>
        <w:rPr>
          <w:sz w:val="21"/>
          <w:szCs w:val="21"/>
        </w:rPr>
        <w:sectPr>
          <w:pgSz w:w="11906" w:h="16838"/>
          <w:pgMar w:top="1440" w:right="1440" w:bottom="1440" w:left="1440" w:header="851" w:footer="1077" w:gutter="0"/>
          <w:cols w:space="425"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240" w:lineRule="auto"/>
              <w:ind w:firstLine="0" w:firstLineChars="0"/>
              <w:jc w:val="center"/>
              <w:rPr>
                <w:sz w:val="21"/>
                <w:szCs w:val="21"/>
              </w:rPr>
            </w:pPr>
            <w:r>
              <w:rPr>
                <w:rFonts w:hint="eastAsia"/>
                <w:sz w:val="21"/>
                <w:szCs w:val="21"/>
              </w:rPr>
              <w:t>施工期生态环境影响分析</w:t>
            </w:r>
          </w:p>
        </w:tc>
        <w:tc>
          <w:tcPr>
            <w:tcW w:w="13357" w:type="dxa"/>
          </w:tcPr>
          <w:p>
            <w:pPr>
              <w:ind w:firstLine="422"/>
              <w:jc w:val="center"/>
              <w:outlineLvl w:val="1"/>
              <w:rPr>
                <w:rFonts w:hAnsi="宋体"/>
                <w:b/>
                <w:bCs/>
                <w:snapToGrid w:val="0"/>
                <w:kern w:val="0"/>
                <w:sz w:val="21"/>
                <w:szCs w:val="21"/>
              </w:rPr>
            </w:pPr>
            <w:r>
              <w:rPr>
                <w:rFonts w:hint="eastAsia" w:hAnsi="宋体"/>
                <w:b/>
                <w:bCs/>
                <w:snapToGrid w:val="0"/>
                <w:kern w:val="0"/>
                <w:sz w:val="21"/>
                <w:szCs w:val="21"/>
              </w:rPr>
              <w:t>表</w:t>
            </w:r>
            <w:r>
              <w:rPr>
                <w:rFonts w:hint="eastAsia"/>
                <w:b/>
                <w:bCs/>
                <w:snapToGrid w:val="0"/>
                <w:kern w:val="0"/>
                <w:sz w:val="21"/>
                <w:szCs w:val="21"/>
              </w:rPr>
              <w:t>4-</w:t>
            </w:r>
            <w:r>
              <w:rPr>
                <w:b/>
                <w:bCs/>
                <w:snapToGrid w:val="0"/>
                <w:kern w:val="0"/>
                <w:sz w:val="21"/>
                <w:szCs w:val="21"/>
              </w:rPr>
              <w:t>11</w:t>
            </w:r>
            <w:r>
              <w:rPr>
                <w:rFonts w:hint="eastAsia"/>
                <w:b/>
                <w:bCs/>
                <w:snapToGrid w:val="0"/>
                <w:kern w:val="0"/>
                <w:sz w:val="21"/>
                <w:szCs w:val="21"/>
              </w:rPr>
              <w:t xml:space="preserve">  </w:t>
            </w:r>
            <w:r>
              <w:rPr>
                <w:rFonts w:hint="eastAsia" w:hAnsi="宋体"/>
                <w:b/>
                <w:bCs/>
                <w:snapToGrid w:val="0"/>
                <w:kern w:val="0"/>
                <w:sz w:val="21"/>
                <w:szCs w:val="21"/>
              </w:rPr>
              <w:t>钻井作业井口周围环境敏感点噪声预测情况一览表单位：</w:t>
            </w:r>
            <w:r>
              <w:rPr>
                <w:b/>
                <w:bCs/>
                <w:snapToGrid w:val="0"/>
                <w:kern w:val="0"/>
                <w:sz w:val="21"/>
                <w:szCs w:val="21"/>
              </w:rPr>
              <w:t>dB</w:t>
            </w:r>
            <w:r>
              <w:rPr>
                <w:rFonts w:hint="eastAsia" w:hAnsi="宋体"/>
                <w:b/>
                <w:bCs/>
                <w:snapToGrid w:val="0"/>
                <w:kern w:val="0"/>
                <w:sz w:val="21"/>
                <w:szCs w:val="21"/>
              </w:rPr>
              <w:t>（</w:t>
            </w:r>
            <w:r>
              <w:rPr>
                <w:b/>
                <w:bCs/>
                <w:snapToGrid w:val="0"/>
                <w:kern w:val="0"/>
                <w:sz w:val="21"/>
                <w:szCs w:val="21"/>
              </w:rPr>
              <w:t>A</w:t>
            </w:r>
            <w:r>
              <w:rPr>
                <w:rFonts w:hint="eastAsia" w:hAnsi="宋体"/>
                <w:b/>
                <w:bCs/>
                <w:snapToGrid w:val="0"/>
                <w:kern w:val="0"/>
                <w:sz w:val="21"/>
                <w:szCs w:val="21"/>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345"/>
              <w:gridCol w:w="788"/>
              <w:gridCol w:w="786"/>
              <w:gridCol w:w="787"/>
              <w:gridCol w:w="787"/>
              <w:gridCol w:w="788"/>
              <w:gridCol w:w="788"/>
              <w:gridCol w:w="814"/>
              <w:gridCol w:w="813"/>
              <w:gridCol w:w="813"/>
              <w:gridCol w:w="813"/>
              <w:gridCol w:w="795"/>
              <w:gridCol w:w="812"/>
              <w:gridCol w:w="788"/>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序号</w:t>
                  </w:r>
                </w:p>
              </w:tc>
              <w:tc>
                <w:tcPr>
                  <w:tcW w:w="13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声环境保护目标名称</w:t>
                  </w:r>
                </w:p>
              </w:tc>
              <w:tc>
                <w:tcPr>
                  <w:tcW w:w="157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噪声背景值/dB(A)</w:t>
                  </w:r>
                </w:p>
              </w:tc>
              <w:tc>
                <w:tcPr>
                  <w:tcW w:w="1574"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噪声现状值/dB(A)</w:t>
                  </w:r>
                </w:p>
              </w:tc>
              <w:tc>
                <w:tcPr>
                  <w:tcW w:w="1576"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噪声标准/dB(A)</w:t>
                  </w:r>
                </w:p>
              </w:tc>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噪声贡献值/dB(A)</w:t>
                  </w:r>
                </w:p>
              </w:tc>
              <w:tc>
                <w:tcPr>
                  <w:tcW w:w="1626"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噪声预测值/dB(A)</w:t>
                  </w:r>
                </w:p>
              </w:tc>
              <w:tc>
                <w:tcPr>
                  <w:tcW w:w="160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较现状增量/dB(A)</w:t>
                  </w:r>
                </w:p>
              </w:tc>
              <w:tc>
                <w:tcPr>
                  <w:tcW w:w="157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7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78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7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81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81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81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81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79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81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
                      <w:snapToGrid w:val="0"/>
                      <w:kern w:val="0"/>
                      <w:sz w:val="21"/>
                      <w:szCs w:val="21"/>
                    </w:rPr>
                  </w:pPr>
                  <w:r>
                    <w:rPr>
                      <w:b/>
                      <w:snapToGrid w:val="0"/>
                      <w:kern w:val="0"/>
                      <w:sz w:val="21"/>
                      <w:szCs w:val="21"/>
                    </w:rPr>
                    <w:t>昼间</w:t>
                  </w:r>
                </w:p>
              </w:tc>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snapToGrid w:val="0"/>
                      <w:kern w:val="0"/>
                      <w:sz w:val="21"/>
                      <w:szCs w:val="21"/>
                    </w:rPr>
                  </w:pPr>
                  <w:r>
                    <w:rPr>
                      <w:b/>
                      <w:snapToGrid w:val="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1#</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散户居民</w:t>
                  </w:r>
                </w:p>
              </w:tc>
              <w:tc>
                <w:tcPr>
                  <w:tcW w:w="788"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6" w:type="dxa"/>
                  <w:tcBorders>
                    <w:top w:val="single" w:color="auto" w:sz="4" w:space="0"/>
                    <w:left w:val="single" w:color="auto" w:sz="4" w:space="0"/>
                    <w:bottom w:val="single" w:color="auto" w:sz="4" w:space="0"/>
                    <w:right w:val="single" w:color="auto" w:sz="4" w:space="0"/>
                  </w:tcBorders>
                  <w:vAlign w:val="bottom"/>
                </w:tcPr>
                <w:p>
                  <w:pPr>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7"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7" w:type="dxa"/>
                  <w:tcBorders>
                    <w:top w:val="single" w:color="auto" w:sz="4" w:space="0"/>
                    <w:left w:val="single" w:color="auto" w:sz="4" w:space="0"/>
                    <w:bottom w:val="single" w:color="auto" w:sz="4" w:space="0"/>
                    <w:right w:val="single" w:color="auto" w:sz="4" w:space="0"/>
                  </w:tcBorders>
                  <w:vAlign w:val="bottom"/>
                </w:tcPr>
                <w:p>
                  <w:pPr>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60</w:t>
                  </w:r>
                </w:p>
              </w:tc>
              <w:tc>
                <w:tcPr>
                  <w:tcW w:w="7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50</w:t>
                  </w:r>
                </w:p>
              </w:tc>
              <w:tc>
                <w:tcPr>
                  <w:tcW w:w="81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50.0</w:t>
                  </w:r>
                </w:p>
              </w:tc>
              <w:tc>
                <w:tcPr>
                  <w:tcW w:w="81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50.0</w:t>
                  </w:r>
                </w:p>
              </w:tc>
              <w:tc>
                <w:tcPr>
                  <w:tcW w:w="813"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51.8 </w:t>
                  </w:r>
                </w:p>
              </w:tc>
              <w:tc>
                <w:tcPr>
                  <w:tcW w:w="813" w:type="dxa"/>
                  <w:tcBorders>
                    <w:top w:val="single" w:color="auto" w:sz="4" w:space="0"/>
                    <w:left w:val="single" w:color="auto" w:sz="4" w:space="0"/>
                    <w:bottom w:val="single" w:color="auto" w:sz="4" w:space="0"/>
                    <w:right w:val="single" w:color="auto" w:sz="4" w:space="0"/>
                  </w:tcBorders>
                  <w:vAlign w:val="bottom"/>
                </w:tcPr>
                <w:p>
                  <w:pPr>
                    <w:spacing w:line="240" w:lineRule="auto"/>
                    <w:ind w:firstLine="0" w:firstLineChars="0"/>
                    <w:jc w:val="center"/>
                    <w:rPr>
                      <w:snapToGrid w:val="0"/>
                      <w:kern w:val="0"/>
                      <w:sz w:val="21"/>
                      <w:szCs w:val="21"/>
                    </w:rPr>
                  </w:pPr>
                  <w:r>
                    <w:rPr>
                      <w:rFonts w:hint="eastAsia"/>
                      <w:snapToGrid w:val="0"/>
                      <w:kern w:val="0"/>
                      <w:sz w:val="21"/>
                      <w:szCs w:val="21"/>
                    </w:rPr>
                    <w:t xml:space="preserve">50.8 </w:t>
                  </w:r>
                </w:p>
              </w:tc>
              <w:tc>
                <w:tcPr>
                  <w:tcW w:w="795"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4.8 </w:t>
                  </w:r>
                </w:p>
              </w:tc>
              <w:tc>
                <w:tcPr>
                  <w:tcW w:w="812" w:type="dxa"/>
                  <w:tcBorders>
                    <w:top w:val="single" w:color="auto" w:sz="4" w:space="0"/>
                    <w:left w:val="single" w:color="auto" w:sz="4" w:space="0"/>
                    <w:bottom w:val="single" w:color="auto" w:sz="4" w:space="0"/>
                    <w:right w:val="single" w:color="auto" w:sz="4" w:space="0"/>
                  </w:tcBorders>
                  <w:vAlign w:val="bottom"/>
                </w:tcPr>
                <w:p>
                  <w:pPr>
                    <w:spacing w:line="240" w:lineRule="auto"/>
                    <w:ind w:firstLine="0" w:firstLineChars="0"/>
                    <w:jc w:val="center"/>
                    <w:rPr>
                      <w:snapToGrid w:val="0"/>
                      <w:kern w:val="0"/>
                      <w:sz w:val="21"/>
                      <w:szCs w:val="21"/>
                    </w:rPr>
                  </w:pPr>
                  <w:r>
                    <w:rPr>
                      <w:rFonts w:hint="eastAsia"/>
                      <w:snapToGrid w:val="0"/>
                      <w:kern w:val="0"/>
                      <w:sz w:val="21"/>
                      <w:szCs w:val="21"/>
                    </w:rPr>
                    <w:t xml:space="preserve">7.8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达标</w:t>
                  </w:r>
                </w:p>
              </w:tc>
              <w:tc>
                <w:tcPr>
                  <w:tcW w:w="78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2#</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散户居民</w:t>
                  </w:r>
                </w:p>
              </w:tc>
              <w:tc>
                <w:tcPr>
                  <w:tcW w:w="788"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6"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7"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7"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60</w:t>
                  </w:r>
                </w:p>
              </w:tc>
              <w:tc>
                <w:tcPr>
                  <w:tcW w:w="7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50</w:t>
                  </w:r>
                </w:p>
              </w:tc>
              <w:tc>
                <w:tcPr>
                  <w:tcW w:w="81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37.6</w:t>
                  </w:r>
                </w:p>
              </w:tc>
              <w:tc>
                <w:tcPr>
                  <w:tcW w:w="81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37.6</w:t>
                  </w:r>
                </w:p>
              </w:tc>
              <w:tc>
                <w:tcPr>
                  <w:tcW w:w="813"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47.5 </w:t>
                  </w:r>
                </w:p>
              </w:tc>
              <w:tc>
                <w:tcPr>
                  <w:tcW w:w="813"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44.1 </w:t>
                  </w:r>
                </w:p>
              </w:tc>
              <w:tc>
                <w:tcPr>
                  <w:tcW w:w="795"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0.5 </w:t>
                  </w:r>
                </w:p>
              </w:tc>
              <w:tc>
                <w:tcPr>
                  <w:tcW w:w="812"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1.1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达标</w:t>
                  </w:r>
                </w:p>
              </w:tc>
              <w:tc>
                <w:tcPr>
                  <w:tcW w:w="78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3#</w:t>
                  </w:r>
                </w:p>
              </w:tc>
              <w:tc>
                <w:tcPr>
                  <w:tcW w:w="134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散户居民</w:t>
                  </w:r>
                </w:p>
              </w:tc>
              <w:tc>
                <w:tcPr>
                  <w:tcW w:w="788"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6"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7"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snapToGrid w:val="0"/>
                      <w:kern w:val="0"/>
                      <w:sz w:val="21"/>
                      <w:szCs w:val="21"/>
                    </w:rPr>
                    <w:t xml:space="preserve">47 </w:t>
                  </w:r>
                </w:p>
              </w:tc>
              <w:tc>
                <w:tcPr>
                  <w:tcW w:w="787"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43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snapToGrid w:val="0"/>
                      <w:kern w:val="0"/>
                      <w:sz w:val="21"/>
                      <w:szCs w:val="21"/>
                    </w:rPr>
                    <w:t>60</w:t>
                  </w:r>
                </w:p>
              </w:tc>
              <w:tc>
                <w:tcPr>
                  <w:tcW w:w="7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kern w:val="0"/>
                      <w:sz w:val="21"/>
                      <w:szCs w:val="21"/>
                    </w:rPr>
                  </w:pPr>
                  <w:r>
                    <w:rPr>
                      <w:snapToGrid w:val="0"/>
                      <w:kern w:val="0"/>
                      <w:sz w:val="21"/>
                      <w:szCs w:val="21"/>
                    </w:rPr>
                    <w:t>50</w:t>
                  </w:r>
                </w:p>
              </w:tc>
              <w:tc>
                <w:tcPr>
                  <w:tcW w:w="81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29.2</w:t>
                  </w:r>
                </w:p>
              </w:tc>
              <w:tc>
                <w:tcPr>
                  <w:tcW w:w="81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29.2</w:t>
                  </w:r>
                </w:p>
              </w:tc>
              <w:tc>
                <w:tcPr>
                  <w:tcW w:w="813"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47.1 </w:t>
                  </w:r>
                </w:p>
              </w:tc>
              <w:tc>
                <w:tcPr>
                  <w:tcW w:w="813"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43.2 </w:t>
                  </w:r>
                </w:p>
              </w:tc>
              <w:tc>
                <w:tcPr>
                  <w:tcW w:w="795"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0.1 </w:t>
                  </w:r>
                </w:p>
              </w:tc>
              <w:tc>
                <w:tcPr>
                  <w:tcW w:w="812" w:type="dxa"/>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snapToGrid w:val="0"/>
                      <w:kern w:val="0"/>
                      <w:sz w:val="21"/>
                      <w:szCs w:val="21"/>
                    </w:rPr>
                  </w:pPr>
                  <w:r>
                    <w:rPr>
                      <w:rFonts w:hint="eastAsia"/>
                      <w:snapToGrid w:val="0"/>
                      <w:kern w:val="0"/>
                      <w:sz w:val="21"/>
                      <w:szCs w:val="21"/>
                    </w:rPr>
                    <w:t xml:space="preserve">0.2 </w:t>
                  </w:r>
                </w:p>
              </w:tc>
              <w:tc>
                <w:tcPr>
                  <w:tcW w:w="78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达标</w:t>
                  </w:r>
                </w:p>
              </w:tc>
              <w:tc>
                <w:tcPr>
                  <w:tcW w:w="78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达标</w:t>
                  </w:r>
                </w:p>
              </w:tc>
            </w:tr>
          </w:tbl>
          <w:p>
            <w:pPr>
              <w:ind w:firstLine="420"/>
              <w:rPr>
                <w:bCs/>
                <w:snapToGrid w:val="0"/>
                <w:kern w:val="0"/>
                <w:sz w:val="21"/>
                <w:szCs w:val="21"/>
              </w:rPr>
            </w:pPr>
            <w:r>
              <w:rPr>
                <w:bCs/>
                <w:snapToGrid w:val="0"/>
                <w:kern w:val="0"/>
                <w:sz w:val="21"/>
                <w:szCs w:val="21"/>
              </w:rPr>
              <w:t>预测结果表明，</w:t>
            </w:r>
            <w:r>
              <w:rPr>
                <w:rFonts w:hint="eastAsia"/>
                <w:bCs/>
                <w:snapToGrid w:val="0"/>
                <w:kern w:val="0"/>
                <w:sz w:val="21"/>
                <w:szCs w:val="21"/>
              </w:rPr>
              <w:t>本项目钻井</w:t>
            </w:r>
            <w:r>
              <w:rPr>
                <w:bCs/>
                <w:snapToGrid w:val="0"/>
                <w:kern w:val="0"/>
                <w:sz w:val="21"/>
                <w:szCs w:val="21"/>
              </w:rPr>
              <w:t>作业昼间</w:t>
            </w:r>
            <w:r>
              <w:rPr>
                <w:rFonts w:hint="eastAsia"/>
                <w:bCs/>
                <w:snapToGrid w:val="0"/>
                <w:kern w:val="0"/>
                <w:sz w:val="21"/>
                <w:szCs w:val="21"/>
              </w:rPr>
              <w:t>井口300m范围内</w:t>
            </w:r>
            <w:r>
              <w:rPr>
                <w:bCs/>
                <w:snapToGrid w:val="0"/>
                <w:kern w:val="0"/>
                <w:sz w:val="21"/>
                <w:szCs w:val="21"/>
              </w:rPr>
              <w:t>敏感点</w:t>
            </w:r>
            <w:r>
              <w:rPr>
                <w:rFonts w:hint="eastAsia"/>
                <w:bCs/>
                <w:snapToGrid w:val="0"/>
                <w:kern w:val="0"/>
                <w:sz w:val="21"/>
                <w:szCs w:val="21"/>
              </w:rPr>
              <w:t>噪声预测值均满足</w:t>
            </w:r>
            <w:r>
              <w:rPr>
                <w:bCs/>
                <w:snapToGrid w:val="0"/>
                <w:kern w:val="0"/>
                <w:sz w:val="21"/>
                <w:szCs w:val="21"/>
              </w:rPr>
              <w:t>《声环境质量标准》（GB3096-2008）2类标准</w:t>
            </w:r>
            <w:r>
              <w:rPr>
                <w:rFonts w:hint="eastAsia"/>
                <w:bCs/>
                <w:snapToGrid w:val="0"/>
                <w:kern w:val="0"/>
                <w:sz w:val="21"/>
                <w:szCs w:val="21"/>
              </w:rPr>
              <w:t>；但</w:t>
            </w:r>
            <w:r>
              <w:rPr>
                <w:bCs/>
                <w:snapToGrid w:val="0"/>
                <w:kern w:val="0"/>
                <w:sz w:val="21"/>
                <w:szCs w:val="21"/>
              </w:rPr>
              <w:t>夜间</w:t>
            </w:r>
            <w:r>
              <w:rPr>
                <w:rFonts w:hint="eastAsia"/>
                <w:bCs/>
                <w:snapToGrid w:val="0"/>
                <w:kern w:val="0"/>
                <w:sz w:val="21"/>
                <w:szCs w:val="21"/>
              </w:rPr>
              <w:t>井口周围300m范围内</w:t>
            </w:r>
            <w:r>
              <w:rPr>
                <w:bCs/>
                <w:snapToGrid w:val="0"/>
                <w:kern w:val="0"/>
                <w:sz w:val="21"/>
                <w:szCs w:val="21"/>
              </w:rPr>
              <w:t>1#居民点</w:t>
            </w:r>
            <w:r>
              <w:rPr>
                <w:rFonts w:hint="eastAsia"/>
                <w:bCs/>
                <w:snapToGrid w:val="0"/>
                <w:kern w:val="0"/>
                <w:sz w:val="21"/>
                <w:szCs w:val="21"/>
              </w:rPr>
              <w:t>共约</w:t>
            </w:r>
            <w:r>
              <w:rPr>
                <w:rFonts w:hint="eastAsia"/>
                <w:snapToGrid w:val="0"/>
                <w:kern w:val="0"/>
                <w:sz w:val="21"/>
                <w:szCs w:val="21"/>
              </w:rPr>
              <w:t>3</w:t>
            </w:r>
            <w:r>
              <w:rPr>
                <w:snapToGrid w:val="0"/>
                <w:kern w:val="0"/>
                <w:sz w:val="21"/>
                <w:szCs w:val="21"/>
              </w:rPr>
              <w:t>户</w:t>
            </w:r>
            <w:r>
              <w:rPr>
                <w:rFonts w:hint="eastAsia"/>
                <w:snapToGrid w:val="0"/>
                <w:kern w:val="0"/>
                <w:sz w:val="21"/>
                <w:szCs w:val="21"/>
              </w:rPr>
              <w:t>7</w:t>
            </w:r>
            <w:r>
              <w:rPr>
                <w:snapToGrid w:val="0"/>
                <w:kern w:val="0"/>
                <w:sz w:val="21"/>
                <w:szCs w:val="21"/>
              </w:rPr>
              <w:t>人</w:t>
            </w:r>
            <w:r>
              <w:rPr>
                <w:rFonts w:hint="eastAsia"/>
                <w:bCs/>
                <w:snapToGrid w:val="0"/>
                <w:kern w:val="0"/>
                <w:sz w:val="21"/>
                <w:szCs w:val="21"/>
              </w:rPr>
              <w:t>噪声预测值超出</w:t>
            </w:r>
            <w:r>
              <w:rPr>
                <w:bCs/>
                <w:snapToGrid w:val="0"/>
                <w:kern w:val="0"/>
                <w:sz w:val="21"/>
                <w:szCs w:val="21"/>
              </w:rPr>
              <w:t>《声环境质量标准》（GB3096-2008）2类标准</w:t>
            </w:r>
            <w:r>
              <w:rPr>
                <w:rFonts w:hint="eastAsia"/>
                <w:bCs/>
                <w:snapToGrid w:val="0"/>
                <w:kern w:val="0"/>
                <w:sz w:val="21"/>
                <w:szCs w:val="21"/>
              </w:rPr>
              <w:t>。</w:t>
            </w: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bCs/>
                <w:snapToGrid w:val="0"/>
                <w:kern w:val="0"/>
                <w:sz w:val="21"/>
                <w:szCs w:val="21"/>
              </w:rPr>
            </w:pPr>
          </w:p>
          <w:p>
            <w:pPr>
              <w:ind w:firstLine="420"/>
              <w:rPr>
                <w:sz w:val="21"/>
                <w:szCs w:val="21"/>
              </w:rPr>
            </w:pPr>
          </w:p>
        </w:tc>
      </w:tr>
    </w:tbl>
    <w:p>
      <w:pPr>
        <w:ind w:firstLine="420"/>
        <w:rPr>
          <w:sz w:val="21"/>
          <w:szCs w:val="21"/>
        </w:rPr>
        <w:sectPr>
          <w:pgSz w:w="16838" w:h="11906" w:orient="landscape"/>
          <w:pgMar w:top="1440" w:right="1440" w:bottom="1440" w:left="1440" w:header="851" w:footer="1077" w:gutter="0"/>
          <w:cols w:space="425" w:num="1"/>
          <w:docGrid w:linePitch="326" w:charSpace="0"/>
        </w:sectPr>
      </w:pPr>
    </w:p>
    <w:tbl>
      <w:tblPr>
        <w:tblStyle w:val="22"/>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7" w:type="pct"/>
            <w:vAlign w:val="center"/>
          </w:tcPr>
          <w:p>
            <w:pPr>
              <w:pStyle w:val="20"/>
              <w:adjustRightInd w:val="0"/>
              <w:snapToGrid w:val="0"/>
              <w:spacing w:before="0" w:beforeAutospacing="0" w:after="0" w:afterAutospacing="0" w:line="240" w:lineRule="auto"/>
              <w:ind w:firstLine="0" w:firstLineChars="0"/>
              <w:rPr>
                <w:rFonts w:ascii="Times New Roman" w:hAnsi="Times New Roman"/>
                <w:bCs/>
                <w:kern w:val="2"/>
                <w:sz w:val="21"/>
                <w:szCs w:val="21"/>
              </w:rPr>
            </w:pPr>
            <w:r>
              <w:rPr>
                <w:rFonts w:ascii="Times New Roman" w:hAnsi="Times New Roman"/>
                <w:bCs/>
                <w:spacing w:val="10"/>
                <w:kern w:val="2"/>
                <w:sz w:val="21"/>
                <w:szCs w:val="21"/>
              </w:rPr>
              <w:t>施工期生态环境影响分析</w:t>
            </w:r>
          </w:p>
        </w:tc>
        <w:tc>
          <w:tcPr>
            <w:tcW w:w="4653" w:type="pct"/>
            <w:vAlign w:val="center"/>
          </w:tcPr>
          <w:p>
            <w:pPr>
              <w:adjustRightInd w:val="0"/>
              <w:snapToGrid w:val="0"/>
              <w:ind w:firstLine="422"/>
              <w:rPr>
                <w:b/>
                <w:bCs/>
                <w:sz w:val="21"/>
                <w:szCs w:val="21"/>
              </w:rPr>
            </w:pPr>
            <w:r>
              <w:rPr>
                <w:rFonts w:hAnsi="宋体"/>
                <w:b/>
                <w:bCs/>
                <w:sz w:val="21"/>
                <w:szCs w:val="21"/>
              </w:rPr>
              <w:t>（</w:t>
            </w:r>
            <w:r>
              <w:rPr>
                <w:b/>
                <w:bCs/>
                <w:sz w:val="21"/>
                <w:szCs w:val="21"/>
              </w:rPr>
              <w:t>2</w:t>
            </w:r>
            <w:r>
              <w:rPr>
                <w:rFonts w:hAnsi="宋体"/>
                <w:b/>
                <w:bCs/>
                <w:sz w:val="21"/>
                <w:szCs w:val="21"/>
              </w:rPr>
              <w:t>）压裂噪声</w:t>
            </w:r>
          </w:p>
          <w:p>
            <w:pPr>
              <w:adjustRightInd w:val="0"/>
              <w:snapToGrid w:val="0"/>
              <w:ind w:firstLine="420"/>
              <w:rPr>
                <w:bCs/>
                <w:sz w:val="21"/>
                <w:szCs w:val="21"/>
              </w:rPr>
            </w:pPr>
            <w:r>
              <w:rPr>
                <w:bCs/>
                <w:sz w:val="21"/>
                <w:szCs w:val="21"/>
              </w:rPr>
              <w:t>项目压裂作业正常工况主要运行的设备为压裂车，考虑不利情况，即压裂过程14台压裂车同时运行，最不利条件下14台同步实施时面源，压裂车位于井口一侧距离敏感点较远（最近处约100m）大于2倍面源长度，面源可等效为叠加的点源噪声，且压裂仅在白天进行作业。</w:t>
            </w:r>
          </w:p>
          <w:p>
            <w:pPr>
              <w:adjustRightInd w:val="0"/>
              <w:snapToGrid w:val="0"/>
              <w:ind w:firstLine="420"/>
              <w:rPr>
                <w:bCs/>
                <w:sz w:val="21"/>
                <w:szCs w:val="21"/>
              </w:rPr>
            </w:pPr>
            <w:r>
              <w:rPr>
                <w:bCs/>
                <w:sz w:val="21"/>
                <w:szCs w:val="21"/>
              </w:rPr>
              <w:t>根据《环境影响评价技术导则声环境》（HJ2.4-2021）：实际的室外声源组，可以用处于该组中部的等效点声源来描述，则本项目压裂期间14台压裂车噪声叠加后的噪声源强为114.5dB(A)，采取降噪措施后噪声源强为109.5dB(A)。</w:t>
            </w:r>
          </w:p>
          <w:p>
            <w:pPr>
              <w:adjustRightInd w:val="0"/>
              <w:snapToGrid w:val="0"/>
              <w:ind w:firstLine="0" w:firstLineChars="0"/>
              <w:jc w:val="center"/>
              <w:rPr>
                <w:b/>
                <w:bCs/>
                <w:sz w:val="21"/>
                <w:szCs w:val="21"/>
              </w:rPr>
            </w:pPr>
            <w:r>
              <w:rPr>
                <w:b/>
                <w:bCs/>
                <w:sz w:val="21"/>
                <w:szCs w:val="21"/>
              </w:rPr>
              <w:t>表4-12  工业企业噪声源强调查清单（室外声源）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779"/>
              <w:gridCol w:w="986"/>
              <w:gridCol w:w="928"/>
              <w:gridCol w:w="601"/>
              <w:gridCol w:w="1205"/>
              <w:gridCol w:w="1386"/>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8" w:type="pct"/>
                  <w:vMerge w:val="restart"/>
                  <w:vAlign w:val="center"/>
                </w:tcPr>
                <w:p>
                  <w:pPr>
                    <w:pStyle w:val="57"/>
                    <w:rPr>
                      <w:b/>
                    </w:rPr>
                  </w:pPr>
                  <w:r>
                    <w:rPr>
                      <w:b/>
                    </w:rPr>
                    <w:t>噪声源</w:t>
                  </w:r>
                </w:p>
              </w:tc>
              <w:tc>
                <w:tcPr>
                  <w:tcW w:w="469" w:type="pct"/>
                  <w:vMerge w:val="restart"/>
                  <w:vAlign w:val="center"/>
                </w:tcPr>
                <w:p>
                  <w:pPr>
                    <w:pStyle w:val="57"/>
                    <w:rPr>
                      <w:b/>
                    </w:rPr>
                  </w:pPr>
                  <w:r>
                    <w:rPr>
                      <w:b/>
                    </w:rPr>
                    <w:t>型号</w:t>
                  </w:r>
                </w:p>
              </w:tc>
              <w:tc>
                <w:tcPr>
                  <w:tcW w:w="1515" w:type="pct"/>
                  <w:gridSpan w:val="3"/>
                  <w:vAlign w:val="center"/>
                </w:tcPr>
                <w:p>
                  <w:pPr>
                    <w:pStyle w:val="57"/>
                    <w:rPr>
                      <w:b/>
                    </w:rPr>
                  </w:pPr>
                  <w:r>
                    <w:rPr>
                      <w:b/>
                    </w:rPr>
                    <w:t>空间相对位置</w:t>
                  </w:r>
                </w:p>
              </w:tc>
              <w:tc>
                <w:tcPr>
                  <w:tcW w:w="726" w:type="pct"/>
                  <w:vMerge w:val="restart"/>
                  <w:vAlign w:val="center"/>
                </w:tcPr>
                <w:p>
                  <w:pPr>
                    <w:pStyle w:val="57"/>
                    <w:rPr>
                      <w:b/>
                    </w:rPr>
                  </w:pPr>
                  <w:r>
                    <w:rPr>
                      <w:b/>
                    </w:rPr>
                    <w:t>声功率级dB（A）</w:t>
                  </w:r>
                </w:p>
              </w:tc>
              <w:tc>
                <w:tcPr>
                  <w:tcW w:w="835" w:type="pct"/>
                  <w:vMerge w:val="restart"/>
                  <w:vAlign w:val="center"/>
                </w:tcPr>
                <w:p>
                  <w:pPr>
                    <w:pStyle w:val="57"/>
                    <w:rPr>
                      <w:b/>
                    </w:rPr>
                  </w:pPr>
                  <w:r>
                    <w:rPr>
                      <w:b/>
                    </w:rPr>
                    <w:t>声源控制措施</w:t>
                  </w:r>
                </w:p>
              </w:tc>
              <w:tc>
                <w:tcPr>
                  <w:tcW w:w="738" w:type="pct"/>
                  <w:vMerge w:val="restart"/>
                  <w:vAlign w:val="center"/>
                </w:tcPr>
                <w:p>
                  <w:pPr>
                    <w:pStyle w:val="57"/>
                    <w:rPr>
                      <w:b/>
                    </w:rPr>
                  </w:pPr>
                  <w:r>
                    <w:rPr>
                      <w:b/>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18" w:type="pct"/>
                  <w:vMerge w:val="continue"/>
                  <w:vAlign w:val="center"/>
                </w:tcPr>
                <w:p>
                  <w:pPr>
                    <w:pStyle w:val="57"/>
                  </w:pPr>
                </w:p>
              </w:tc>
              <w:tc>
                <w:tcPr>
                  <w:tcW w:w="469" w:type="pct"/>
                  <w:vMerge w:val="continue"/>
                  <w:vAlign w:val="center"/>
                </w:tcPr>
                <w:p>
                  <w:pPr>
                    <w:pStyle w:val="57"/>
                  </w:pPr>
                </w:p>
              </w:tc>
              <w:tc>
                <w:tcPr>
                  <w:tcW w:w="594" w:type="pct"/>
                  <w:vAlign w:val="center"/>
                </w:tcPr>
                <w:p>
                  <w:pPr>
                    <w:pStyle w:val="57"/>
                    <w:rPr>
                      <w:b/>
                    </w:rPr>
                  </w:pPr>
                  <w:r>
                    <w:rPr>
                      <w:b/>
                    </w:rPr>
                    <w:t>X</w:t>
                  </w:r>
                </w:p>
              </w:tc>
              <w:tc>
                <w:tcPr>
                  <w:tcW w:w="559" w:type="pct"/>
                  <w:vAlign w:val="center"/>
                </w:tcPr>
                <w:p>
                  <w:pPr>
                    <w:pStyle w:val="57"/>
                    <w:rPr>
                      <w:b/>
                    </w:rPr>
                  </w:pPr>
                  <w:r>
                    <w:rPr>
                      <w:b/>
                    </w:rPr>
                    <w:t>Y</w:t>
                  </w:r>
                </w:p>
              </w:tc>
              <w:tc>
                <w:tcPr>
                  <w:tcW w:w="362" w:type="pct"/>
                  <w:vAlign w:val="center"/>
                </w:tcPr>
                <w:p>
                  <w:pPr>
                    <w:pStyle w:val="57"/>
                    <w:rPr>
                      <w:b/>
                    </w:rPr>
                  </w:pPr>
                  <w:r>
                    <w:rPr>
                      <w:b/>
                    </w:rPr>
                    <w:t>Z</w:t>
                  </w:r>
                </w:p>
              </w:tc>
              <w:tc>
                <w:tcPr>
                  <w:tcW w:w="726" w:type="pct"/>
                  <w:vMerge w:val="continue"/>
                  <w:vAlign w:val="center"/>
                </w:tcPr>
                <w:p>
                  <w:pPr>
                    <w:pStyle w:val="57"/>
                  </w:pPr>
                </w:p>
              </w:tc>
              <w:tc>
                <w:tcPr>
                  <w:tcW w:w="835" w:type="pct"/>
                  <w:vMerge w:val="continue"/>
                  <w:vAlign w:val="center"/>
                </w:tcPr>
                <w:p>
                  <w:pPr>
                    <w:pStyle w:val="57"/>
                  </w:pPr>
                </w:p>
              </w:tc>
              <w:tc>
                <w:tcPr>
                  <w:tcW w:w="738"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Align w:val="center"/>
                </w:tcPr>
                <w:p>
                  <w:pPr>
                    <w:pStyle w:val="57"/>
                  </w:pPr>
                  <w:r>
                    <w:t>压裂车</w:t>
                  </w:r>
                </w:p>
              </w:tc>
              <w:tc>
                <w:tcPr>
                  <w:tcW w:w="469" w:type="pct"/>
                  <w:vAlign w:val="center"/>
                </w:tcPr>
                <w:p>
                  <w:pPr>
                    <w:pStyle w:val="57"/>
                  </w:pPr>
                  <w:r>
                    <w:t>/</w:t>
                  </w:r>
                </w:p>
              </w:tc>
              <w:tc>
                <w:tcPr>
                  <w:tcW w:w="594" w:type="pct"/>
                  <w:vAlign w:val="center"/>
                </w:tcPr>
                <w:p>
                  <w:pPr>
                    <w:pStyle w:val="57"/>
                  </w:pPr>
                  <w:r>
                    <w:t>-1</w:t>
                  </w:r>
                  <w:r>
                    <w:rPr>
                      <w:rFonts w:hint="eastAsia"/>
                    </w:rPr>
                    <w:t>2.0</w:t>
                  </w:r>
                </w:p>
              </w:tc>
              <w:tc>
                <w:tcPr>
                  <w:tcW w:w="559" w:type="pct"/>
                  <w:vAlign w:val="center"/>
                </w:tcPr>
                <w:p>
                  <w:pPr>
                    <w:pStyle w:val="57"/>
                  </w:pPr>
                  <w:r>
                    <w:t>-0.7</w:t>
                  </w:r>
                </w:p>
              </w:tc>
              <w:tc>
                <w:tcPr>
                  <w:tcW w:w="362" w:type="pct"/>
                  <w:vAlign w:val="center"/>
                </w:tcPr>
                <w:p>
                  <w:pPr>
                    <w:pStyle w:val="57"/>
                  </w:pPr>
                  <w:r>
                    <w:t>1</w:t>
                  </w:r>
                </w:p>
              </w:tc>
              <w:tc>
                <w:tcPr>
                  <w:tcW w:w="726" w:type="pct"/>
                  <w:vAlign w:val="center"/>
                </w:tcPr>
                <w:p>
                  <w:pPr>
                    <w:pStyle w:val="57"/>
                  </w:pPr>
                  <w:r>
                    <w:t>109.5</w:t>
                  </w:r>
                </w:p>
              </w:tc>
              <w:tc>
                <w:tcPr>
                  <w:tcW w:w="835" w:type="pct"/>
                  <w:vAlign w:val="center"/>
                </w:tcPr>
                <w:p>
                  <w:pPr>
                    <w:pStyle w:val="57"/>
                  </w:pPr>
                  <w:r>
                    <w:t>选取低噪声设备，加衬弹性垫料</w:t>
                  </w:r>
                </w:p>
              </w:tc>
              <w:tc>
                <w:tcPr>
                  <w:tcW w:w="738" w:type="pct"/>
                  <w:vAlign w:val="center"/>
                </w:tcPr>
                <w:p>
                  <w:pPr>
                    <w:pStyle w:val="57"/>
                  </w:pPr>
                  <w:r>
                    <w:t>昼间连续排放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pStyle w:val="57"/>
                  </w:pPr>
                  <w:r>
                    <w:t>按井场中心为坐标原点。</w:t>
                  </w:r>
                </w:p>
              </w:tc>
            </w:tr>
          </w:tbl>
          <w:p>
            <w:pPr>
              <w:adjustRightInd w:val="0"/>
              <w:snapToGrid w:val="0"/>
              <w:ind w:firstLine="420"/>
              <w:rPr>
                <w:bCs/>
                <w:sz w:val="21"/>
                <w:szCs w:val="21"/>
              </w:rPr>
            </w:pPr>
            <w:r>
              <w:rPr>
                <w:bCs/>
                <w:sz w:val="21"/>
                <w:szCs w:val="21"/>
              </w:rPr>
              <w:t>项目压裂噪声预测结果见图4-3。</w:t>
            </w:r>
          </w:p>
          <w:p>
            <w:pPr>
              <w:adjustRightInd w:val="0"/>
              <w:snapToGrid w:val="0"/>
              <w:ind w:firstLine="0" w:firstLineChars="0"/>
              <w:jc w:val="center"/>
              <w:rPr>
                <w:bCs/>
                <w:sz w:val="21"/>
                <w:szCs w:val="21"/>
                <w:highlight w:val="yellow"/>
              </w:rPr>
            </w:pPr>
            <w:r>
              <w:rPr>
                <w:bCs/>
                <w:sz w:val="21"/>
                <w:szCs w:val="21"/>
              </w:rPr>
              <w:drawing>
                <wp:inline distT="0" distB="0" distL="0" distR="0">
                  <wp:extent cx="4679950" cy="4359275"/>
                  <wp:effectExtent l="19050" t="0" r="630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29"/>
                          <a:srcRect/>
                          <a:stretch>
                            <a:fillRect/>
                          </a:stretch>
                        </pic:blipFill>
                        <pic:spPr>
                          <a:xfrm>
                            <a:off x="0" y="0"/>
                            <a:ext cx="4680000" cy="4359675"/>
                          </a:xfrm>
                          <a:prstGeom prst="rect">
                            <a:avLst/>
                          </a:prstGeom>
                          <a:noFill/>
                          <a:ln w="9525">
                            <a:noFill/>
                            <a:miter lim="800000"/>
                            <a:headEnd/>
                            <a:tailEnd/>
                          </a:ln>
                        </pic:spPr>
                      </pic:pic>
                    </a:graphicData>
                  </a:graphic>
                </wp:inline>
              </w:drawing>
            </w:r>
          </w:p>
          <w:p>
            <w:pPr>
              <w:adjustRightInd w:val="0"/>
              <w:snapToGrid w:val="0"/>
              <w:ind w:firstLine="0" w:firstLineChars="0"/>
              <w:jc w:val="center"/>
              <w:rPr>
                <w:b/>
                <w:bCs/>
                <w:sz w:val="21"/>
                <w:szCs w:val="21"/>
              </w:rPr>
            </w:pPr>
            <w:r>
              <w:rPr>
                <w:b/>
                <w:bCs/>
                <w:sz w:val="21"/>
                <w:szCs w:val="21"/>
              </w:rPr>
              <w:t>图4-3</w:t>
            </w:r>
            <w:r>
              <w:rPr>
                <w:rFonts w:hint="eastAsia"/>
                <w:b/>
                <w:bCs/>
                <w:sz w:val="21"/>
                <w:szCs w:val="21"/>
              </w:rPr>
              <w:t xml:space="preserve">  项目</w:t>
            </w:r>
            <w:r>
              <w:rPr>
                <w:b/>
                <w:bCs/>
                <w:sz w:val="21"/>
                <w:szCs w:val="21"/>
              </w:rPr>
              <w:t>压裂作业噪声影响贡献结果图</w:t>
            </w:r>
          </w:p>
          <w:p>
            <w:pPr>
              <w:adjustRightInd w:val="0"/>
              <w:snapToGrid w:val="0"/>
              <w:ind w:firstLine="420"/>
              <w:rPr>
                <w:bCs/>
                <w:sz w:val="21"/>
                <w:szCs w:val="21"/>
              </w:rPr>
            </w:pPr>
            <w:r>
              <w:rPr>
                <w:bCs/>
                <w:sz w:val="21"/>
                <w:szCs w:val="21"/>
              </w:rPr>
              <w:t>项目压裂作业周边各敏感点处噪声预测结果见表4-13。</w:t>
            </w:r>
          </w:p>
          <w:p>
            <w:pPr>
              <w:ind w:firstLine="0" w:firstLineChars="0"/>
              <w:jc w:val="center"/>
              <w:outlineLvl w:val="1"/>
              <w:rPr>
                <w:kern w:val="0"/>
                <w:sz w:val="21"/>
                <w:szCs w:val="21"/>
              </w:rPr>
            </w:pPr>
            <w:r>
              <w:rPr>
                <w:b/>
                <w:bCs/>
                <w:kern w:val="0"/>
                <w:sz w:val="21"/>
                <w:szCs w:val="21"/>
              </w:rPr>
              <w:t>表4-13</w:t>
            </w:r>
            <w:r>
              <w:rPr>
                <w:rFonts w:hint="eastAsia"/>
                <w:b/>
                <w:bCs/>
                <w:kern w:val="0"/>
                <w:sz w:val="21"/>
                <w:szCs w:val="21"/>
              </w:rPr>
              <w:t xml:space="preserve">  </w:t>
            </w:r>
            <w:r>
              <w:rPr>
                <w:b/>
                <w:bCs/>
                <w:kern w:val="0"/>
                <w:sz w:val="21"/>
                <w:szCs w:val="21"/>
              </w:rPr>
              <w:t>压裂作业周围环境敏感点噪声预测情况一览表单位：dB（A）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956"/>
              <w:gridCol w:w="960"/>
              <w:gridCol w:w="958"/>
              <w:gridCol w:w="958"/>
              <w:gridCol w:w="958"/>
              <w:gridCol w:w="958"/>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vMerge w:val="restart"/>
                  <w:shd w:val="clear" w:color="auto" w:fill="auto"/>
                  <w:vAlign w:val="center"/>
                </w:tcPr>
                <w:p>
                  <w:pPr>
                    <w:pStyle w:val="57"/>
                    <w:rPr>
                      <w:b/>
                    </w:rPr>
                  </w:pPr>
                  <w:r>
                    <w:rPr>
                      <w:rFonts w:hAnsi="宋体"/>
                      <w:b/>
                    </w:rPr>
                    <w:t>声环境保护目标名称</w:t>
                  </w:r>
                </w:p>
              </w:tc>
              <w:tc>
                <w:tcPr>
                  <w:tcW w:w="576" w:type="pct"/>
                  <w:shd w:val="clear" w:color="auto" w:fill="auto"/>
                  <w:vAlign w:val="center"/>
                </w:tcPr>
                <w:p>
                  <w:pPr>
                    <w:pStyle w:val="57"/>
                    <w:rPr>
                      <w:b/>
                    </w:rPr>
                  </w:pPr>
                  <w:r>
                    <w:rPr>
                      <w:rFonts w:hAnsi="宋体"/>
                      <w:b/>
                    </w:rPr>
                    <w:t>噪声背景值</w:t>
                  </w:r>
                </w:p>
              </w:tc>
              <w:tc>
                <w:tcPr>
                  <w:tcW w:w="578" w:type="pct"/>
                  <w:shd w:val="clear" w:color="auto" w:fill="auto"/>
                  <w:vAlign w:val="center"/>
                </w:tcPr>
                <w:p>
                  <w:pPr>
                    <w:pStyle w:val="57"/>
                    <w:rPr>
                      <w:b/>
                    </w:rPr>
                  </w:pPr>
                  <w:r>
                    <w:rPr>
                      <w:rFonts w:hAnsi="宋体"/>
                      <w:b/>
                    </w:rPr>
                    <w:t>噪声现状值</w:t>
                  </w:r>
                </w:p>
              </w:tc>
              <w:tc>
                <w:tcPr>
                  <w:tcW w:w="577" w:type="pct"/>
                  <w:shd w:val="clear" w:color="auto" w:fill="auto"/>
                  <w:vAlign w:val="center"/>
                </w:tcPr>
                <w:p>
                  <w:pPr>
                    <w:pStyle w:val="57"/>
                    <w:rPr>
                      <w:b/>
                    </w:rPr>
                  </w:pPr>
                  <w:r>
                    <w:rPr>
                      <w:rFonts w:hAnsi="宋体"/>
                      <w:b/>
                    </w:rPr>
                    <w:t>噪声标准</w:t>
                  </w:r>
                </w:p>
              </w:tc>
              <w:tc>
                <w:tcPr>
                  <w:tcW w:w="577" w:type="pct"/>
                  <w:shd w:val="clear" w:color="auto" w:fill="auto"/>
                  <w:vAlign w:val="center"/>
                </w:tcPr>
                <w:p>
                  <w:pPr>
                    <w:pStyle w:val="57"/>
                    <w:rPr>
                      <w:b/>
                    </w:rPr>
                  </w:pPr>
                  <w:r>
                    <w:rPr>
                      <w:rFonts w:hAnsi="宋体"/>
                      <w:b/>
                    </w:rPr>
                    <w:t>噪声贡献值</w:t>
                  </w:r>
                </w:p>
              </w:tc>
              <w:tc>
                <w:tcPr>
                  <w:tcW w:w="577" w:type="pct"/>
                  <w:shd w:val="clear" w:color="auto" w:fill="auto"/>
                  <w:vAlign w:val="center"/>
                </w:tcPr>
                <w:p>
                  <w:pPr>
                    <w:pStyle w:val="57"/>
                    <w:rPr>
                      <w:b/>
                    </w:rPr>
                  </w:pPr>
                  <w:r>
                    <w:rPr>
                      <w:rFonts w:hAnsi="宋体"/>
                      <w:b/>
                    </w:rPr>
                    <w:t>噪声预测值</w:t>
                  </w:r>
                </w:p>
              </w:tc>
              <w:tc>
                <w:tcPr>
                  <w:tcW w:w="577" w:type="pct"/>
                  <w:shd w:val="clear" w:color="auto" w:fill="auto"/>
                  <w:vAlign w:val="center"/>
                </w:tcPr>
                <w:p>
                  <w:pPr>
                    <w:pStyle w:val="57"/>
                    <w:rPr>
                      <w:b/>
                    </w:rPr>
                  </w:pPr>
                  <w:r>
                    <w:rPr>
                      <w:rFonts w:hAnsi="宋体"/>
                      <w:b/>
                    </w:rPr>
                    <w:t>较现状增量</w:t>
                  </w:r>
                </w:p>
              </w:tc>
              <w:tc>
                <w:tcPr>
                  <w:tcW w:w="624" w:type="pct"/>
                  <w:shd w:val="clear" w:color="auto" w:fill="auto"/>
                  <w:vAlign w:val="center"/>
                </w:tcPr>
                <w:p>
                  <w:pPr>
                    <w:pStyle w:val="57"/>
                    <w:rPr>
                      <w:b/>
                    </w:rPr>
                  </w:pPr>
                  <w:r>
                    <w:rPr>
                      <w:rFonts w:hAnsi="宋体"/>
                      <w:b/>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vMerge w:val="continue"/>
                  <w:vAlign w:val="center"/>
                </w:tcPr>
                <w:p>
                  <w:pPr>
                    <w:pStyle w:val="57"/>
                    <w:rPr>
                      <w:b/>
                    </w:rPr>
                  </w:pPr>
                </w:p>
              </w:tc>
              <w:tc>
                <w:tcPr>
                  <w:tcW w:w="576" w:type="pct"/>
                  <w:shd w:val="clear" w:color="auto" w:fill="auto"/>
                  <w:vAlign w:val="center"/>
                </w:tcPr>
                <w:p>
                  <w:pPr>
                    <w:pStyle w:val="57"/>
                    <w:rPr>
                      <w:b/>
                    </w:rPr>
                  </w:pPr>
                  <w:r>
                    <w:rPr>
                      <w:rFonts w:hAnsi="宋体"/>
                      <w:b/>
                    </w:rPr>
                    <w:t>昼间</w:t>
                  </w:r>
                </w:p>
              </w:tc>
              <w:tc>
                <w:tcPr>
                  <w:tcW w:w="578"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624" w:type="pct"/>
                  <w:shd w:val="clear" w:color="auto" w:fill="auto"/>
                  <w:vAlign w:val="center"/>
                </w:tcPr>
                <w:p>
                  <w:pPr>
                    <w:pStyle w:val="57"/>
                    <w:rPr>
                      <w:b/>
                    </w:rPr>
                  </w:pPr>
                  <w:r>
                    <w:rPr>
                      <w:rFonts w:hAnsi="宋体"/>
                      <w:b/>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1#</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t>57.0</w:t>
                  </w:r>
                </w:p>
              </w:tc>
              <w:tc>
                <w:tcPr>
                  <w:tcW w:w="577" w:type="pct"/>
                  <w:shd w:val="clear" w:color="auto" w:fill="auto"/>
                  <w:vAlign w:val="center"/>
                </w:tcPr>
                <w:p>
                  <w:pPr>
                    <w:pStyle w:val="57"/>
                  </w:pPr>
                  <w:r>
                    <w:rPr>
                      <w:rFonts w:hint="eastAsia"/>
                    </w:rPr>
                    <w:t>57.4</w:t>
                  </w:r>
                </w:p>
              </w:tc>
              <w:tc>
                <w:tcPr>
                  <w:tcW w:w="577" w:type="pct"/>
                  <w:shd w:val="clear" w:color="auto" w:fill="auto"/>
                  <w:vAlign w:val="center"/>
                </w:tcPr>
                <w:p>
                  <w:pPr>
                    <w:pStyle w:val="57"/>
                  </w:pPr>
                  <w:r>
                    <w:rPr>
                      <w:rFonts w:hint="eastAsia"/>
                    </w:rPr>
                    <w:t>10.4</w:t>
                  </w:r>
                </w:p>
              </w:tc>
              <w:tc>
                <w:tcPr>
                  <w:tcW w:w="624" w:type="pct"/>
                  <w:shd w:val="clear" w:color="auto" w:fill="auto"/>
                  <w:vAlign w:val="center"/>
                </w:tcPr>
                <w:p>
                  <w:pPr>
                    <w:pStyle w:val="5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2#</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t>41.5</w:t>
                  </w:r>
                </w:p>
              </w:tc>
              <w:tc>
                <w:tcPr>
                  <w:tcW w:w="577" w:type="pct"/>
                  <w:shd w:val="clear" w:color="auto" w:fill="auto"/>
                  <w:vAlign w:val="center"/>
                </w:tcPr>
                <w:p>
                  <w:pPr>
                    <w:pStyle w:val="57"/>
                  </w:pPr>
                  <w:r>
                    <w:rPr>
                      <w:rFonts w:hint="eastAsia"/>
                    </w:rPr>
                    <w:t>48.1</w:t>
                  </w:r>
                </w:p>
              </w:tc>
              <w:tc>
                <w:tcPr>
                  <w:tcW w:w="577" w:type="pct"/>
                  <w:shd w:val="clear" w:color="auto" w:fill="auto"/>
                  <w:vAlign w:val="center"/>
                </w:tcPr>
                <w:p>
                  <w:pPr>
                    <w:pStyle w:val="57"/>
                  </w:pPr>
                  <w:r>
                    <w:rPr>
                      <w:rFonts w:hint="eastAsia"/>
                    </w:rPr>
                    <w:t>1.1</w:t>
                  </w:r>
                </w:p>
              </w:tc>
              <w:tc>
                <w:tcPr>
                  <w:tcW w:w="624" w:type="pct"/>
                  <w:shd w:val="clear" w:color="auto" w:fill="auto"/>
                  <w:vAlign w:val="center"/>
                </w:tcPr>
                <w:p>
                  <w:pPr>
                    <w:pStyle w:val="5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3#</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t>33.7</w:t>
                  </w:r>
                </w:p>
              </w:tc>
              <w:tc>
                <w:tcPr>
                  <w:tcW w:w="577" w:type="pct"/>
                  <w:shd w:val="clear" w:color="auto" w:fill="auto"/>
                  <w:vAlign w:val="center"/>
                </w:tcPr>
                <w:p>
                  <w:pPr>
                    <w:pStyle w:val="57"/>
                  </w:pPr>
                  <w:r>
                    <w:rPr>
                      <w:rFonts w:hint="eastAsia"/>
                    </w:rPr>
                    <w:t>47.2</w:t>
                  </w:r>
                </w:p>
              </w:tc>
              <w:tc>
                <w:tcPr>
                  <w:tcW w:w="577" w:type="pct"/>
                  <w:shd w:val="clear" w:color="auto" w:fill="auto"/>
                  <w:vAlign w:val="center"/>
                </w:tcPr>
                <w:p>
                  <w:pPr>
                    <w:pStyle w:val="57"/>
                  </w:pPr>
                  <w:r>
                    <w:rPr>
                      <w:rFonts w:hint="eastAsia"/>
                    </w:rPr>
                    <w:t>0.2</w:t>
                  </w:r>
                </w:p>
              </w:tc>
              <w:tc>
                <w:tcPr>
                  <w:tcW w:w="624" w:type="pct"/>
                  <w:shd w:val="clear" w:color="auto" w:fill="auto"/>
                  <w:vAlign w:val="center"/>
                </w:tcPr>
                <w:p>
                  <w:pPr>
                    <w:pStyle w:val="57"/>
                  </w:pPr>
                  <w:r>
                    <w:t>达标</w:t>
                  </w:r>
                </w:p>
              </w:tc>
            </w:tr>
          </w:tbl>
          <w:p>
            <w:pPr>
              <w:ind w:firstLine="420"/>
              <w:rPr>
                <w:sz w:val="21"/>
                <w:szCs w:val="21"/>
              </w:rPr>
            </w:pPr>
            <w:r>
              <w:rPr>
                <w:sz w:val="21"/>
                <w:szCs w:val="21"/>
              </w:rPr>
              <w:t>预测结果表明，拟建项目压裂作业昼间井口周围300m范围内环境敏感点处噪声预测值均能满足《声环境质量标准》（GB3096-2008）2类标准。</w:t>
            </w:r>
          </w:p>
          <w:p>
            <w:pPr>
              <w:adjustRightInd w:val="0"/>
              <w:snapToGrid w:val="0"/>
              <w:ind w:firstLine="422"/>
              <w:rPr>
                <w:b/>
                <w:bCs/>
                <w:sz w:val="21"/>
                <w:szCs w:val="21"/>
              </w:rPr>
            </w:pPr>
            <w:r>
              <w:rPr>
                <w:b/>
                <w:bCs/>
                <w:sz w:val="21"/>
                <w:szCs w:val="21"/>
              </w:rPr>
              <w:t>（3）测试噪声</w:t>
            </w:r>
          </w:p>
          <w:p>
            <w:pPr>
              <w:adjustRightInd w:val="0"/>
              <w:snapToGrid w:val="0"/>
              <w:ind w:firstLine="420"/>
              <w:rPr>
                <w:bCs/>
                <w:sz w:val="21"/>
                <w:szCs w:val="21"/>
              </w:rPr>
            </w:pPr>
            <w:r>
              <w:rPr>
                <w:bCs/>
                <w:sz w:val="21"/>
                <w:szCs w:val="21"/>
              </w:rPr>
              <w:t>完井测试时产生的噪声主要有发电机噪声和放喷噪声，项目测试作业均在白天进行，不涉及夜间测试放喷作业。采取降噪措施后的设备噪声值见表4-14。</w:t>
            </w:r>
          </w:p>
          <w:p>
            <w:pPr>
              <w:autoSpaceDE w:val="0"/>
              <w:autoSpaceDN w:val="0"/>
              <w:ind w:firstLine="0" w:firstLineChars="0"/>
              <w:jc w:val="center"/>
              <w:rPr>
                <w:b/>
                <w:kern w:val="0"/>
                <w:sz w:val="21"/>
                <w:szCs w:val="21"/>
              </w:rPr>
            </w:pPr>
            <w:r>
              <w:rPr>
                <w:b/>
                <w:kern w:val="0"/>
                <w:sz w:val="21"/>
                <w:szCs w:val="21"/>
              </w:rPr>
              <w:t>表4-14</w:t>
            </w:r>
            <w:r>
              <w:rPr>
                <w:rFonts w:hint="eastAsia"/>
                <w:b/>
                <w:kern w:val="0"/>
                <w:sz w:val="21"/>
                <w:szCs w:val="21"/>
              </w:rPr>
              <w:t xml:space="preserve">  </w:t>
            </w:r>
            <w:r>
              <w:rPr>
                <w:b/>
                <w:kern w:val="0"/>
                <w:sz w:val="21"/>
                <w:szCs w:val="21"/>
              </w:rPr>
              <w:t>采取降噪措施后的噪声源强</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129"/>
              <w:gridCol w:w="855"/>
              <w:gridCol w:w="930"/>
              <w:gridCol w:w="765"/>
              <w:gridCol w:w="908"/>
              <w:gridCol w:w="1072"/>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52" w:type="pct"/>
                  <w:vMerge w:val="restart"/>
                  <w:vAlign w:val="center"/>
                </w:tcPr>
                <w:p>
                  <w:pPr>
                    <w:pStyle w:val="57"/>
                    <w:rPr>
                      <w:b/>
                    </w:rPr>
                  </w:pPr>
                  <w:r>
                    <w:rPr>
                      <w:b/>
                    </w:rPr>
                    <w:t>噪声源</w:t>
                  </w:r>
                </w:p>
              </w:tc>
              <w:tc>
                <w:tcPr>
                  <w:tcW w:w="680" w:type="pct"/>
                  <w:vMerge w:val="restart"/>
                  <w:vAlign w:val="center"/>
                </w:tcPr>
                <w:p>
                  <w:pPr>
                    <w:pStyle w:val="57"/>
                    <w:rPr>
                      <w:b/>
                    </w:rPr>
                  </w:pPr>
                  <w:r>
                    <w:rPr>
                      <w:b/>
                    </w:rPr>
                    <w:t>型号</w:t>
                  </w:r>
                </w:p>
              </w:tc>
              <w:tc>
                <w:tcPr>
                  <w:tcW w:w="1536" w:type="pct"/>
                  <w:gridSpan w:val="3"/>
                  <w:vAlign w:val="center"/>
                </w:tcPr>
                <w:p>
                  <w:pPr>
                    <w:pStyle w:val="57"/>
                    <w:rPr>
                      <w:b/>
                    </w:rPr>
                  </w:pPr>
                  <w:r>
                    <w:rPr>
                      <w:b/>
                    </w:rPr>
                    <w:t>空间相对位置</w:t>
                  </w:r>
                </w:p>
              </w:tc>
              <w:tc>
                <w:tcPr>
                  <w:tcW w:w="547" w:type="pct"/>
                  <w:vMerge w:val="restart"/>
                  <w:vAlign w:val="center"/>
                </w:tcPr>
                <w:p>
                  <w:pPr>
                    <w:pStyle w:val="57"/>
                    <w:rPr>
                      <w:b/>
                    </w:rPr>
                  </w:pPr>
                  <w:r>
                    <w:rPr>
                      <w:b/>
                    </w:rPr>
                    <w:t>声功率级dB（A）</w:t>
                  </w:r>
                </w:p>
              </w:tc>
              <w:tc>
                <w:tcPr>
                  <w:tcW w:w="646" w:type="pct"/>
                  <w:vMerge w:val="restart"/>
                  <w:vAlign w:val="center"/>
                </w:tcPr>
                <w:p>
                  <w:pPr>
                    <w:pStyle w:val="57"/>
                    <w:rPr>
                      <w:b/>
                    </w:rPr>
                  </w:pPr>
                  <w:r>
                    <w:rPr>
                      <w:b/>
                    </w:rPr>
                    <w:t>声源控制措施</w:t>
                  </w:r>
                </w:p>
              </w:tc>
              <w:tc>
                <w:tcPr>
                  <w:tcW w:w="739" w:type="pct"/>
                  <w:vMerge w:val="restart"/>
                  <w:vAlign w:val="center"/>
                </w:tcPr>
                <w:p>
                  <w:pPr>
                    <w:pStyle w:val="57"/>
                    <w:rPr>
                      <w:b/>
                    </w:rPr>
                  </w:pPr>
                  <w:r>
                    <w:rPr>
                      <w:b/>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52" w:type="pct"/>
                  <w:vMerge w:val="continue"/>
                  <w:vAlign w:val="center"/>
                </w:tcPr>
                <w:p>
                  <w:pPr>
                    <w:pStyle w:val="57"/>
                  </w:pPr>
                </w:p>
              </w:tc>
              <w:tc>
                <w:tcPr>
                  <w:tcW w:w="680" w:type="pct"/>
                  <w:vMerge w:val="continue"/>
                  <w:vAlign w:val="center"/>
                </w:tcPr>
                <w:p>
                  <w:pPr>
                    <w:pStyle w:val="57"/>
                  </w:pPr>
                </w:p>
              </w:tc>
              <w:tc>
                <w:tcPr>
                  <w:tcW w:w="515" w:type="pct"/>
                  <w:vAlign w:val="center"/>
                </w:tcPr>
                <w:p>
                  <w:pPr>
                    <w:pStyle w:val="57"/>
                    <w:rPr>
                      <w:b/>
                    </w:rPr>
                  </w:pPr>
                  <w:r>
                    <w:rPr>
                      <w:b/>
                    </w:rPr>
                    <w:t>X</w:t>
                  </w:r>
                </w:p>
              </w:tc>
              <w:tc>
                <w:tcPr>
                  <w:tcW w:w="560" w:type="pct"/>
                  <w:vAlign w:val="center"/>
                </w:tcPr>
                <w:p>
                  <w:pPr>
                    <w:pStyle w:val="57"/>
                    <w:rPr>
                      <w:b/>
                    </w:rPr>
                  </w:pPr>
                  <w:r>
                    <w:rPr>
                      <w:b/>
                    </w:rPr>
                    <w:t>Y</w:t>
                  </w:r>
                </w:p>
              </w:tc>
              <w:tc>
                <w:tcPr>
                  <w:tcW w:w="461" w:type="pct"/>
                  <w:vAlign w:val="center"/>
                </w:tcPr>
                <w:p>
                  <w:pPr>
                    <w:pStyle w:val="57"/>
                    <w:rPr>
                      <w:b/>
                    </w:rPr>
                  </w:pPr>
                  <w:r>
                    <w:rPr>
                      <w:b/>
                    </w:rPr>
                    <w:t>Z</w:t>
                  </w:r>
                </w:p>
              </w:tc>
              <w:tc>
                <w:tcPr>
                  <w:tcW w:w="547" w:type="pct"/>
                  <w:vMerge w:val="continue"/>
                  <w:vAlign w:val="center"/>
                </w:tcPr>
                <w:p>
                  <w:pPr>
                    <w:pStyle w:val="57"/>
                  </w:pPr>
                </w:p>
              </w:tc>
              <w:tc>
                <w:tcPr>
                  <w:tcW w:w="646" w:type="pct"/>
                  <w:vMerge w:val="continue"/>
                  <w:vAlign w:val="center"/>
                </w:tcPr>
                <w:p>
                  <w:pPr>
                    <w:pStyle w:val="57"/>
                  </w:pPr>
                </w:p>
              </w:tc>
              <w:tc>
                <w:tcPr>
                  <w:tcW w:w="739" w:type="pct"/>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vAlign w:val="center"/>
                </w:tcPr>
                <w:p>
                  <w:pPr>
                    <w:pStyle w:val="57"/>
                  </w:pPr>
                  <w:r>
                    <w:rPr>
                      <w:rFonts w:hint="eastAsia"/>
                    </w:rPr>
                    <w:t>发电机</w:t>
                  </w:r>
                </w:p>
              </w:tc>
              <w:tc>
                <w:tcPr>
                  <w:tcW w:w="680" w:type="pct"/>
                  <w:vAlign w:val="center"/>
                </w:tcPr>
                <w:p>
                  <w:pPr>
                    <w:pStyle w:val="57"/>
                  </w:pPr>
                  <w:r>
                    <w:t>/</w:t>
                  </w:r>
                </w:p>
              </w:tc>
              <w:tc>
                <w:tcPr>
                  <w:tcW w:w="515" w:type="pct"/>
                  <w:vAlign w:val="center"/>
                </w:tcPr>
                <w:p>
                  <w:pPr>
                    <w:adjustRightInd w:val="0"/>
                    <w:snapToGrid w:val="0"/>
                    <w:spacing w:line="240" w:lineRule="auto"/>
                    <w:ind w:firstLine="0" w:firstLineChars="0"/>
                    <w:jc w:val="center"/>
                    <w:rPr>
                      <w:kern w:val="0"/>
                      <w:sz w:val="21"/>
                      <w:szCs w:val="21"/>
                    </w:rPr>
                  </w:pPr>
                  <w:r>
                    <w:rPr>
                      <w:kern w:val="0"/>
                      <w:sz w:val="21"/>
                      <w:szCs w:val="21"/>
                    </w:rPr>
                    <w:t>-38.</w:t>
                  </w:r>
                  <w:r>
                    <w:rPr>
                      <w:rFonts w:hint="eastAsia"/>
                      <w:kern w:val="0"/>
                      <w:sz w:val="21"/>
                      <w:szCs w:val="21"/>
                    </w:rPr>
                    <w:t>3</w:t>
                  </w:r>
                </w:p>
              </w:tc>
              <w:tc>
                <w:tcPr>
                  <w:tcW w:w="560" w:type="pct"/>
                  <w:vAlign w:val="center"/>
                </w:tcPr>
                <w:p>
                  <w:pPr>
                    <w:adjustRightInd w:val="0"/>
                    <w:snapToGrid w:val="0"/>
                    <w:spacing w:line="240" w:lineRule="auto"/>
                    <w:ind w:firstLine="0" w:firstLineChars="0"/>
                    <w:jc w:val="center"/>
                    <w:rPr>
                      <w:kern w:val="0"/>
                      <w:sz w:val="21"/>
                      <w:szCs w:val="21"/>
                    </w:rPr>
                  </w:pPr>
                  <w:r>
                    <w:rPr>
                      <w:kern w:val="0"/>
                      <w:sz w:val="21"/>
                      <w:szCs w:val="21"/>
                    </w:rPr>
                    <w:t>9.0</w:t>
                  </w:r>
                </w:p>
              </w:tc>
              <w:tc>
                <w:tcPr>
                  <w:tcW w:w="461" w:type="pct"/>
                  <w:vAlign w:val="center"/>
                </w:tcPr>
                <w:p>
                  <w:pPr>
                    <w:pStyle w:val="57"/>
                    <w:adjustRightInd w:val="0"/>
                    <w:snapToGrid w:val="0"/>
                  </w:pPr>
                  <w:r>
                    <w:t>1</w:t>
                  </w:r>
                </w:p>
              </w:tc>
              <w:tc>
                <w:tcPr>
                  <w:tcW w:w="547" w:type="pct"/>
                  <w:vAlign w:val="center"/>
                </w:tcPr>
                <w:p>
                  <w:pPr>
                    <w:widowControl/>
                    <w:adjustRightInd w:val="0"/>
                    <w:snapToGrid w:val="0"/>
                    <w:spacing w:line="240" w:lineRule="auto"/>
                    <w:ind w:firstLine="0" w:firstLineChars="0"/>
                    <w:jc w:val="center"/>
                    <w:rPr>
                      <w:kern w:val="0"/>
                      <w:sz w:val="21"/>
                      <w:szCs w:val="21"/>
                    </w:rPr>
                  </w:pPr>
                  <w:r>
                    <w:rPr>
                      <w:kern w:val="0"/>
                      <w:sz w:val="21"/>
                      <w:szCs w:val="21"/>
                    </w:rPr>
                    <w:t>110</w:t>
                  </w:r>
                </w:p>
              </w:tc>
              <w:tc>
                <w:tcPr>
                  <w:tcW w:w="646" w:type="pct"/>
                  <w:vAlign w:val="center"/>
                </w:tcPr>
                <w:p>
                  <w:pPr>
                    <w:widowControl/>
                    <w:adjustRightInd w:val="0"/>
                    <w:snapToGrid w:val="0"/>
                    <w:spacing w:line="240" w:lineRule="auto"/>
                    <w:ind w:firstLine="0" w:firstLineChars="0"/>
                    <w:jc w:val="center"/>
                    <w:rPr>
                      <w:kern w:val="0"/>
                      <w:sz w:val="21"/>
                      <w:szCs w:val="21"/>
                    </w:rPr>
                  </w:pPr>
                  <w:r>
                    <w:rPr>
                      <w:rFonts w:hint="eastAsia"/>
                      <w:kern w:val="0"/>
                      <w:sz w:val="21"/>
                      <w:szCs w:val="21"/>
                    </w:rPr>
                    <w:t>发电机房</w:t>
                  </w:r>
                </w:p>
              </w:tc>
              <w:tc>
                <w:tcPr>
                  <w:tcW w:w="739" w:type="pct"/>
                  <w:vAlign w:val="center"/>
                </w:tcPr>
                <w:p>
                  <w:pPr>
                    <w:widowControl/>
                    <w:adjustRightInd w:val="0"/>
                    <w:snapToGrid w:val="0"/>
                    <w:spacing w:line="240" w:lineRule="auto"/>
                    <w:ind w:firstLine="0" w:firstLineChars="0"/>
                    <w:jc w:val="center"/>
                    <w:rPr>
                      <w:kern w:val="0"/>
                      <w:sz w:val="21"/>
                      <w:szCs w:val="21"/>
                    </w:rPr>
                  </w:pPr>
                  <w:r>
                    <w:rPr>
                      <w:kern w:val="0"/>
                      <w:sz w:val="21"/>
                      <w:szCs w:val="21"/>
                    </w:rPr>
                    <w:t>昼间连续排放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vAlign w:val="center"/>
                </w:tcPr>
                <w:p>
                  <w:pPr>
                    <w:pStyle w:val="57"/>
                  </w:pPr>
                  <w:r>
                    <w:rPr>
                      <w:rFonts w:hint="eastAsia"/>
                    </w:rPr>
                    <w:t>燃烧池</w:t>
                  </w:r>
                </w:p>
              </w:tc>
              <w:tc>
                <w:tcPr>
                  <w:tcW w:w="680" w:type="pct"/>
                  <w:vAlign w:val="center"/>
                </w:tcPr>
                <w:p>
                  <w:pPr>
                    <w:pStyle w:val="57"/>
                  </w:pPr>
                  <w:r>
                    <w:t>/</w:t>
                  </w:r>
                </w:p>
              </w:tc>
              <w:tc>
                <w:tcPr>
                  <w:tcW w:w="515" w:type="pct"/>
                  <w:vAlign w:val="center"/>
                </w:tcPr>
                <w:p>
                  <w:pPr>
                    <w:adjustRightInd w:val="0"/>
                    <w:snapToGrid w:val="0"/>
                    <w:spacing w:line="240" w:lineRule="auto"/>
                    <w:ind w:firstLine="0" w:firstLineChars="0"/>
                    <w:jc w:val="center"/>
                    <w:rPr>
                      <w:kern w:val="0"/>
                      <w:sz w:val="21"/>
                      <w:szCs w:val="21"/>
                    </w:rPr>
                  </w:pPr>
                  <w:r>
                    <w:rPr>
                      <w:kern w:val="0"/>
                      <w:sz w:val="21"/>
                      <w:szCs w:val="21"/>
                    </w:rPr>
                    <w:t>130.</w:t>
                  </w:r>
                  <w:r>
                    <w:rPr>
                      <w:rFonts w:hint="eastAsia"/>
                      <w:kern w:val="0"/>
                      <w:sz w:val="21"/>
                      <w:szCs w:val="21"/>
                    </w:rPr>
                    <w:t>4</w:t>
                  </w:r>
                </w:p>
              </w:tc>
              <w:tc>
                <w:tcPr>
                  <w:tcW w:w="560" w:type="pct"/>
                  <w:vAlign w:val="center"/>
                </w:tcPr>
                <w:p>
                  <w:pPr>
                    <w:adjustRightInd w:val="0"/>
                    <w:snapToGrid w:val="0"/>
                    <w:spacing w:line="240" w:lineRule="auto"/>
                    <w:ind w:firstLine="0" w:firstLineChars="0"/>
                    <w:jc w:val="center"/>
                    <w:rPr>
                      <w:kern w:val="0"/>
                      <w:sz w:val="21"/>
                      <w:szCs w:val="21"/>
                    </w:rPr>
                  </w:pPr>
                  <w:r>
                    <w:rPr>
                      <w:kern w:val="0"/>
                      <w:sz w:val="21"/>
                      <w:szCs w:val="21"/>
                    </w:rPr>
                    <w:t>42.4</w:t>
                  </w:r>
                </w:p>
              </w:tc>
              <w:tc>
                <w:tcPr>
                  <w:tcW w:w="461" w:type="pct"/>
                  <w:vAlign w:val="center"/>
                </w:tcPr>
                <w:p>
                  <w:pPr>
                    <w:pStyle w:val="57"/>
                    <w:adjustRightInd w:val="0"/>
                    <w:snapToGrid w:val="0"/>
                  </w:pPr>
                  <w:r>
                    <w:t>1</w:t>
                  </w:r>
                </w:p>
              </w:tc>
              <w:tc>
                <w:tcPr>
                  <w:tcW w:w="547" w:type="pct"/>
                  <w:vAlign w:val="center"/>
                </w:tcPr>
                <w:p>
                  <w:pPr>
                    <w:widowControl/>
                    <w:adjustRightInd w:val="0"/>
                    <w:snapToGrid w:val="0"/>
                    <w:spacing w:line="240" w:lineRule="auto"/>
                    <w:ind w:firstLine="0" w:firstLineChars="0"/>
                    <w:jc w:val="center"/>
                    <w:rPr>
                      <w:kern w:val="0"/>
                      <w:sz w:val="21"/>
                      <w:szCs w:val="21"/>
                    </w:rPr>
                  </w:pPr>
                  <w:r>
                    <w:rPr>
                      <w:kern w:val="0"/>
                      <w:sz w:val="21"/>
                      <w:szCs w:val="21"/>
                    </w:rPr>
                    <w:t>95</w:t>
                  </w:r>
                  <w:r>
                    <w:rPr>
                      <w:rFonts w:hint="eastAsia"/>
                      <w:kern w:val="0"/>
                      <w:sz w:val="21"/>
                      <w:szCs w:val="21"/>
                    </w:rPr>
                    <w:t>~</w:t>
                  </w:r>
                  <w:r>
                    <w:rPr>
                      <w:kern w:val="0"/>
                      <w:sz w:val="21"/>
                      <w:szCs w:val="21"/>
                    </w:rPr>
                    <w:t>105</w:t>
                  </w:r>
                </w:p>
              </w:tc>
              <w:tc>
                <w:tcPr>
                  <w:tcW w:w="646" w:type="pct"/>
                  <w:vAlign w:val="center"/>
                </w:tcPr>
                <w:p>
                  <w:pPr>
                    <w:widowControl/>
                    <w:adjustRightInd w:val="0"/>
                    <w:snapToGrid w:val="0"/>
                    <w:spacing w:line="240" w:lineRule="auto"/>
                    <w:ind w:firstLine="0" w:firstLineChars="0"/>
                    <w:jc w:val="center"/>
                    <w:rPr>
                      <w:kern w:val="0"/>
                      <w:sz w:val="21"/>
                      <w:szCs w:val="21"/>
                    </w:rPr>
                  </w:pPr>
                  <w:r>
                    <w:rPr>
                      <w:kern w:val="0"/>
                      <w:sz w:val="21"/>
                      <w:szCs w:val="21"/>
                    </w:rPr>
                    <w:t>燃烧池挡墙</w:t>
                  </w:r>
                </w:p>
              </w:tc>
              <w:tc>
                <w:tcPr>
                  <w:tcW w:w="739" w:type="pct"/>
                  <w:vAlign w:val="center"/>
                </w:tcPr>
                <w:p>
                  <w:pPr>
                    <w:widowControl/>
                    <w:adjustRightInd w:val="0"/>
                    <w:snapToGrid w:val="0"/>
                    <w:spacing w:line="240" w:lineRule="auto"/>
                    <w:ind w:firstLine="0" w:firstLineChars="0"/>
                    <w:jc w:val="center"/>
                    <w:rPr>
                      <w:kern w:val="0"/>
                      <w:sz w:val="21"/>
                      <w:szCs w:val="21"/>
                    </w:rPr>
                  </w:pPr>
                  <w:r>
                    <w:rPr>
                      <w:kern w:val="0"/>
                      <w:sz w:val="21"/>
                      <w:szCs w:val="21"/>
                    </w:rPr>
                    <w:t>昼间连续排放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widowControl/>
                    <w:spacing w:line="240" w:lineRule="auto"/>
                    <w:ind w:firstLine="0" w:firstLineChars="0"/>
                    <w:rPr>
                      <w:sz w:val="21"/>
                      <w:szCs w:val="21"/>
                    </w:rPr>
                  </w:pPr>
                  <w:r>
                    <w:rPr>
                      <w:rFonts w:hint="eastAsia"/>
                      <w:sz w:val="21"/>
                      <w:szCs w:val="21"/>
                    </w:rPr>
                    <w:t>备注：1、</w:t>
                  </w:r>
                  <w:r>
                    <w:rPr>
                      <w:sz w:val="21"/>
                      <w:szCs w:val="21"/>
                    </w:rPr>
                    <w:t>按</w:t>
                  </w:r>
                  <w:r>
                    <w:rPr>
                      <w:rFonts w:hint="eastAsia"/>
                      <w:sz w:val="21"/>
                      <w:szCs w:val="21"/>
                    </w:rPr>
                    <w:t>井口</w:t>
                  </w:r>
                  <w:r>
                    <w:rPr>
                      <w:sz w:val="21"/>
                      <w:szCs w:val="21"/>
                    </w:rPr>
                    <w:t>为坐标原点。2</w:t>
                  </w:r>
                  <w:r>
                    <w:rPr>
                      <w:rFonts w:hint="eastAsia"/>
                      <w:sz w:val="21"/>
                      <w:szCs w:val="21"/>
                    </w:rPr>
                    <w:t>、发电机声功率级为</w:t>
                  </w:r>
                  <w:r>
                    <w:rPr>
                      <w:sz w:val="21"/>
                      <w:szCs w:val="21"/>
                    </w:rPr>
                    <w:t>110dB</w:t>
                  </w:r>
                  <w:r>
                    <w:rPr>
                      <w:rFonts w:hint="eastAsia"/>
                      <w:sz w:val="21"/>
                      <w:szCs w:val="21"/>
                    </w:rPr>
                    <w:t>（</w:t>
                  </w:r>
                  <w:r>
                    <w:rPr>
                      <w:sz w:val="21"/>
                      <w:szCs w:val="21"/>
                    </w:rPr>
                    <w:t>A</w:t>
                  </w:r>
                  <w:r>
                    <w:rPr>
                      <w:rFonts w:hint="eastAsia"/>
                      <w:sz w:val="21"/>
                      <w:szCs w:val="21"/>
                    </w:rPr>
                    <w:t>），采取声源控制措施后声功率级为</w:t>
                  </w:r>
                  <w:r>
                    <w:rPr>
                      <w:sz w:val="21"/>
                      <w:szCs w:val="21"/>
                    </w:rPr>
                    <w:t>100dB</w:t>
                  </w:r>
                  <w:r>
                    <w:rPr>
                      <w:rFonts w:hint="eastAsia"/>
                      <w:sz w:val="21"/>
                      <w:szCs w:val="21"/>
                    </w:rPr>
                    <w:t>（</w:t>
                  </w:r>
                  <w:r>
                    <w:rPr>
                      <w:sz w:val="21"/>
                      <w:szCs w:val="21"/>
                    </w:rPr>
                    <w:t>A</w:t>
                  </w:r>
                  <w:r>
                    <w:rPr>
                      <w:rFonts w:hint="eastAsia"/>
                      <w:sz w:val="21"/>
                      <w:szCs w:val="21"/>
                    </w:rPr>
                    <w:t>），燃烧池采取声源控制措施后升功率级为1</w:t>
                  </w:r>
                  <w:r>
                    <w:rPr>
                      <w:sz w:val="21"/>
                      <w:szCs w:val="21"/>
                    </w:rPr>
                    <w:t>00</w:t>
                  </w:r>
                  <w:r>
                    <w:rPr>
                      <w:rFonts w:hint="eastAsia"/>
                      <w:sz w:val="21"/>
                      <w:szCs w:val="21"/>
                    </w:rPr>
                    <w:t>；</w:t>
                  </w:r>
                  <w:r>
                    <w:rPr>
                      <w:sz w:val="21"/>
                      <w:szCs w:val="21"/>
                    </w:rPr>
                    <w:t>3</w:t>
                  </w:r>
                  <w:r>
                    <w:rPr>
                      <w:rFonts w:hint="eastAsia"/>
                      <w:sz w:val="21"/>
                      <w:szCs w:val="21"/>
                    </w:rPr>
                    <w:t>、放喷在昼间进行，每次时间为</w:t>
                  </w:r>
                  <w:r>
                    <w:rPr>
                      <w:sz w:val="21"/>
                      <w:szCs w:val="21"/>
                    </w:rPr>
                    <w:t>2~3h</w:t>
                  </w:r>
                </w:p>
              </w:tc>
            </w:tr>
          </w:tbl>
          <w:p>
            <w:pPr>
              <w:adjustRightInd w:val="0"/>
              <w:snapToGrid w:val="0"/>
              <w:ind w:firstLine="420"/>
              <w:rPr>
                <w:bCs/>
                <w:sz w:val="21"/>
                <w:szCs w:val="21"/>
              </w:rPr>
            </w:pPr>
            <w:r>
              <w:rPr>
                <w:bCs/>
                <w:sz w:val="21"/>
                <w:szCs w:val="21"/>
              </w:rPr>
              <w:t>项目燃烧池放喷期间噪声预测见下图。</w:t>
            </w: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bCs/>
                <w:sz w:val="21"/>
                <w:szCs w:val="21"/>
              </w:rPr>
            </w:pPr>
          </w:p>
          <w:p>
            <w:pPr>
              <w:adjustRightInd w:val="0"/>
              <w:snapToGrid w:val="0"/>
              <w:ind w:firstLine="420"/>
              <w:rPr>
                <w:rFonts w:hint="eastAsia"/>
                <w:bCs/>
                <w:sz w:val="21"/>
                <w:szCs w:val="21"/>
              </w:rPr>
            </w:pPr>
          </w:p>
          <w:p>
            <w:pPr>
              <w:adjustRightInd w:val="0"/>
              <w:snapToGrid w:val="0"/>
              <w:ind w:firstLine="0" w:firstLineChars="0"/>
              <w:jc w:val="center"/>
              <w:rPr>
                <w:bCs/>
                <w:sz w:val="21"/>
                <w:szCs w:val="21"/>
              </w:rPr>
            </w:pPr>
            <w:r>
              <w:drawing>
                <wp:inline distT="0" distB="0" distL="0" distR="0">
                  <wp:extent cx="4679950" cy="4346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4680000" cy="4347122"/>
                          </a:xfrm>
                          <a:prstGeom prst="rect">
                            <a:avLst/>
                          </a:prstGeom>
                        </pic:spPr>
                      </pic:pic>
                    </a:graphicData>
                  </a:graphic>
                </wp:inline>
              </w:drawing>
            </w:r>
          </w:p>
          <w:p>
            <w:pPr>
              <w:adjustRightInd w:val="0"/>
              <w:snapToGrid w:val="0"/>
              <w:ind w:firstLine="0" w:firstLineChars="0"/>
              <w:jc w:val="center"/>
              <w:rPr>
                <w:b/>
                <w:bCs/>
                <w:sz w:val="21"/>
                <w:szCs w:val="21"/>
              </w:rPr>
            </w:pPr>
            <w:r>
              <w:rPr>
                <w:b/>
                <w:bCs/>
                <w:sz w:val="21"/>
                <w:szCs w:val="21"/>
              </w:rPr>
              <w:t>图4-4</w:t>
            </w:r>
            <w:r>
              <w:rPr>
                <w:rFonts w:hint="eastAsia"/>
                <w:b/>
                <w:bCs/>
                <w:sz w:val="21"/>
                <w:szCs w:val="21"/>
              </w:rPr>
              <w:t xml:space="preserve">  项目</w:t>
            </w:r>
            <w:r>
              <w:rPr>
                <w:b/>
                <w:bCs/>
                <w:sz w:val="21"/>
                <w:szCs w:val="21"/>
              </w:rPr>
              <w:t>燃烧池作业噪声对敏感目标影响预测结果图</w:t>
            </w:r>
          </w:p>
          <w:p>
            <w:pPr>
              <w:adjustRightInd w:val="0"/>
              <w:snapToGrid w:val="0"/>
              <w:ind w:firstLine="420"/>
              <w:rPr>
                <w:bCs/>
                <w:sz w:val="21"/>
                <w:szCs w:val="21"/>
              </w:rPr>
            </w:pPr>
            <w:r>
              <w:rPr>
                <w:bCs/>
                <w:sz w:val="21"/>
                <w:szCs w:val="21"/>
              </w:rPr>
              <w:t>项目燃烧池放喷作业周边各敏感点处噪声预测结果见表4-15。</w:t>
            </w:r>
          </w:p>
          <w:p>
            <w:pPr>
              <w:ind w:firstLine="0" w:firstLineChars="0"/>
              <w:jc w:val="center"/>
              <w:outlineLvl w:val="1"/>
              <w:rPr>
                <w:b/>
                <w:bCs/>
                <w:kern w:val="0"/>
                <w:sz w:val="21"/>
                <w:szCs w:val="21"/>
              </w:rPr>
            </w:pPr>
            <w:r>
              <w:rPr>
                <w:b/>
                <w:bCs/>
                <w:kern w:val="0"/>
                <w:sz w:val="21"/>
                <w:szCs w:val="21"/>
              </w:rPr>
              <w:t>表4-15</w:t>
            </w:r>
            <w:r>
              <w:rPr>
                <w:rFonts w:hint="eastAsia"/>
                <w:b/>
                <w:bCs/>
                <w:kern w:val="0"/>
                <w:sz w:val="21"/>
                <w:szCs w:val="21"/>
              </w:rPr>
              <w:t xml:space="preserve">  </w:t>
            </w:r>
            <w:r>
              <w:rPr>
                <w:b/>
                <w:bCs/>
                <w:kern w:val="0"/>
                <w:sz w:val="21"/>
                <w:szCs w:val="21"/>
              </w:rPr>
              <w:t>放喷作业</w:t>
            </w:r>
            <w:r>
              <w:rPr>
                <w:rFonts w:hint="eastAsia"/>
                <w:b/>
                <w:bCs/>
                <w:kern w:val="0"/>
                <w:sz w:val="21"/>
                <w:szCs w:val="21"/>
              </w:rPr>
              <w:t>项目</w:t>
            </w:r>
            <w:r>
              <w:rPr>
                <w:b/>
                <w:bCs/>
                <w:kern w:val="0"/>
                <w:sz w:val="21"/>
                <w:szCs w:val="21"/>
              </w:rPr>
              <w:t>周围环境敏感点噪声预测情况一览表单位：dB（A）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956"/>
              <w:gridCol w:w="960"/>
              <w:gridCol w:w="958"/>
              <w:gridCol w:w="958"/>
              <w:gridCol w:w="958"/>
              <w:gridCol w:w="958"/>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vMerge w:val="restart"/>
                  <w:shd w:val="clear" w:color="auto" w:fill="auto"/>
                  <w:vAlign w:val="center"/>
                </w:tcPr>
                <w:p>
                  <w:pPr>
                    <w:pStyle w:val="57"/>
                    <w:rPr>
                      <w:b/>
                    </w:rPr>
                  </w:pPr>
                  <w:r>
                    <w:rPr>
                      <w:rFonts w:hAnsi="宋体"/>
                      <w:b/>
                    </w:rPr>
                    <w:t>声环境保护目标名称</w:t>
                  </w:r>
                </w:p>
              </w:tc>
              <w:tc>
                <w:tcPr>
                  <w:tcW w:w="576" w:type="pct"/>
                  <w:shd w:val="clear" w:color="auto" w:fill="auto"/>
                  <w:vAlign w:val="center"/>
                </w:tcPr>
                <w:p>
                  <w:pPr>
                    <w:pStyle w:val="57"/>
                    <w:rPr>
                      <w:b/>
                    </w:rPr>
                  </w:pPr>
                  <w:r>
                    <w:rPr>
                      <w:rFonts w:hAnsi="宋体"/>
                      <w:b/>
                    </w:rPr>
                    <w:t>噪声背景值</w:t>
                  </w:r>
                </w:p>
              </w:tc>
              <w:tc>
                <w:tcPr>
                  <w:tcW w:w="578" w:type="pct"/>
                  <w:shd w:val="clear" w:color="auto" w:fill="auto"/>
                  <w:vAlign w:val="center"/>
                </w:tcPr>
                <w:p>
                  <w:pPr>
                    <w:pStyle w:val="57"/>
                    <w:rPr>
                      <w:b/>
                    </w:rPr>
                  </w:pPr>
                  <w:r>
                    <w:rPr>
                      <w:rFonts w:hAnsi="宋体"/>
                      <w:b/>
                    </w:rPr>
                    <w:t>噪声现状值</w:t>
                  </w:r>
                </w:p>
              </w:tc>
              <w:tc>
                <w:tcPr>
                  <w:tcW w:w="577" w:type="pct"/>
                  <w:shd w:val="clear" w:color="auto" w:fill="auto"/>
                  <w:vAlign w:val="center"/>
                </w:tcPr>
                <w:p>
                  <w:pPr>
                    <w:pStyle w:val="57"/>
                    <w:rPr>
                      <w:b/>
                    </w:rPr>
                  </w:pPr>
                  <w:r>
                    <w:rPr>
                      <w:rFonts w:hAnsi="宋体"/>
                      <w:b/>
                    </w:rPr>
                    <w:t>噪声标准</w:t>
                  </w:r>
                </w:p>
              </w:tc>
              <w:tc>
                <w:tcPr>
                  <w:tcW w:w="577" w:type="pct"/>
                  <w:shd w:val="clear" w:color="auto" w:fill="auto"/>
                  <w:vAlign w:val="center"/>
                </w:tcPr>
                <w:p>
                  <w:pPr>
                    <w:pStyle w:val="57"/>
                    <w:rPr>
                      <w:b/>
                    </w:rPr>
                  </w:pPr>
                  <w:r>
                    <w:rPr>
                      <w:rFonts w:hAnsi="宋体"/>
                      <w:b/>
                    </w:rPr>
                    <w:t>噪声贡献值</w:t>
                  </w:r>
                </w:p>
              </w:tc>
              <w:tc>
                <w:tcPr>
                  <w:tcW w:w="577" w:type="pct"/>
                  <w:shd w:val="clear" w:color="auto" w:fill="auto"/>
                  <w:vAlign w:val="center"/>
                </w:tcPr>
                <w:p>
                  <w:pPr>
                    <w:pStyle w:val="57"/>
                    <w:rPr>
                      <w:b/>
                    </w:rPr>
                  </w:pPr>
                  <w:r>
                    <w:rPr>
                      <w:rFonts w:hAnsi="宋体"/>
                      <w:b/>
                    </w:rPr>
                    <w:t>噪声预测值</w:t>
                  </w:r>
                </w:p>
              </w:tc>
              <w:tc>
                <w:tcPr>
                  <w:tcW w:w="577" w:type="pct"/>
                  <w:shd w:val="clear" w:color="auto" w:fill="auto"/>
                  <w:vAlign w:val="center"/>
                </w:tcPr>
                <w:p>
                  <w:pPr>
                    <w:pStyle w:val="57"/>
                    <w:rPr>
                      <w:b/>
                    </w:rPr>
                  </w:pPr>
                  <w:r>
                    <w:rPr>
                      <w:rFonts w:hAnsi="宋体"/>
                      <w:b/>
                    </w:rPr>
                    <w:t>较现状增量</w:t>
                  </w:r>
                </w:p>
              </w:tc>
              <w:tc>
                <w:tcPr>
                  <w:tcW w:w="624" w:type="pct"/>
                  <w:shd w:val="clear" w:color="auto" w:fill="auto"/>
                  <w:vAlign w:val="center"/>
                </w:tcPr>
                <w:p>
                  <w:pPr>
                    <w:pStyle w:val="57"/>
                    <w:rPr>
                      <w:b/>
                    </w:rPr>
                  </w:pPr>
                  <w:r>
                    <w:rPr>
                      <w:rFonts w:hAnsi="宋体"/>
                      <w:b/>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vMerge w:val="continue"/>
                  <w:vAlign w:val="center"/>
                </w:tcPr>
                <w:p>
                  <w:pPr>
                    <w:pStyle w:val="57"/>
                    <w:rPr>
                      <w:b/>
                    </w:rPr>
                  </w:pPr>
                </w:p>
              </w:tc>
              <w:tc>
                <w:tcPr>
                  <w:tcW w:w="576" w:type="pct"/>
                  <w:shd w:val="clear" w:color="auto" w:fill="auto"/>
                  <w:vAlign w:val="center"/>
                </w:tcPr>
                <w:p>
                  <w:pPr>
                    <w:pStyle w:val="57"/>
                    <w:rPr>
                      <w:b/>
                    </w:rPr>
                  </w:pPr>
                  <w:r>
                    <w:rPr>
                      <w:rFonts w:hAnsi="宋体"/>
                      <w:b/>
                    </w:rPr>
                    <w:t>昼间</w:t>
                  </w:r>
                </w:p>
              </w:tc>
              <w:tc>
                <w:tcPr>
                  <w:tcW w:w="578"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577" w:type="pct"/>
                  <w:shd w:val="clear" w:color="auto" w:fill="auto"/>
                  <w:vAlign w:val="center"/>
                </w:tcPr>
                <w:p>
                  <w:pPr>
                    <w:pStyle w:val="57"/>
                    <w:rPr>
                      <w:b/>
                    </w:rPr>
                  </w:pPr>
                  <w:r>
                    <w:rPr>
                      <w:rFonts w:hAnsi="宋体"/>
                      <w:b/>
                    </w:rPr>
                    <w:t>昼间</w:t>
                  </w:r>
                </w:p>
              </w:tc>
              <w:tc>
                <w:tcPr>
                  <w:tcW w:w="624" w:type="pct"/>
                  <w:shd w:val="clear" w:color="auto" w:fill="auto"/>
                  <w:vAlign w:val="center"/>
                </w:tcPr>
                <w:p>
                  <w:pPr>
                    <w:pStyle w:val="57"/>
                    <w:rPr>
                      <w:b/>
                    </w:rPr>
                  </w:pPr>
                  <w:r>
                    <w:rPr>
                      <w:rFonts w:hAnsi="宋体"/>
                      <w:b/>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1#</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rPr>
                      <w:rFonts w:hint="eastAsia"/>
                    </w:rPr>
                    <w:t>48.8</w:t>
                  </w:r>
                </w:p>
              </w:tc>
              <w:tc>
                <w:tcPr>
                  <w:tcW w:w="577" w:type="pct"/>
                  <w:shd w:val="clear" w:color="auto" w:fill="auto"/>
                  <w:vAlign w:val="center"/>
                </w:tcPr>
                <w:p>
                  <w:pPr>
                    <w:pStyle w:val="57"/>
                  </w:pPr>
                  <w:r>
                    <w:rPr>
                      <w:rFonts w:hint="eastAsia"/>
                    </w:rPr>
                    <w:t>51.0</w:t>
                  </w:r>
                </w:p>
              </w:tc>
              <w:tc>
                <w:tcPr>
                  <w:tcW w:w="577" w:type="pct"/>
                  <w:shd w:val="clear" w:color="auto" w:fill="auto"/>
                  <w:vAlign w:val="center"/>
                </w:tcPr>
                <w:p>
                  <w:pPr>
                    <w:pStyle w:val="57"/>
                  </w:pPr>
                  <w:r>
                    <w:rPr>
                      <w:rFonts w:hint="eastAsia"/>
                    </w:rPr>
                    <w:t>4.0</w:t>
                  </w:r>
                </w:p>
              </w:tc>
              <w:tc>
                <w:tcPr>
                  <w:tcW w:w="624" w:type="pct"/>
                  <w:shd w:val="clear" w:color="auto" w:fill="auto"/>
                  <w:vAlign w:val="center"/>
                </w:tcPr>
                <w:p>
                  <w:pPr>
                    <w:pStyle w:val="5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2#</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rPr>
                      <w:rFonts w:hint="eastAsia"/>
                    </w:rPr>
                    <w:t>37.3</w:t>
                  </w:r>
                </w:p>
              </w:tc>
              <w:tc>
                <w:tcPr>
                  <w:tcW w:w="577" w:type="pct"/>
                  <w:shd w:val="clear" w:color="auto" w:fill="auto"/>
                  <w:vAlign w:val="center"/>
                </w:tcPr>
                <w:p>
                  <w:pPr>
                    <w:pStyle w:val="57"/>
                  </w:pPr>
                  <w:r>
                    <w:rPr>
                      <w:rFonts w:hint="eastAsia"/>
                    </w:rPr>
                    <w:t>47.4</w:t>
                  </w:r>
                </w:p>
              </w:tc>
              <w:tc>
                <w:tcPr>
                  <w:tcW w:w="577" w:type="pct"/>
                  <w:shd w:val="clear" w:color="auto" w:fill="auto"/>
                  <w:vAlign w:val="center"/>
                </w:tcPr>
                <w:p>
                  <w:pPr>
                    <w:pStyle w:val="57"/>
                  </w:pPr>
                  <w:r>
                    <w:rPr>
                      <w:rFonts w:hint="eastAsia"/>
                    </w:rPr>
                    <w:t>0.4</w:t>
                  </w:r>
                </w:p>
              </w:tc>
              <w:tc>
                <w:tcPr>
                  <w:tcW w:w="624" w:type="pct"/>
                  <w:shd w:val="clear" w:color="auto" w:fill="auto"/>
                  <w:vAlign w:val="center"/>
                </w:tcPr>
                <w:p>
                  <w:pPr>
                    <w:pStyle w:val="5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pct"/>
                  <w:shd w:val="clear" w:color="auto" w:fill="auto"/>
                  <w:vAlign w:val="center"/>
                </w:tcPr>
                <w:p>
                  <w:pPr>
                    <w:pStyle w:val="57"/>
                  </w:pPr>
                  <w:r>
                    <w:t>3#</w:t>
                  </w:r>
                  <w:r>
                    <w:rPr>
                      <w:rFonts w:hAnsi="宋体"/>
                    </w:rPr>
                    <w:t>散户居民</w:t>
                  </w:r>
                </w:p>
              </w:tc>
              <w:tc>
                <w:tcPr>
                  <w:tcW w:w="576" w:type="pct"/>
                  <w:shd w:val="clear" w:color="auto" w:fill="auto"/>
                  <w:vAlign w:val="center"/>
                </w:tcPr>
                <w:p>
                  <w:pPr>
                    <w:pStyle w:val="57"/>
                  </w:pPr>
                  <w:r>
                    <w:t>47</w:t>
                  </w:r>
                </w:p>
              </w:tc>
              <w:tc>
                <w:tcPr>
                  <w:tcW w:w="578" w:type="pct"/>
                  <w:shd w:val="clear" w:color="auto" w:fill="auto"/>
                  <w:vAlign w:val="center"/>
                </w:tcPr>
                <w:p>
                  <w:pPr>
                    <w:pStyle w:val="57"/>
                  </w:pPr>
                  <w:r>
                    <w:t>47</w:t>
                  </w:r>
                </w:p>
              </w:tc>
              <w:tc>
                <w:tcPr>
                  <w:tcW w:w="577" w:type="pct"/>
                  <w:shd w:val="clear" w:color="auto" w:fill="auto"/>
                  <w:vAlign w:val="center"/>
                </w:tcPr>
                <w:p>
                  <w:pPr>
                    <w:pStyle w:val="57"/>
                  </w:pPr>
                  <w:r>
                    <w:t>60</w:t>
                  </w:r>
                </w:p>
              </w:tc>
              <w:tc>
                <w:tcPr>
                  <w:tcW w:w="577" w:type="pct"/>
                  <w:shd w:val="clear" w:color="auto" w:fill="auto"/>
                  <w:vAlign w:val="center"/>
                </w:tcPr>
                <w:p>
                  <w:pPr>
                    <w:pStyle w:val="57"/>
                  </w:pPr>
                  <w:r>
                    <w:rPr>
                      <w:rFonts w:hint="eastAsia"/>
                    </w:rPr>
                    <w:t>27.5</w:t>
                  </w:r>
                </w:p>
              </w:tc>
              <w:tc>
                <w:tcPr>
                  <w:tcW w:w="577" w:type="pct"/>
                  <w:shd w:val="clear" w:color="auto" w:fill="auto"/>
                  <w:vAlign w:val="center"/>
                </w:tcPr>
                <w:p>
                  <w:pPr>
                    <w:pStyle w:val="57"/>
                  </w:pPr>
                  <w:r>
                    <w:rPr>
                      <w:rFonts w:hint="eastAsia"/>
                    </w:rPr>
                    <w:t>47.0</w:t>
                  </w:r>
                </w:p>
              </w:tc>
              <w:tc>
                <w:tcPr>
                  <w:tcW w:w="577" w:type="pct"/>
                  <w:shd w:val="clear" w:color="auto" w:fill="auto"/>
                  <w:vAlign w:val="center"/>
                </w:tcPr>
                <w:p>
                  <w:pPr>
                    <w:pStyle w:val="57"/>
                  </w:pPr>
                  <w:r>
                    <w:rPr>
                      <w:rFonts w:hint="eastAsia"/>
                    </w:rPr>
                    <w:t>0.0</w:t>
                  </w:r>
                </w:p>
              </w:tc>
              <w:tc>
                <w:tcPr>
                  <w:tcW w:w="624" w:type="pct"/>
                  <w:shd w:val="clear" w:color="auto" w:fill="auto"/>
                  <w:vAlign w:val="center"/>
                </w:tcPr>
                <w:p>
                  <w:pPr>
                    <w:pStyle w:val="57"/>
                  </w:pPr>
                  <w:r>
                    <w:t>达标</w:t>
                  </w:r>
                </w:p>
              </w:tc>
            </w:tr>
          </w:tbl>
          <w:p>
            <w:pPr>
              <w:adjustRightInd w:val="0"/>
              <w:snapToGrid w:val="0"/>
              <w:ind w:firstLine="420"/>
              <w:rPr>
                <w:bCs/>
                <w:sz w:val="21"/>
                <w:szCs w:val="21"/>
              </w:rPr>
            </w:pPr>
            <w:r>
              <w:rPr>
                <w:bCs/>
                <w:sz w:val="21"/>
                <w:szCs w:val="21"/>
              </w:rPr>
              <w:t>由噪声预测可知，</w:t>
            </w:r>
            <w:r>
              <w:rPr>
                <w:rFonts w:hint="eastAsia"/>
                <w:bCs/>
                <w:sz w:val="21"/>
                <w:szCs w:val="21"/>
              </w:rPr>
              <w:t>项目</w:t>
            </w:r>
            <w:r>
              <w:rPr>
                <w:bCs/>
                <w:sz w:val="21"/>
                <w:szCs w:val="21"/>
              </w:rPr>
              <w:t>燃烧池测试放喷期间敏感点噪声均满足《声环境质量标准》（GB3096-2008）2类声环境功能区标准限值。</w:t>
            </w:r>
          </w:p>
          <w:p>
            <w:pPr>
              <w:adjustRightInd w:val="0"/>
              <w:snapToGrid w:val="0"/>
              <w:ind w:firstLine="420"/>
              <w:rPr>
                <w:bCs/>
                <w:sz w:val="21"/>
                <w:szCs w:val="21"/>
                <w:highlight w:val="yellow"/>
              </w:rPr>
            </w:pPr>
            <w:r>
              <w:rPr>
                <w:bCs/>
                <w:sz w:val="21"/>
                <w:szCs w:val="21"/>
              </w:rPr>
              <w:t>综上</w:t>
            </w:r>
            <w:r>
              <w:rPr>
                <w:rFonts w:hint="eastAsia"/>
                <w:bCs/>
                <w:sz w:val="21"/>
                <w:szCs w:val="21"/>
              </w:rPr>
              <w:t>，</w:t>
            </w:r>
            <w:r>
              <w:rPr>
                <w:bCs/>
                <w:sz w:val="21"/>
                <w:szCs w:val="21"/>
              </w:rPr>
              <w:t>拟建项目噪声超标范围内影响人群情况见下表。</w:t>
            </w:r>
          </w:p>
          <w:p>
            <w:pPr>
              <w:autoSpaceDE w:val="0"/>
              <w:autoSpaceDN w:val="0"/>
              <w:ind w:firstLine="0" w:firstLineChars="0"/>
              <w:jc w:val="center"/>
              <w:rPr>
                <w:b/>
                <w:kern w:val="0"/>
                <w:sz w:val="21"/>
                <w:szCs w:val="21"/>
              </w:rPr>
            </w:pPr>
            <w:r>
              <w:rPr>
                <w:b/>
                <w:kern w:val="0"/>
                <w:sz w:val="21"/>
                <w:szCs w:val="21"/>
              </w:rPr>
              <w:t>表4-16</w:t>
            </w:r>
            <w:r>
              <w:rPr>
                <w:rFonts w:hint="eastAsia"/>
                <w:b/>
                <w:kern w:val="0"/>
                <w:sz w:val="21"/>
                <w:szCs w:val="21"/>
              </w:rPr>
              <w:t xml:space="preserve">  项目</w:t>
            </w:r>
            <w:r>
              <w:rPr>
                <w:b/>
                <w:kern w:val="0"/>
                <w:sz w:val="21"/>
                <w:szCs w:val="21"/>
              </w:rPr>
              <w:t>各阶段噪声超标范围内影响人群情况单位：dB（A）</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26"/>
              <w:gridCol w:w="1663"/>
              <w:gridCol w:w="1661"/>
              <w:gridCol w:w="1208"/>
              <w:gridCol w:w="12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1521" w:type="pct"/>
                  <w:tcBorders>
                    <w:top w:val="single" w:color="auto" w:sz="2" w:space="0"/>
                    <w:left w:val="single" w:color="auto" w:sz="2" w:space="0"/>
                    <w:bottom w:val="single" w:color="auto" w:sz="2" w:space="0"/>
                    <w:right w:val="single" w:color="auto" w:sz="2" w:space="0"/>
                  </w:tcBorders>
                  <w:vAlign w:val="center"/>
                </w:tcPr>
                <w:p>
                  <w:pPr>
                    <w:pStyle w:val="57"/>
                  </w:pPr>
                  <w:r>
                    <w:t>项目</w:t>
                  </w:r>
                </w:p>
              </w:tc>
              <w:tc>
                <w:tcPr>
                  <w:tcW w:w="1001" w:type="pct"/>
                  <w:tcBorders>
                    <w:top w:val="single" w:color="auto" w:sz="2" w:space="0"/>
                    <w:left w:val="single" w:color="auto" w:sz="2" w:space="0"/>
                    <w:bottom w:val="single" w:color="auto" w:sz="2" w:space="0"/>
                    <w:right w:val="single" w:color="auto" w:sz="2" w:space="0"/>
                  </w:tcBorders>
                  <w:vAlign w:val="center"/>
                </w:tcPr>
                <w:p>
                  <w:pPr>
                    <w:pStyle w:val="57"/>
                  </w:pPr>
                  <w:r>
                    <w:t>钻井期间昼间</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t>钻井期间夜间</w:t>
                  </w:r>
                </w:p>
              </w:tc>
              <w:tc>
                <w:tcPr>
                  <w:tcW w:w="727" w:type="pct"/>
                  <w:tcBorders>
                    <w:top w:val="single" w:color="auto" w:sz="2" w:space="0"/>
                    <w:left w:val="single" w:color="auto" w:sz="2" w:space="0"/>
                    <w:bottom w:val="single" w:color="auto" w:sz="2" w:space="0"/>
                    <w:right w:val="single" w:color="auto" w:sz="2" w:space="0"/>
                  </w:tcBorders>
                  <w:vAlign w:val="center"/>
                </w:tcPr>
                <w:p>
                  <w:pPr>
                    <w:pStyle w:val="57"/>
                  </w:pPr>
                  <w:r>
                    <w:t>压裂期间</w:t>
                  </w:r>
                </w:p>
              </w:tc>
              <w:tc>
                <w:tcPr>
                  <w:tcW w:w="751" w:type="pct"/>
                  <w:tcBorders>
                    <w:top w:val="single" w:color="auto" w:sz="2" w:space="0"/>
                    <w:left w:val="single" w:color="auto" w:sz="2" w:space="0"/>
                    <w:bottom w:val="single" w:color="auto" w:sz="2" w:space="0"/>
                    <w:right w:val="single" w:color="auto" w:sz="2" w:space="0"/>
                  </w:tcBorders>
                  <w:vAlign w:val="center"/>
                </w:tcPr>
                <w:p>
                  <w:pPr>
                    <w:pStyle w:val="57"/>
                  </w:pPr>
                  <w:r>
                    <w:t>放喷期间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1521" w:type="pct"/>
                  <w:tcBorders>
                    <w:top w:val="single" w:color="auto" w:sz="2" w:space="0"/>
                    <w:left w:val="single" w:color="auto" w:sz="2" w:space="0"/>
                    <w:right w:val="single" w:color="auto" w:sz="2" w:space="0"/>
                  </w:tcBorders>
                  <w:vAlign w:val="center"/>
                </w:tcPr>
                <w:p>
                  <w:pPr>
                    <w:pStyle w:val="57"/>
                  </w:pPr>
                  <w:r>
                    <w:t>受影响人群</w:t>
                  </w:r>
                </w:p>
              </w:tc>
              <w:tc>
                <w:tcPr>
                  <w:tcW w:w="1001" w:type="pct"/>
                  <w:tcBorders>
                    <w:top w:val="single" w:color="auto" w:sz="2" w:space="0"/>
                    <w:left w:val="single" w:color="auto" w:sz="2" w:space="0"/>
                    <w:bottom w:val="single" w:color="auto" w:sz="2" w:space="0"/>
                    <w:right w:val="single" w:color="auto" w:sz="2" w:space="0"/>
                  </w:tcBorders>
                  <w:vAlign w:val="center"/>
                </w:tcPr>
                <w:p>
                  <w:pPr>
                    <w:pStyle w:val="57"/>
                  </w:pPr>
                  <w:r>
                    <w:t>无</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t>3户7人</w:t>
                  </w:r>
                </w:p>
              </w:tc>
              <w:tc>
                <w:tcPr>
                  <w:tcW w:w="727" w:type="pct"/>
                  <w:tcBorders>
                    <w:top w:val="single" w:color="auto" w:sz="2" w:space="0"/>
                    <w:left w:val="single" w:color="auto" w:sz="2" w:space="0"/>
                    <w:bottom w:val="single" w:color="auto" w:sz="2" w:space="0"/>
                    <w:right w:val="single" w:color="auto" w:sz="2" w:space="0"/>
                  </w:tcBorders>
                  <w:vAlign w:val="center"/>
                </w:tcPr>
                <w:p>
                  <w:pPr>
                    <w:pStyle w:val="57"/>
                  </w:pPr>
                  <w:r>
                    <w:t>无</w:t>
                  </w:r>
                </w:p>
              </w:tc>
              <w:tc>
                <w:tcPr>
                  <w:tcW w:w="751" w:type="pct"/>
                  <w:tcBorders>
                    <w:top w:val="single" w:color="auto" w:sz="2" w:space="0"/>
                    <w:left w:val="single" w:color="auto" w:sz="2" w:space="0"/>
                    <w:bottom w:val="single" w:color="auto" w:sz="2" w:space="0"/>
                    <w:right w:val="single" w:color="auto" w:sz="2" w:space="0"/>
                  </w:tcBorders>
                  <w:vAlign w:val="center"/>
                </w:tcPr>
                <w:p>
                  <w:pPr>
                    <w:pStyle w:val="57"/>
                  </w:pPr>
                  <w: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1521" w:type="pct"/>
                  <w:tcBorders>
                    <w:top w:val="single" w:color="auto" w:sz="2" w:space="0"/>
                    <w:left w:val="single" w:color="auto" w:sz="2" w:space="0"/>
                    <w:bottom w:val="single" w:color="auto" w:sz="2" w:space="0"/>
                    <w:right w:val="single" w:color="auto" w:sz="2" w:space="0"/>
                  </w:tcBorders>
                  <w:vAlign w:val="center"/>
                </w:tcPr>
                <w:p>
                  <w:pPr>
                    <w:pStyle w:val="57"/>
                  </w:pPr>
                  <w:r>
                    <w:t>标准值</w:t>
                  </w:r>
                </w:p>
              </w:tc>
              <w:tc>
                <w:tcPr>
                  <w:tcW w:w="1001" w:type="pct"/>
                  <w:tcBorders>
                    <w:top w:val="single" w:color="auto" w:sz="2" w:space="0"/>
                    <w:left w:val="single" w:color="auto" w:sz="2" w:space="0"/>
                    <w:bottom w:val="single" w:color="auto" w:sz="2" w:space="0"/>
                    <w:right w:val="single" w:color="auto" w:sz="2" w:space="0"/>
                  </w:tcBorders>
                  <w:vAlign w:val="center"/>
                </w:tcPr>
                <w:p>
                  <w:pPr>
                    <w:pStyle w:val="57"/>
                  </w:pPr>
                  <w:r>
                    <w:t>60</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t>50</w:t>
                  </w:r>
                </w:p>
              </w:tc>
              <w:tc>
                <w:tcPr>
                  <w:tcW w:w="727" w:type="pct"/>
                  <w:tcBorders>
                    <w:top w:val="single" w:color="auto" w:sz="2" w:space="0"/>
                    <w:left w:val="single" w:color="auto" w:sz="2" w:space="0"/>
                    <w:bottom w:val="single" w:color="auto" w:sz="2" w:space="0"/>
                    <w:right w:val="single" w:color="auto" w:sz="2" w:space="0"/>
                  </w:tcBorders>
                  <w:vAlign w:val="center"/>
                </w:tcPr>
                <w:p>
                  <w:pPr>
                    <w:pStyle w:val="57"/>
                  </w:pPr>
                  <w:r>
                    <w:t>60</w:t>
                  </w:r>
                </w:p>
              </w:tc>
              <w:tc>
                <w:tcPr>
                  <w:tcW w:w="751" w:type="pct"/>
                  <w:tcBorders>
                    <w:top w:val="single" w:color="auto" w:sz="2" w:space="0"/>
                    <w:left w:val="single" w:color="auto" w:sz="2" w:space="0"/>
                    <w:bottom w:val="single" w:color="auto" w:sz="2" w:space="0"/>
                    <w:right w:val="single" w:color="auto" w:sz="2" w:space="0"/>
                  </w:tcBorders>
                  <w:vAlign w:val="center"/>
                </w:tcPr>
                <w:p>
                  <w:pPr>
                    <w:pStyle w:val="57"/>
                  </w:pPr>
                  <w:r>
                    <w:t>60</w:t>
                  </w:r>
                </w:p>
              </w:tc>
            </w:tr>
          </w:tbl>
          <w:p>
            <w:pPr>
              <w:adjustRightInd w:val="0"/>
              <w:snapToGrid w:val="0"/>
              <w:ind w:firstLine="422"/>
              <w:rPr>
                <w:b/>
                <w:bCs/>
                <w:sz w:val="21"/>
                <w:szCs w:val="21"/>
              </w:rPr>
            </w:pPr>
            <w:r>
              <w:rPr>
                <w:b/>
                <w:bCs/>
                <w:sz w:val="21"/>
                <w:szCs w:val="21"/>
              </w:rPr>
              <w:t>2.4固废环境影响</w:t>
            </w:r>
          </w:p>
          <w:p>
            <w:pPr>
              <w:adjustRightInd w:val="0"/>
              <w:snapToGrid w:val="0"/>
              <w:ind w:firstLine="420"/>
              <w:rPr>
                <w:bCs/>
                <w:sz w:val="21"/>
                <w:szCs w:val="21"/>
              </w:rPr>
            </w:pPr>
            <w:r>
              <w:rPr>
                <w:rFonts w:hint="eastAsia"/>
                <w:bCs/>
                <w:snapToGrid w:val="0"/>
                <w:kern w:val="0"/>
                <w:sz w:val="21"/>
                <w:szCs w:val="21"/>
              </w:rPr>
              <w:t>钻井过程中产生的固体废物主要有废水基泥浆、水基岩屑、沉淀罐污泥、废油、含油废棉纱手套、废包装材料等，还有井队员工产生的生活垃圾。</w:t>
            </w:r>
          </w:p>
          <w:p>
            <w:pPr>
              <w:adjustRightInd w:val="0"/>
              <w:snapToGrid w:val="0"/>
              <w:ind w:firstLine="422"/>
              <w:rPr>
                <w:b/>
                <w:bCs/>
                <w:sz w:val="21"/>
                <w:szCs w:val="21"/>
              </w:rPr>
            </w:pPr>
            <w:r>
              <w:rPr>
                <w:b/>
                <w:bCs/>
                <w:sz w:val="21"/>
                <w:szCs w:val="21"/>
              </w:rPr>
              <w:t>2.4.1废水基泥浆</w:t>
            </w:r>
          </w:p>
          <w:p>
            <w:pPr>
              <w:adjustRightInd w:val="0"/>
              <w:snapToGrid w:val="0"/>
              <w:ind w:firstLine="420"/>
              <w:rPr>
                <w:bCs/>
                <w:sz w:val="21"/>
                <w:szCs w:val="21"/>
              </w:rPr>
            </w:pPr>
            <w:r>
              <w:rPr>
                <w:bCs/>
                <w:sz w:val="21"/>
                <w:szCs w:val="21"/>
              </w:rPr>
              <w:t>为达到安全、快速钻井的目的，钻井泥浆常使用各类的钻井液添加剂。钻井过程中产生的废钻井泥浆主要来源于以下情况：</w:t>
            </w:r>
          </w:p>
          <w:p>
            <w:pPr>
              <w:adjustRightInd w:val="0"/>
              <w:snapToGrid w:val="0"/>
              <w:ind w:firstLine="420"/>
              <w:rPr>
                <w:bCs/>
                <w:sz w:val="21"/>
                <w:szCs w:val="21"/>
              </w:rPr>
            </w:pPr>
            <w:r>
              <w:rPr>
                <w:rFonts w:hint="eastAsia" w:ascii="宋体" w:hAnsi="宋体" w:cs="宋体"/>
                <w:bCs/>
                <w:sz w:val="21"/>
                <w:szCs w:val="21"/>
              </w:rPr>
              <w:t>①</w:t>
            </w:r>
            <w:r>
              <w:rPr>
                <w:bCs/>
                <w:sz w:val="21"/>
                <w:szCs w:val="21"/>
              </w:rPr>
              <w:t>被更换的不适于钻井工程和地质要求的钻井泥浆。</w:t>
            </w:r>
          </w:p>
          <w:p>
            <w:pPr>
              <w:adjustRightInd w:val="0"/>
              <w:snapToGrid w:val="0"/>
              <w:ind w:firstLine="420"/>
              <w:rPr>
                <w:bCs/>
                <w:sz w:val="21"/>
                <w:szCs w:val="21"/>
              </w:rPr>
            </w:pPr>
            <w:r>
              <w:rPr>
                <w:rFonts w:hint="eastAsia" w:ascii="宋体" w:hAnsi="宋体" w:cs="宋体"/>
                <w:bCs/>
                <w:sz w:val="21"/>
                <w:szCs w:val="21"/>
              </w:rPr>
              <w:t>②</w:t>
            </w:r>
            <w:r>
              <w:rPr>
                <w:bCs/>
                <w:sz w:val="21"/>
                <w:szCs w:val="21"/>
              </w:rPr>
              <w:t>在钻井过程中，因部分性能不合格而被排放的钻井泥浆。</w:t>
            </w:r>
          </w:p>
          <w:p>
            <w:pPr>
              <w:adjustRightInd w:val="0"/>
              <w:snapToGrid w:val="0"/>
              <w:ind w:firstLine="420"/>
              <w:rPr>
                <w:bCs/>
                <w:sz w:val="21"/>
                <w:szCs w:val="21"/>
              </w:rPr>
            </w:pPr>
            <w:r>
              <w:rPr>
                <w:rFonts w:hint="eastAsia" w:ascii="宋体" w:hAnsi="宋体" w:cs="宋体"/>
                <w:bCs/>
                <w:sz w:val="21"/>
                <w:szCs w:val="21"/>
              </w:rPr>
              <w:t>③</w:t>
            </w:r>
            <w:r>
              <w:rPr>
                <w:bCs/>
                <w:sz w:val="21"/>
                <w:szCs w:val="21"/>
              </w:rPr>
              <w:t>完井时井筒内被清水替出的钻井泥浆。</w:t>
            </w:r>
          </w:p>
          <w:p>
            <w:pPr>
              <w:adjustRightInd w:val="0"/>
              <w:snapToGrid w:val="0"/>
              <w:ind w:firstLine="420"/>
              <w:rPr>
                <w:bCs/>
                <w:sz w:val="21"/>
                <w:szCs w:val="21"/>
              </w:rPr>
            </w:pPr>
            <w:r>
              <w:rPr>
                <w:rFonts w:hint="eastAsia" w:ascii="宋体" w:hAnsi="宋体" w:cs="宋体"/>
                <w:bCs/>
                <w:sz w:val="21"/>
                <w:szCs w:val="21"/>
              </w:rPr>
              <w:t>④</w:t>
            </w:r>
            <w:r>
              <w:rPr>
                <w:bCs/>
                <w:sz w:val="21"/>
                <w:szCs w:val="21"/>
              </w:rPr>
              <w:t>由钻井泥浆循环系统跑、冒、滴、漏而排出的钻井泥浆。</w:t>
            </w:r>
          </w:p>
          <w:p>
            <w:pPr>
              <w:adjustRightInd w:val="0"/>
              <w:snapToGrid w:val="0"/>
              <w:ind w:firstLine="420"/>
              <w:rPr>
                <w:bCs/>
                <w:sz w:val="21"/>
                <w:szCs w:val="21"/>
              </w:rPr>
            </w:pPr>
            <w:r>
              <w:rPr>
                <w:rFonts w:hint="eastAsia" w:ascii="宋体" w:hAnsi="宋体" w:cs="宋体"/>
                <w:bCs/>
                <w:sz w:val="21"/>
                <w:szCs w:val="21"/>
              </w:rPr>
              <w:t>⑤</w:t>
            </w:r>
            <w:r>
              <w:rPr>
                <w:bCs/>
                <w:sz w:val="21"/>
                <w:szCs w:val="21"/>
              </w:rPr>
              <w:t>钻屑与钻井液分离时，钻屑表面粘附的钻井液。</w:t>
            </w:r>
          </w:p>
          <w:p>
            <w:pPr>
              <w:adjustRightInd w:val="0"/>
              <w:snapToGrid w:val="0"/>
              <w:ind w:firstLine="420"/>
              <w:rPr>
                <w:bCs/>
                <w:snapToGrid w:val="0"/>
                <w:kern w:val="0"/>
                <w:sz w:val="21"/>
                <w:szCs w:val="21"/>
              </w:rPr>
            </w:pPr>
            <w:r>
              <w:rPr>
                <w:bCs/>
                <w:sz w:val="21"/>
                <w:szCs w:val="21"/>
              </w:rPr>
              <w:t>本工程采用随钻不落地处理技术，类比区域已实施钻井工程处理成果，废水基泥浆以每米进尺0.02m</w:t>
            </w:r>
            <w:r>
              <w:rPr>
                <w:bCs/>
                <w:sz w:val="21"/>
                <w:szCs w:val="21"/>
                <w:vertAlign w:val="superscript"/>
              </w:rPr>
              <w:t>3</w:t>
            </w:r>
            <w:r>
              <w:rPr>
                <w:bCs/>
                <w:sz w:val="21"/>
                <w:szCs w:val="21"/>
              </w:rPr>
              <w:t>计算，</w:t>
            </w:r>
            <w:r>
              <w:rPr>
                <w:rFonts w:hint="eastAsia"/>
                <w:bCs/>
                <w:snapToGrid w:val="0"/>
                <w:kern w:val="0"/>
                <w:sz w:val="21"/>
                <w:szCs w:val="21"/>
              </w:rPr>
              <w:t>项目一开（3</w:t>
            </w:r>
            <w:r>
              <w:rPr>
                <w:bCs/>
                <w:snapToGrid w:val="0"/>
                <w:kern w:val="0"/>
                <w:sz w:val="21"/>
                <w:szCs w:val="21"/>
              </w:rPr>
              <w:t>0~502</w:t>
            </w:r>
            <w:r>
              <w:rPr>
                <w:rFonts w:hint="eastAsia"/>
                <w:bCs/>
                <w:snapToGrid w:val="0"/>
                <w:kern w:val="0"/>
                <w:sz w:val="21"/>
                <w:szCs w:val="21"/>
              </w:rPr>
              <w:t>m）二开（</w:t>
            </w:r>
            <w:r>
              <w:rPr>
                <w:bCs/>
                <w:snapToGrid w:val="0"/>
                <w:kern w:val="0"/>
                <w:sz w:val="21"/>
                <w:szCs w:val="21"/>
              </w:rPr>
              <w:t>502~2965m</w:t>
            </w:r>
            <w:r>
              <w:rPr>
                <w:rFonts w:hint="eastAsia"/>
                <w:bCs/>
                <w:snapToGrid w:val="0"/>
                <w:kern w:val="0"/>
                <w:sz w:val="21"/>
                <w:szCs w:val="21"/>
              </w:rPr>
              <w:t>）采用水基泥浆钻井，井段长度为</w:t>
            </w:r>
            <w:r>
              <w:rPr>
                <w:bCs/>
                <w:snapToGrid w:val="0"/>
                <w:kern w:val="0"/>
                <w:sz w:val="21"/>
                <w:szCs w:val="21"/>
              </w:rPr>
              <w:t>2935m</w:t>
            </w:r>
            <w:r>
              <w:rPr>
                <w:bCs/>
                <w:sz w:val="21"/>
                <w:szCs w:val="21"/>
              </w:rPr>
              <w:t>，则项目废水基泥浆总产生量约58.7m</w:t>
            </w:r>
            <w:r>
              <w:rPr>
                <w:bCs/>
                <w:sz w:val="21"/>
                <w:szCs w:val="21"/>
                <w:vertAlign w:val="superscript"/>
              </w:rPr>
              <w:t>3</w:t>
            </w:r>
            <w:r>
              <w:rPr>
                <w:bCs/>
                <w:sz w:val="21"/>
                <w:szCs w:val="21"/>
              </w:rPr>
              <w:t>（129.1t）。</w:t>
            </w:r>
            <w:r>
              <w:rPr>
                <w:rFonts w:hint="eastAsia"/>
                <w:bCs/>
                <w:snapToGrid w:val="0"/>
                <w:kern w:val="0"/>
                <w:sz w:val="21"/>
                <w:szCs w:val="21"/>
              </w:rPr>
              <w:t>核查《国家危险废物名录（2</w:t>
            </w:r>
            <w:r>
              <w:rPr>
                <w:bCs/>
                <w:snapToGrid w:val="0"/>
                <w:kern w:val="0"/>
                <w:sz w:val="21"/>
                <w:szCs w:val="21"/>
              </w:rPr>
              <w:t>021年版</w:t>
            </w:r>
            <w:r>
              <w:rPr>
                <w:rFonts w:hint="eastAsia"/>
                <w:bCs/>
                <w:snapToGrid w:val="0"/>
                <w:kern w:val="0"/>
                <w:sz w:val="21"/>
                <w:szCs w:val="21"/>
              </w:rPr>
              <w:t>）》及</w:t>
            </w:r>
            <w:r>
              <w:rPr>
                <w:snapToGrid w:val="0"/>
                <w:kern w:val="0"/>
                <w:sz w:val="21"/>
                <w:szCs w:val="21"/>
              </w:rPr>
              <w:t>《危险废物排除管理清单（2021年版）》（危险废物排除管公告 2021年第66号）</w:t>
            </w:r>
            <w:r>
              <w:rPr>
                <w:rFonts w:hint="eastAsia"/>
                <w:bCs/>
                <w:snapToGrid w:val="0"/>
                <w:kern w:val="0"/>
                <w:sz w:val="21"/>
                <w:szCs w:val="21"/>
              </w:rPr>
              <w:t>，项目使用的水基泥浆不在《国家危险废物名录（2</w:t>
            </w:r>
            <w:r>
              <w:rPr>
                <w:bCs/>
                <w:snapToGrid w:val="0"/>
                <w:kern w:val="0"/>
                <w:sz w:val="21"/>
                <w:szCs w:val="21"/>
              </w:rPr>
              <w:t>021年版</w:t>
            </w:r>
            <w:r>
              <w:rPr>
                <w:rFonts w:hint="eastAsia"/>
                <w:bCs/>
                <w:snapToGrid w:val="0"/>
                <w:kern w:val="0"/>
                <w:sz w:val="21"/>
                <w:szCs w:val="21"/>
              </w:rPr>
              <w:t>）》中规定的危险废物之列，因此项目使用水基泥浆钻井产生的废水基泥浆为一般工业固废。</w:t>
            </w:r>
          </w:p>
          <w:p>
            <w:pPr>
              <w:adjustRightInd w:val="0"/>
              <w:snapToGrid w:val="0"/>
              <w:ind w:firstLine="422"/>
              <w:rPr>
                <w:bCs/>
                <w:sz w:val="21"/>
                <w:szCs w:val="21"/>
              </w:rPr>
            </w:pPr>
            <w:r>
              <w:rPr>
                <w:b/>
                <w:bCs/>
                <w:sz w:val="21"/>
                <w:szCs w:val="21"/>
              </w:rPr>
              <w:t>2.4.2水基岩屑</w:t>
            </w:r>
          </w:p>
          <w:p>
            <w:pPr>
              <w:adjustRightInd w:val="0"/>
              <w:snapToGrid w:val="0"/>
              <w:ind w:firstLine="420"/>
              <w:rPr>
                <w:bCs/>
                <w:sz w:val="21"/>
                <w:szCs w:val="21"/>
              </w:rPr>
            </w:pPr>
            <w:r>
              <w:rPr>
                <w:bCs/>
                <w:sz w:val="21"/>
                <w:szCs w:val="21"/>
              </w:rPr>
              <w:t>钻井岩屑是在钻井过程中钻头切屑地层岩石而产生的碎屑，其产生量与井眼长度，平均井径及岩性有关。</w:t>
            </w:r>
          </w:p>
          <w:p>
            <w:pPr>
              <w:ind w:firstLine="420"/>
              <w:rPr>
                <w:sz w:val="21"/>
                <w:szCs w:val="21"/>
              </w:rPr>
            </w:pPr>
            <w:r>
              <w:rPr>
                <w:rFonts w:hint="eastAsia"/>
                <w:bCs/>
                <w:snapToGrid w:val="0"/>
                <w:kern w:val="0"/>
                <w:sz w:val="21"/>
                <w:szCs w:val="21"/>
              </w:rPr>
              <w:t>清水钻及水基钻井液钻井阶段从振动筛收集岩屑含水率高（水基岩屑含水率约</w:t>
            </w:r>
            <w:r>
              <w:rPr>
                <w:bCs/>
                <w:snapToGrid w:val="0"/>
                <w:kern w:val="0"/>
                <w:sz w:val="21"/>
                <w:szCs w:val="21"/>
              </w:rPr>
              <w:t>80%</w:t>
            </w:r>
            <w:r>
              <w:rPr>
                <w:rFonts w:hint="eastAsia"/>
                <w:bCs/>
                <w:snapToGrid w:val="0"/>
                <w:kern w:val="0"/>
                <w:sz w:val="21"/>
                <w:szCs w:val="21"/>
              </w:rPr>
              <w:t>），施工单位将固体大颗粒岩屑经减量装置（压滤脱水机）处理后，将水基岩屑含水率降低至</w:t>
            </w:r>
            <w:r>
              <w:rPr>
                <w:bCs/>
                <w:snapToGrid w:val="0"/>
                <w:kern w:val="0"/>
                <w:sz w:val="21"/>
                <w:szCs w:val="21"/>
              </w:rPr>
              <w:t>60%</w:t>
            </w:r>
            <w:r>
              <w:rPr>
                <w:rFonts w:hint="eastAsia"/>
                <w:bCs/>
                <w:snapToGrid w:val="0"/>
                <w:kern w:val="0"/>
                <w:sz w:val="21"/>
                <w:szCs w:val="21"/>
              </w:rPr>
              <w:t>以下；固井混浆通过收集罐收集，加入处理剂，含水率控制在</w:t>
            </w:r>
            <w:r>
              <w:rPr>
                <w:bCs/>
                <w:snapToGrid w:val="0"/>
                <w:kern w:val="0"/>
                <w:sz w:val="21"/>
                <w:szCs w:val="21"/>
              </w:rPr>
              <w:t>60%</w:t>
            </w:r>
            <w:r>
              <w:rPr>
                <w:rFonts w:hint="eastAsia"/>
                <w:bCs/>
                <w:snapToGrid w:val="0"/>
                <w:kern w:val="0"/>
                <w:sz w:val="21"/>
                <w:szCs w:val="21"/>
              </w:rPr>
              <w:t>以下，根据西南地区大量同类钻井工程的统计经验数据，减量装置处理后水基钻井岩屑产生量约为每米井身</w:t>
            </w:r>
            <w:r>
              <w:rPr>
                <w:bCs/>
                <w:snapToGrid w:val="0"/>
                <w:kern w:val="0"/>
                <w:sz w:val="21"/>
                <w:szCs w:val="21"/>
              </w:rPr>
              <w:t>0.4m</w:t>
            </w:r>
            <w:r>
              <w:rPr>
                <w:bCs/>
                <w:snapToGrid w:val="0"/>
                <w:kern w:val="0"/>
                <w:sz w:val="21"/>
                <w:szCs w:val="21"/>
                <w:vertAlign w:val="superscript"/>
              </w:rPr>
              <w:t>3</w:t>
            </w:r>
            <w:r>
              <w:rPr>
                <w:bCs/>
                <w:snapToGrid w:val="0"/>
                <w:kern w:val="0"/>
                <w:sz w:val="21"/>
                <w:szCs w:val="21"/>
              </w:rPr>
              <w:t>，水基岩屑质量约为</w:t>
            </w:r>
            <w:r>
              <w:rPr>
                <w:rFonts w:hint="eastAsia"/>
                <w:bCs/>
                <w:snapToGrid w:val="0"/>
                <w:kern w:val="0"/>
                <w:sz w:val="21"/>
                <w:szCs w:val="21"/>
              </w:rPr>
              <w:t>2</w:t>
            </w:r>
            <w:r>
              <w:rPr>
                <w:bCs/>
                <w:snapToGrid w:val="0"/>
                <w:kern w:val="0"/>
                <w:sz w:val="21"/>
                <w:szCs w:val="21"/>
              </w:rPr>
              <w:t>.2t/m</w:t>
            </w:r>
            <w:r>
              <w:rPr>
                <w:bCs/>
                <w:snapToGrid w:val="0"/>
                <w:kern w:val="0"/>
                <w:sz w:val="21"/>
                <w:szCs w:val="21"/>
                <w:vertAlign w:val="superscript"/>
              </w:rPr>
              <w:t>3</w:t>
            </w:r>
            <w:r>
              <w:rPr>
                <w:rFonts w:hint="eastAsia"/>
                <w:bCs/>
                <w:snapToGrid w:val="0"/>
                <w:kern w:val="0"/>
                <w:sz w:val="21"/>
                <w:szCs w:val="21"/>
              </w:rPr>
              <w:t>。拟建项目清水钻及水基泥浆钻进井段长度为</w:t>
            </w:r>
            <w:r>
              <w:rPr>
                <w:snapToGrid w:val="0"/>
                <w:kern w:val="0"/>
                <w:sz w:val="21"/>
                <w:szCs w:val="21"/>
              </w:rPr>
              <w:t>2965</w:t>
            </w:r>
            <w:r>
              <w:rPr>
                <w:bCs/>
                <w:snapToGrid w:val="0"/>
                <w:kern w:val="0"/>
                <w:sz w:val="21"/>
                <w:szCs w:val="21"/>
              </w:rPr>
              <w:t>m</w:t>
            </w:r>
            <w:r>
              <w:rPr>
                <w:rFonts w:hint="eastAsia"/>
                <w:bCs/>
                <w:snapToGrid w:val="0"/>
                <w:kern w:val="0"/>
                <w:sz w:val="21"/>
                <w:szCs w:val="21"/>
              </w:rPr>
              <w:t>，水基岩屑产生量约</w:t>
            </w:r>
            <w:r>
              <w:rPr>
                <w:bCs/>
                <w:snapToGrid w:val="0"/>
                <w:kern w:val="0"/>
                <w:sz w:val="21"/>
                <w:szCs w:val="21"/>
              </w:rPr>
              <w:t>1186m</w:t>
            </w:r>
            <w:r>
              <w:rPr>
                <w:bCs/>
                <w:snapToGrid w:val="0"/>
                <w:kern w:val="0"/>
                <w:sz w:val="21"/>
                <w:szCs w:val="21"/>
                <w:vertAlign w:val="superscript"/>
              </w:rPr>
              <w:t>3</w:t>
            </w:r>
            <w:r>
              <w:rPr>
                <w:rFonts w:hint="eastAsia"/>
                <w:bCs/>
                <w:snapToGrid w:val="0"/>
                <w:kern w:val="0"/>
                <w:sz w:val="21"/>
                <w:szCs w:val="21"/>
              </w:rPr>
              <w:t>（</w:t>
            </w:r>
            <w:r>
              <w:rPr>
                <w:bCs/>
                <w:snapToGrid w:val="0"/>
                <w:kern w:val="0"/>
                <w:sz w:val="21"/>
                <w:szCs w:val="21"/>
              </w:rPr>
              <w:t>2609.2t</w:t>
            </w:r>
            <w:r>
              <w:rPr>
                <w:rFonts w:hint="eastAsia"/>
                <w:bCs/>
                <w:snapToGrid w:val="0"/>
                <w:kern w:val="0"/>
                <w:sz w:val="21"/>
                <w:szCs w:val="21"/>
              </w:rPr>
              <w:t>）。</w:t>
            </w:r>
          </w:p>
          <w:p>
            <w:pPr>
              <w:ind w:firstLine="420"/>
              <w:rPr>
                <w:sz w:val="21"/>
                <w:szCs w:val="21"/>
              </w:rPr>
            </w:pPr>
            <w:r>
              <w:rPr>
                <w:rFonts w:hint="eastAsia"/>
                <w:bCs/>
                <w:snapToGrid w:val="0"/>
                <w:kern w:val="0"/>
                <w:sz w:val="21"/>
                <w:szCs w:val="21"/>
              </w:rPr>
              <w:t>核查《国家危险废物名录（2</w:t>
            </w:r>
            <w:r>
              <w:rPr>
                <w:bCs/>
                <w:snapToGrid w:val="0"/>
                <w:kern w:val="0"/>
                <w:sz w:val="21"/>
                <w:szCs w:val="21"/>
              </w:rPr>
              <w:t>021年版</w:t>
            </w:r>
            <w:r>
              <w:rPr>
                <w:rFonts w:hint="eastAsia"/>
                <w:bCs/>
                <w:snapToGrid w:val="0"/>
                <w:kern w:val="0"/>
                <w:sz w:val="21"/>
                <w:szCs w:val="21"/>
              </w:rPr>
              <w:t>）》及</w:t>
            </w:r>
            <w:r>
              <w:rPr>
                <w:snapToGrid w:val="0"/>
                <w:kern w:val="0"/>
                <w:sz w:val="21"/>
                <w:szCs w:val="21"/>
              </w:rPr>
              <w:t>《危险废物排除管理清单（2021年版）》（危险废物排除管公告 2021年第66号）</w:t>
            </w:r>
            <w:r>
              <w:rPr>
                <w:rFonts w:hint="eastAsia"/>
                <w:bCs/>
                <w:snapToGrid w:val="0"/>
                <w:kern w:val="0"/>
                <w:sz w:val="21"/>
                <w:szCs w:val="21"/>
              </w:rPr>
              <w:t>，项目水基泥浆钻井过程产生的水基岩屑不在《国家危险废物名录（2</w:t>
            </w:r>
            <w:r>
              <w:rPr>
                <w:bCs/>
                <w:snapToGrid w:val="0"/>
                <w:kern w:val="0"/>
                <w:sz w:val="21"/>
                <w:szCs w:val="21"/>
              </w:rPr>
              <w:t>021年版</w:t>
            </w:r>
            <w:r>
              <w:rPr>
                <w:rFonts w:hint="eastAsia"/>
                <w:bCs/>
                <w:snapToGrid w:val="0"/>
                <w:kern w:val="0"/>
                <w:sz w:val="21"/>
                <w:szCs w:val="21"/>
              </w:rPr>
              <w:t>）》中规定的危险废物之列，因此项目产生的水基岩屑为一般工业固废。</w:t>
            </w:r>
          </w:p>
          <w:p>
            <w:pPr>
              <w:adjustRightInd w:val="0"/>
              <w:snapToGrid w:val="0"/>
              <w:ind w:firstLine="422"/>
              <w:rPr>
                <w:b/>
                <w:bCs/>
                <w:sz w:val="21"/>
                <w:szCs w:val="21"/>
              </w:rPr>
            </w:pPr>
            <w:r>
              <w:rPr>
                <w:b/>
                <w:bCs/>
                <w:sz w:val="21"/>
                <w:szCs w:val="21"/>
              </w:rPr>
              <w:t>2.4.3沉淀罐污泥</w:t>
            </w:r>
          </w:p>
          <w:p>
            <w:pPr>
              <w:ind w:firstLine="420"/>
              <w:rPr>
                <w:sz w:val="21"/>
                <w:szCs w:val="21"/>
              </w:rPr>
            </w:pPr>
            <w:r>
              <w:rPr>
                <w:sz w:val="21"/>
                <w:szCs w:val="21"/>
              </w:rPr>
              <w:t>钻井废水在被带出地面时，需进入沉淀罐进行沉淀处理，产生沉淀污泥。污泥的主要成分为钻井液、岩屑，根据类比调查，工程产生的沉淀罐污泥约30m</w:t>
            </w:r>
            <w:r>
              <w:rPr>
                <w:sz w:val="21"/>
                <w:szCs w:val="21"/>
                <w:vertAlign w:val="superscript"/>
              </w:rPr>
              <w:t>3</w:t>
            </w:r>
            <w:r>
              <w:rPr>
                <w:rFonts w:hint="eastAsia"/>
                <w:bCs/>
                <w:snapToGrid w:val="0"/>
                <w:kern w:val="0"/>
                <w:sz w:val="21"/>
                <w:szCs w:val="21"/>
              </w:rPr>
              <w:t>（</w:t>
            </w:r>
            <w:r>
              <w:rPr>
                <w:bCs/>
                <w:snapToGrid w:val="0"/>
                <w:kern w:val="0"/>
                <w:sz w:val="21"/>
                <w:szCs w:val="21"/>
              </w:rPr>
              <w:t>66t</w:t>
            </w:r>
            <w:r>
              <w:rPr>
                <w:rFonts w:hint="eastAsia"/>
                <w:bCs/>
                <w:snapToGrid w:val="0"/>
                <w:kern w:val="0"/>
                <w:sz w:val="21"/>
                <w:szCs w:val="21"/>
              </w:rPr>
              <w:t>）</w:t>
            </w:r>
            <w:r>
              <w:rPr>
                <w:sz w:val="21"/>
                <w:szCs w:val="21"/>
              </w:rPr>
              <w:t>。</w:t>
            </w:r>
          </w:p>
          <w:p>
            <w:pPr>
              <w:adjustRightInd w:val="0"/>
              <w:snapToGrid w:val="0"/>
              <w:ind w:firstLine="422"/>
              <w:rPr>
                <w:b/>
                <w:bCs/>
                <w:sz w:val="21"/>
                <w:szCs w:val="21"/>
              </w:rPr>
            </w:pPr>
            <w:r>
              <w:rPr>
                <w:b/>
                <w:bCs/>
                <w:sz w:val="21"/>
                <w:szCs w:val="21"/>
              </w:rPr>
              <w:t>2.4.4油基岩屑</w:t>
            </w:r>
          </w:p>
          <w:p>
            <w:pPr>
              <w:adjustRightInd w:val="0"/>
              <w:snapToGrid w:val="0"/>
              <w:ind w:firstLine="420"/>
              <w:rPr>
                <w:bCs/>
                <w:sz w:val="21"/>
                <w:szCs w:val="21"/>
              </w:rPr>
            </w:pPr>
            <w:r>
              <w:rPr>
                <w:bCs/>
                <w:sz w:val="21"/>
                <w:szCs w:val="21"/>
              </w:rPr>
              <w:t>油基岩屑产生于油基泥浆钻进过程中钻头切屑地层岩石而产生的碎屑，其产生量与井眼长度，平均井径及岩性有关。根据单井井身结构图，以钻头（D215.9mm）尺寸大小计算井身容积约77.1m</w:t>
            </w:r>
            <w:r>
              <w:rPr>
                <w:bCs/>
                <w:sz w:val="21"/>
                <w:szCs w:val="21"/>
                <w:vertAlign w:val="superscript"/>
              </w:rPr>
              <w:t>3</w:t>
            </w:r>
            <w:r>
              <w:rPr>
                <w:bCs/>
                <w:sz w:val="21"/>
                <w:szCs w:val="21"/>
              </w:rPr>
              <w:t>（项目油基泥浆钻进井深为2107m），考虑岩屑破碎松散情况，最终油基钻井岩屑产生量约为井身理论计算体积的3~5倍，按最不利情况产生的油基岩屑量约385.5m</w:t>
            </w:r>
            <w:r>
              <w:rPr>
                <w:bCs/>
                <w:sz w:val="21"/>
                <w:szCs w:val="21"/>
                <w:vertAlign w:val="superscript"/>
              </w:rPr>
              <w:t>3</w:t>
            </w:r>
            <w:r>
              <w:rPr>
                <w:bCs/>
                <w:sz w:val="21"/>
                <w:szCs w:val="21"/>
              </w:rPr>
              <w:t>（963.8t）。</w:t>
            </w:r>
          </w:p>
          <w:p>
            <w:pPr>
              <w:adjustRightInd w:val="0"/>
              <w:snapToGrid w:val="0"/>
              <w:ind w:firstLine="420"/>
              <w:rPr>
                <w:bCs/>
                <w:sz w:val="21"/>
                <w:szCs w:val="21"/>
              </w:rPr>
            </w:pPr>
            <w:r>
              <w:rPr>
                <w:bCs/>
                <w:sz w:val="21"/>
                <w:szCs w:val="21"/>
              </w:rPr>
              <w:t>根据《国家危险废物名录》（2021版），油基钻进产生的岩屑属于“HW08废矿物油与含矿物油废物”，应按照危险废物相关要求进行收集、暂存、转运。</w:t>
            </w:r>
          </w:p>
          <w:p>
            <w:pPr>
              <w:adjustRightInd w:val="0"/>
              <w:snapToGrid w:val="0"/>
              <w:ind w:firstLine="422"/>
              <w:rPr>
                <w:b/>
                <w:bCs/>
                <w:sz w:val="21"/>
                <w:szCs w:val="21"/>
              </w:rPr>
            </w:pPr>
            <w:r>
              <w:rPr>
                <w:b/>
                <w:bCs/>
                <w:sz w:val="21"/>
                <w:szCs w:val="21"/>
              </w:rPr>
              <w:t>2.4.5废油</w:t>
            </w:r>
          </w:p>
          <w:p>
            <w:pPr>
              <w:adjustRightInd w:val="0"/>
              <w:snapToGrid w:val="0"/>
              <w:ind w:firstLine="420"/>
              <w:rPr>
                <w:bCs/>
                <w:sz w:val="21"/>
                <w:szCs w:val="21"/>
              </w:rPr>
            </w:pPr>
            <w:r>
              <w:rPr>
                <w:bCs/>
                <w:sz w:val="21"/>
                <w:szCs w:val="21"/>
              </w:rPr>
              <w:t>钻井过程中废油的主要来源是：机械（泥浆泵、转盘、链条等）润滑废油；清洗、保养产生的废油，如更换柴油机、发电机零部件和潜洗钻具、套管时产生的废油；隔油罐产生的废油，本工程共产生废油约0.5t。废油属于危险废物（HW08）。</w:t>
            </w:r>
          </w:p>
          <w:p>
            <w:pPr>
              <w:adjustRightInd w:val="0"/>
              <w:snapToGrid w:val="0"/>
              <w:ind w:firstLine="420"/>
              <w:rPr>
                <w:bCs/>
                <w:sz w:val="21"/>
                <w:szCs w:val="21"/>
              </w:rPr>
            </w:pPr>
            <w:r>
              <w:rPr>
                <w:rFonts w:hint="eastAsia"/>
                <w:bCs/>
                <w:sz w:val="21"/>
                <w:szCs w:val="21"/>
              </w:rPr>
              <w:t>建设</w:t>
            </w:r>
            <w:r>
              <w:rPr>
                <w:bCs/>
                <w:sz w:val="21"/>
                <w:szCs w:val="21"/>
              </w:rPr>
              <w:t>单位采用清洁化操作平台，打造绿色</w:t>
            </w:r>
            <w:r>
              <w:rPr>
                <w:rFonts w:hint="eastAsia"/>
                <w:bCs/>
                <w:sz w:val="21"/>
                <w:szCs w:val="21"/>
              </w:rPr>
              <w:t>勘探</w:t>
            </w:r>
            <w:r>
              <w:rPr>
                <w:bCs/>
                <w:sz w:val="21"/>
                <w:szCs w:val="21"/>
              </w:rPr>
              <w:t>。项目井场四周排水沟设置的隔油池通常情况下是不会有油污流入到排水沟内，设置的隔油池是为了以防非正常工况下设备漏油或者油基泥浆的泄漏，不可控制下进入到排水沟而设置的。因此通常情况下排水沟四周的隔油池无废油产生，一旦发生事故情况则全部进入到事故池内处理，再用于站场内配置泥浆或外运污水处理厂处理。</w:t>
            </w:r>
          </w:p>
          <w:p>
            <w:pPr>
              <w:adjustRightInd w:val="0"/>
              <w:snapToGrid w:val="0"/>
              <w:ind w:firstLine="422"/>
              <w:rPr>
                <w:b/>
                <w:bCs/>
                <w:snapToGrid w:val="0"/>
                <w:kern w:val="0"/>
                <w:sz w:val="21"/>
                <w:szCs w:val="21"/>
              </w:rPr>
            </w:pPr>
            <w:r>
              <w:rPr>
                <w:rFonts w:hint="eastAsia"/>
                <w:b/>
                <w:bCs/>
                <w:snapToGrid w:val="0"/>
                <w:kern w:val="0"/>
                <w:sz w:val="21"/>
                <w:szCs w:val="21"/>
              </w:rPr>
              <w:t>2</w:t>
            </w:r>
            <w:r>
              <w:rPr>
                <w:b/>
                <w:bCs/>
                <w:snapToGrid w:val="0"/>
                <w:kern w:val="0"/>
                <w:sz w:val="21"/>
                <w:szCs w:val="21"/>
              </w:rPr>
              <w:t>.4.6 含油废棉纱手套</w:t>
            </w:r>
          </w:p>
          <w:p>
            <w:pPr>
              <w:adjustRightInd w:val="0"/>
              <w:snapToGrid w:val="0"/>
              <w:ind w:firstLine="420"/>
              <w:rPr>
                <w:b/>
                <w:bCs/>
                <w:snapToGrid w:val="0"/>
                <w:kern w:val="0"/>
                <w:sz w:val="21"/>
                <w:szCs w:val="21"/>
              </w:rPr>
            </w:pPr>
            <w:r>
              <w:rPr>
                <w:rFonts w:hint="eastAsia"/>
                <w:bCs/>
                <w:snapToGrid w:val="0"/>
                <w:kern w:val="0"/>
                <w:sz w:val="21"/>
                <w:szCs w:val="21"/>
              </w:rPr>
              <w:t>钻井过程中将产生含油废棉纱手套，根据建设单位已实施的同类钻井工程类比，从开始施工到工程结束，废含油棉纱手套产生量约为0.</w:t>
            </w:r>
            <w:r>
              <w:rPr>
                <w:bCs/>
                <w:snapToGrid w:val="0"/>
                <w:kern w:val="0"/>
                <w:sz w:val="21"/>
                <w:szCs w:val="21"/>
              </w:rPr>
              <w:t>5t</w:t>
            </w:r>
            <w:r>
              <w:rPr>
                <w:rFonts w:hint="eastAsia"/>
                <w:bCs/>
                <w:snapToGrid w:val="0"/>
                <w:kern w:val="0"/>
                <w:sz w:val="21"/>
                <w:szCs w:val="21"/>
              </w:rPr>
              <w:t>。废含油棉纱手套属危险废物（</w:t>
            </w:r>
            <w:r>
              <w:rPr>
                <w:rFonts w:hAnsi="宋体"/>
                <w:snapToGrid w:val="0"/>
                <w:kern w:val="0"/>
                <w:sz w:val="21"/>
                <w:szCs w:val="21"/>
              </w:rPr>
              <w:t>HW49</w:t>
            </w:r>
            <w:r>
              <w:rPr>
                <w:rFonts w:hint="eastAsia"/>
                <w:bCs/>
                <w:snapToGrid w:val="0"/>
                <w:kern w:val="0"/>
                <w:sz w:val="21"/>
                <w:szCs w:val="21"/>
              </w:rPr>
              <w:t>）。</w:t>
            </w:r>
          </w:p>
          <w:p>
            <w:pPr>
              <w:adjustRightInd w:val="0"/>
              <w:snapToGrid w:val="0"/>
              <w:ind w:firstLine="420"/>
              <w:rPr>
                <w:bCs/>
                <w:sz w:val="21"/>
                <w:szCs w:val="21"/>
              </w:rPr>
            </w:pPr>
            <w:r>
              <w:rPr>
                <w:rFonts w:hint="eastAsia"/>
                <w:bCs/>
                <w:snapToGrid w:val="0"/>
                <w:kern w:val="0"/>
                <w:sz w:val="21"/>
                <w:szCs w:val="21"/>
              </w:rPr>
              <w:t>危险废物汇总表见表4-1</w:t>
            </w:r>
            <w:r>
              <w:rPr>
                <w:bCs/>
                <w:snapToGrid w:val="0"/>
                <w:kern w:val="0"/>
                <w:sz w:val="21"/>
                <w:szCs w:val="21"/>
              </w:rPr>
              <w:t>7</w:t>
            </w:r>
            <w:r>
              <w:rPr>
                <w:rFonts w:hint="eastAsia"/>
                <w:bCs/>
                <w:snapToGrid w:val="0"/>
                <w:kern w:val="0"/>
                <w:sz w:val="21"/>
                <w:szCs w:val="21"/>
              </w:rPr>
              <w:t>，项目危险废物贮存场所基本情况见表4</w:t>
            </w:r>
            <w:r>
              <w:rPr>
                <w:bCs/>
                <w:snapToGrid w:val="0"/>
                <w:kern w:val="0"/>
                <w:sz w:val="21"/>
                <w:szCs w:val="21"/>
              </w:rPr>
              <w:t>-18</w:t>
            </w:r>
            <w:r>
              <w:rPr>
                <w:rFonts w:hint="eastAsia"/>
                <w:bCs/>
                <w:snapToGrid w:val="0"/>
                <w:kern w:val="0"/>
                <w:sz w:val="21"/>
                <w:szCs w:val="21"/>
              </w:rPr>
              <w:t>。</w:t>
            </w:r>
          </w:p>
          <w:p>
            <w:pPr>
              <w:adjustRightInd w:val="0"/>
              <w:snapToGrid w:val="0"/>
              <w:ind w:firstLine="0" w:firstLineChars="0"/>
              <w:jc w:val="center"/>
              <w:rPr>
                <w:b/>
                <w:bCs/>
                <w:sz w:val="21"/>
                <w:szCs w:val="21"/>
              </w:rPr>
            </w:pPr>
            <w:r>
              <w:rPr>
                <w:b/>
                <w:bCs/>
                <w:sz w:val="21"/>
                <w:szCs w:val="21"/>
              </w:rPr>
              <w:t>表4-17  危险废物统计表</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38"/>
              <w:gridCol w:w="622"/>
              <w:gridCol w:w="803"/>
              <w:gridCol w:w="1187"/>
              <w:gridCol w:w="699"/>
              <w:gridCol w:w="715"/>
              <w:gridCol w:w="537"/>
              <w:gridCol w:w="627"/>
              <w:gridCol w:w="660"/>
              <w:gridCol w:w="525"/>
              <w:gridCol w:w="627"/>
              <w:gridCol w:w="86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4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序号</w:t>
                  </w:r>
                </w:p>
              </w:tc>
              <w:tc>
                <w:tcPr>
                  <w:tcW w:w="64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危险废物名称</w:t>
                  </w:r>
                </w:p>
              </w:tc>
              <w:tc>
                <w:tcPr>
                  <w:tcW w:w="81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危险废物类别</w:t>
                  </w:r>
                </w:p>
              </w:tc>
              <w:tc>
                <w:tcPr>
                  <w:tcW w:w="119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危险废物代码</w:t>
                  </w:r>
                </w:p>
              </w:tc>
              <w:tc>
                <w:tcPr>
                  <w:tcW w:w="70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产生量（t）</w:t>
                  </w:r>
                </w:p>
              </w:tc>
              <w:tc>
                <w:tcPr>
                  <w:tcW w:w="743"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产生工段及装置</w:t>
                  </w:r>
                </w:p>
              </w:tc>
              <w:tc>
                <w:tcPr>
                  <w:tcW w:w="55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形态</w:t>
                  </w:r>
                </w:p>
              </w:tc>
              <w:tc>
                <w:tcPr>
                  <w:tcW w:w="63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主要成分</w:t>
                  </w:r>
                </w:p>
              </w:tc>
              <w:tc>
                <w:tcPr>
                  <w:tcW w:w="685"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有害成分</w:t>
                  </w:r>
                </w:p>
              </w:tc>
              <w:tc>
                <w:tcPr>
                  <w:tcW w:w="541"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产废周期</w:t>
                  </w:r>
                </w:p>
              </w:tc>
              <w:tc>
                <w:tcPr>
                  <w:tcW w:w="63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危险</w:t>
                  </w:r>
                </w:p>
                <w:p>
                  <w:pPr>
                    <w:pStyle w:val="57"/>
                    <w:adjustRightInd w:val="0"/>
                    <w:snapToGrid w:val="0"/>
                    <w:ind w:left="-72" w:leftChars="-30" w:right="-72" w:rightChars="-30"/>
                    <w:rPr>
                      <w:b/>
                    </w:rPr>
                  </w:pPr>
                  <w:r>
                    <w:rPr>
                      <w:b/>
                    </w:rPr>
                    <w:t>特性</w:t>
                  </w:r>
                </w:p>
              </w:tc>
              <w:tc>
                <w:tcPr>
                  <w:tcW w:w="890"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rPr>
                      <w:b/>
                    </w:rPr>
                  </w:pPr>
                  <w:r>
                    <w:rPr>
                      <w:b/>
                    </w:rPr>
                    <w:t>污染防治措施*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4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1</w:t>
                  </w:r>
                </w:p>
              </w:tc>
              <w:tc>
                <w:tcPr>
                  <w:tcW w:w="64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油基岩屑</w:t>
                  </w:r>
                </w:p>
              </w:tc>
              <w:tc>
                <w:tcPr>
                  <w:tcW w:w="81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HW08</w:t>
                  </w:r>
                </w:p>
              </w:tc>
              <w:tc>
                <w:tcPr>
                  <w:tcW w:w="119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072-001-08</w:t>
                  </w:r>
                </w:p>
              </w:tc>
              <w:tc>
                <w:tcPr>
                  <w:tcW w:w="70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963.8</w:t>
                  </w:r>
                </w:p>
              </w:tc>
              <w:tc>
                <w:tcPr>
                  <w:tcW w:w="743"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油基泥浆钻进</w:t>
                  </w:r>
                </w:p>
              </w:tc>
              <w:tc>
                <w:tcPr>
                  <w:tcW w:w="55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固态</w:t>
                  </w:r>
                </w:p>
              </w:tc>
              <w:tc>
                <w:tcPr>
                  <w:tcW w:w="63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矿物油</w:t>
                  </w:r>
                </w:p>
              </w:tc>
              <w:tc>
                <w:tcPr>
                  <w:tcW w:w="685"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矿物油</w:t>
                  </w:r>
                </w:p>
              </w:tc>
              <w:tc>
                <w:tcPr>
                  <w:tcW w:w="541"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油基钻井阶段每天</w:t>
                  </w:r>
                </w:p>
              </w:tc>
              <w:tc>
                <w:tcPr>
                  <w:tcW w:w="636" w:type="dxa"/>
                  <w:vMerge w:val="restart"/>
                  <w:tcBorders>
                    <w:top w:val="single" w:color="auto" w:sz="2" w:space="0"/>
                    <w:left w:val="single" w:color="auto" w:sz="2" w:space="0"/>
                    <w:right w:val="single" w:color="auto" w:sz="2" w:space="0"/>
                  </w:tcBorders>
                  <w:vAlign w:val="center"/>
                </w:tcPr>
                <w:p>
                  <w:pPr>
                    <w:pStyle w:val="57"/>
                    <w:adjustRightInd w:val="0"/>
                    <w:snapToGrid w:val="0"/>
                    <w:ind w:left="-72" w:leftChars="-30" w:right="-72" w:rightChars="-30"/>
                  </w:pPr>
                  <w:r>
                    <w:t>毒性、易燃性</w:t>
                  </w:r>
                </w:p>
              </w:tc>
              <w:tc>
                <w:tcPr>
                  <w:tcW w:w="890" w:type="dxa"/>
                  <w:tcBorders>
                    <w:top w:val="single" w:color="auto" w:sz="2" w:space="0"/>
                    <w:left w:val="single" w:color="auto" w:sz="2" w:space="0"/>
                    <w:right w:val="single" w:color="auto" w:sz="2" w:space="0"/>
                  </w:tcBorders>
                  <w:vAlign w:val="center"/>
                </w:tcPr>
                <w:p>
                  <w:pPr>
                    <w:pStyle w:val="57"/>
                    <w:adjustRightInd w:val="0"/>
                    <w:snapToGrid w:val="0"/>
                    <w:ind w:left="-72" w:leftChars="-30" w:right="-72" w:rightChars="-30"/>
                  </w:pPr>
                  <w:r>
                    <w:t>废油桶收集，企业内部资源化利用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4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2</w:t>
                  </w:r>
                </w:p>
              </w:tc>
              <w:tc>
                <w:tcPr>
                  <w:tcW w:w="64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废油</w:t>
                  </w:r>
                </w:p>
              </w:tc>
              <w:tc>
                <w:tcPr>
                  <w:tcW w:w="81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HW08</w:t>
                  </w:r>
                </w:p>
              </w:tc>
              <w:tc>
                <w:tcPr>
                  <w:tcW w:w="119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900-217-08</w:t>
                  </w:r>
                </w:p>
              </w:tc>
              <w:tc>
                <w:tcPr>
                  <w:tcW w:w="70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0.5</w:t>
                  </w:r>
                </w:p>
              </w:tc>
              <w:tc>
                <w:tcPr>
                  <w:tcW w:w="743"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设备维护</w:t>
                  </w:r>
                </w:p>
              </w:tc>
              <w:tc>
                <w:tcPr>
                  <w:tcW w:w="55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液态</w:t>
                  </w:r>
                </w:p>
              </w:tc>
              <w:tc>
                <w:tcPr>
                  <w:tcW w:w="63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矿物油</w:t>
                  </w:r>
                </w:p>
              </w:tc>
              <w:tc>
                <w:tcPr>
                  <w:tcW w:w="685"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矿物油</w:t>
                  </w:r>
                </w:p>
              </w:tc>
              <w:tc>
                <w:tcPr>
                  <w:tcW w:w="541"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1个月</w:t>
                  </w:r>
                </w:p>
              </w:tc>
              <w:tc>
                <w:tcPr>
                  <w:tcW w:w="636" w:type="dxa"/>
                  <w:vMerge w:val="continue"/>
                  <w:tcBorders>
                    <w:left w:val="single" w:color="auto" w:sz="2" w:space="0"/>
                    <w:right w:val="single" w:color="auto" w:sz="2" w:space="0"/>
                  </w:tcBorders>
                  <w:vAlign w:val="center"/>
                </w:tcPr>
                <w:p>
                  <w:pPr>
                    <w:pStyle w:val="57"/>
                    <w:adjustRightInd w:val="0"/>
                    <w:snapToGrid w:val="0"/>
                    <w:ind w:left="-72" w:leftChars="-30" w:right="-72" w:rightChars="-30"/>
                  </w:pPr>
                </w:p>
              </w:tc>
              <w:tc>
                <w:tcPr>
                  <w:tcW w:w="890" w:type="dxa"/>
                  <w:vMerge w:val="restart"/>
                  <w:tcBorders>
                    <w:left w:val="single" w:color="auto" w:sz="2" w:space="0"/>
                    <w:right w:val="single" w:color="auto" w:sz="2" w:space="0"/>
                  </w:tcBorders>
                  <w:vAlign w:val="center"/>
                </w:tcPr>
                <w:p>
                  <w:pPr>
                    <w:pStyle w:val="57"/>
                    <w:adjustRightInd w:val="0"/>
                    <w:snapToGrid w:val="0"/>
                    <w:ind w:left="-72" w:leftChars="-30" w:right="-72" w:rightChars="-30"/>
                  </w:pPr>
                  <w:r>
                    <w:t>暂存于危废暂存间，交有资质单位进行处置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4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3</w:t>
                  </w:r>
                </w:p>
              </w:tc>
              <w:tc>
                <w:tcPr>
                  <w:tcW w:w="64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含油污染物</w:t>
                  </w:r>
                </w:p>
              </w:tc>
              <w:tc>
                <w:tcPr>
                  <w:tcW w:w="81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HW49</w:t>
                  </w:r>
                </w:p>
              </w:tc>
              <w:tc>
                <w:tcPr>
                  <w:tcW w:w="119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900-041-49</w:t>
                  </w:r>
                </w:p>
              </w:tc>
              <w:tc>
                <w:tcPr>
                  <w:tcW w:w="708"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0.5</w:t>
                  </w:r>
                </w:p>
              </w:tc>
              <w:tc>
                <w:tcPr>
                  <w:tcW w:w="743"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设备维护</w:t>
                  </w:r>
                </w:p>
              </w:tc>
              <w:tc>
                <w:tcPr>
                  <w:tcW w:w="554"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固态</w:t>
                  </w:r>
                </w:p>
              </w:tc>
              <w:tc>
                <w:tcPr>
                  <w:tcW w:w="636"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棉纱、矿物油</w:t>
                  </w:r>
                </w:p>
              </w:tc>
              <w:tc>
                <w:tcPr>
                  <w:tcW w:w="685"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矿物油</w:t>
                  </w:r>
                </w:p>
              </w:tc>
              <w:tc>
                <w:tcPr>
                  <w:tcW w:w="541" w:type="dxa"/>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1个月</w:t>
                  </w:r>
                </w:p>
              </w:tc>
              <w:tc>
                <w:tcPr>
                  <w:tcW w:w="636" w:type="dxa"/>
                  <w:vMerge w:val="continue"/>
                  <w:tcBorders>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p>
              </w:tc>
              <w:tc>
                <w:tcPr>
                  <w:tcW w:w="890" w:type="dxa"/>
                  <w:vMerge w:val="continue"/>
                  <w:tcBorders>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p>
              </w:tc>
            </w:tr>
          </w:tbl>
          <w:p>
            <w:pPr>
              <w:adjustRightInd w:val="0"/>
              <w:snapToGrid w:val="0"/>
              <w:ind w:firstLine="0" w:firstLineChars="0"/>
              <w:jc w:val="center"/>
              <w:rPr>
                <w:b/>
                <w:bCs/>
                <w:sz w:val="21"/>
                <w:szCs w:val="21"/>
              </w:rPr>
            </w:pPr>
            <w:r>
              <w:rPr>
                <w:rFonts w:hint="eastAsia"/>
                <w:b/>
                <w:bCs/>
                <w:snapToGrid w:val="0"/>
                <w:kern w:val="0"/>
                <w:sz w:val="21"/>
                <w:szCs w:val="21"/>
              </w:rPr>
              <w:t>表4-1</w:t>
            </w:r>
            <w:r>
              <w:rPr>
                <w:b/>
                <w:bCs/>
                <w:snapToGrid w:val="0"/>
                <w:kern w:val="0"/>
                <w:sz w:val="21"/>
                <w:szCs w:val="21"/>
              </w:rPr>
              <w:t xml:space="preserve">8  </w:t>
            </w:r>
            <w:r>
              <w:rPr>
                <w:rFonts w:hint="eastAsia"/>
                <w:b/>
                <w:bCs/>
                <w:snapToGrid w:val="0"/>
                <w:kern w:val="0"/>
                <w:sz w:val="21"/>
                <w:szCs w:val="21"/>
              </w:rPr>
              <w:t>项目危险废物贮存场所基本情况表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666"/>
              <w:gridCol w:w="666"/>
              <w:gridCol w:w="776"/>
              <w:gridCol w:w="1196"/>
              <w:gridCol w:w="906"/>
              <w:gridCol w:w="1138"/>
              <w:gridCol w:w="767"/>
              <w:gridCol w:w="662"/>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35"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序号</w:t>
                  </w:r>
                </w:p>
              </w:tc>
              <w:tc>
                <w:tcPr>
                  <w:tcW w:w="947"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贮存场所名称</w:t>
                  </w:r>
                </w:p>
              </w:tc>
              <w:tc>
                <w:tcPr>
                  <w:tcW w:w="946"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危险废物名称</w:t>
                  </w:r>
                </w:p>
              </w:tc>
              <w:tc>
                <w:tcPr>
                  <w:tcW w:w="776"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危险废物类别</w:t>
                  </w:r>
                </w:p>
              </w:tc>
              <w:tc>
                <w:tcPr>
                  <w:tcW w:w="1196"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危险废物代码</w:t>
                  </w:r>
                </w:p>
              </w:tc>
              <w:tc>
                <w:tcPr>
                  <w:tcW w:w="774"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位置</w:t>
                  </w:r>
                </w:p>
              </w:tc>
              <w:tc>
                <w:tcPr>
                  <w:tcW w:w="809"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占地</w:t>
                  </w:r>
                </w:p>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面积</w:t>
                  </w:r>
                </w:p>
              </w:tc>
              <w:tc>
                <w:tcPr>
                  <w:tcW w:w="921"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贮存</w:t>
                  </w:r>
                </w:p>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方式</w:t>
                  </w:r>
                </w:p>
              </w:tc>
              <w:tc>
                <w:tcPr>
                  <w:tcW w:w="747"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贮存</w:t>
                  </w:r>
                </w:p>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能力</w:t>
                  </w:r>
                </w:p>
              </w:tc>
              <w:tc>
                <w:tcPr>
                  <w:tcW w:w="840" w:type="dxa"/>
                  <w:vAlign w:val="center"/>
                </w:tcPr>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贮存</w:t>
                  </w:r>
                </w:p>
                <w:p>
                  <w:pPr>
                    <w:topLinePunct/>
                    <w:adjustRightInd w:val="0"/>
                    <w:snapToGrid w:val="0"/>
                    <w:spacing w:line="240" w:lineRule="auto"/>
                    <w:ind w:firstLine="0" w:firstLineChars="0"/>
                    <w:jc w:val="center"/>
                    <w:rPr>
                      <w:rFonts w:hAnsi="宋体"/>
                      <w:b/>
                      <w:snapToGrid w:val="0"/>
                      <w:kern w:val="0"/>
                      <w:sz w:val="21"/>
                      <w:szCs w:val="21"/>
                    </w:rPr>
                  </w:pPr>
                  <w:r>
                    <w:rPr>
                      <w:rFonts w:hint="eastAsia" w:hAnsi="宋体"/>
                      <w:b/>
                      <w:snapToGrid w:val="0"/>
                      <w:kern w:val="0"/>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5" w:type="dxa"/>
                  <w:vMerge w:val="restart"/>
                  <w:vAlign w:val="center"/>
                </w:tcPr>
                <w:p>
                  <w:pPr>
                    <w:topLinePunct/>
                    <w:adjustRightInd w:val="0"/>
                    <w:snapToGrid w:val="0"/>
                    <w:spacing w:line="240" w:lineRule="auto"/>
                    <w:ind w:firstLine="420"/>
                    <w:jc w:val="center"/>
                    <w:rPr>
                      <w:rFonts w:hAnsi="宋体"/>
                      <w:snapToGrid w:val="0"/>
                      <w:kern w:val="0"/>
                      <w:sz w:val="21"/>
                      <w:szCs w:val="21"/>
                    </w:rPr>
                  </w:pPr>
                  <w:r>
                    <w:rPr>
                      <w:rFonts w:hAnsi="宋体"/>
                      <w:snapToGrid w:val="0"/>
                      <w:kern w:val="0"/>
                      <w:sz w:val="21"/>
                      <w:szCs w:val="21"/>
                    </w:rPr>
                    <w:t>1</w:t>
                  </w:r>
                  <w:r>
                    <w:rPr>
                      <w:rFonts w:hint="eastAsia" w:hAnsi="宋体"/>
                      <w:snapToGrid w:val="0"/>
                      <w:kern w:val="0"/>
                      <w:sz w:val="21"/>
                      <w:szCs w:val="21"/>
                    </w:rPr>
                    <w:t>1</w:t>
                  </w:r>
                </w:p>
              </w:tc>
              <w:tc>
                <w:tcPr>
                  <w:tcW w:w="947" w:type="dxa"/>
                  <w:vMerge w:val="restart"/>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危废暂存间</w:t>
                  </w:r>
                </w:p>
              </w:tc>
              <w:tc>
                <w:tcPr>
                  <w:tcW w:w="946" w:type="dxa"/>
                  <w:vAlign w:val="center"/>
                </w:tcPr>
                <w:p>
                  <w:pPr>
                    <w:topLinePunct/>
                    <w:adjustRightInd w:val="0"/>
                    <w:snapToGrid w:val="0"/>
                    <w:spacing w:line="240" w:lineRule="auto"/>
                    <w:ind w:firstLine="0" w:firstLineChars="0"/>
                    <w:jc w:val="center"/>
                    <w:rPr>
                      <w:rFonts w:hAnsi="宋体"/>
                      <w:snapToGrid w:val="0"/>
                      <w:kern w:val="0"/>
                      <w:sz w:val="21"/>
                      <w:szCs w:val="21"/>
                    </w:rPr>
                  </w:pPr>
                  <w:r>
                    <w:rPr>
                      <w:sz w:val="21"/>
                      <w:szCs w:val="21"/>
                    </w:rPr>
                    <w:t>油基岩屑</w:t>
                  </w:r>
                </w:p>
              </w:tc>
              <w:tc>
                <w:tcPr>
                  <w:tcW w:w="776" w:type="dxa"/>
                  <w:vAlign w:val="center"/>
                </w:tcPr>
                <w:p>
                  <w:pPr>
                    <w:pStyle w:val="57"/>
                    <w:adjustRightInd w:val="0"/>
                    <w:snapToGrid w:val="0"/>
                    <w:ind w:left="-72" w:leftChars="-30" w:right="-72" w:rightChars="-30"/>
                  </w:pPr>
                  <w:r>
                    <w:t>HW08</w:t>
                  </w:r>
                </w:p>
              </w:tc>
              <w:tc>
                <w:tcPr>
                  <w:tcW w:w="1196" w:type="dxa"/>
                  <w:vAlign w:val="center"/>
                </w:tcPr>
                <w:p>
                  <w:pPr>
                    <w:pStyle w:val="57"/>
                    <w:adjustRightInd w:val="0"/>
                    <w:snapToGrid w:val="0"/>
                    <w:ind w:left="-72" w:leftChars="-30" w:right="-72" w:rightChars="-30"/>
                  </w:pPr>
                  <w:r>
                    <w:t>072-001-08</w:t>
                  </w:r>
                </w:p>
              </w:tc>
              <w:tc>
                <w:tcPr>
                  <w:tcW w:w="774" w:type="dxa"/>
                  <w:vMerge w:val="restart"/>
                  <w:vAlign w:val="center"/>
                </w:tcPr>
                <w:p>
                  <w:pPr>
                    <w:topLinePunct/>
                    <w:adjustRightInd w:val="0"/>
                    <w:snapToGrid w:val="0"/>
                    <w:spacing w:line="240" w:lineRule="auto"/>
                    <w:ind w:firstLine="420"/>
                    <w:jc w:val="center"/>
                    <w:rPr>
                      <w:rFonts w:hAnsi="宋体"/>
                      <w:snapToGrid w:val="0"/>
                      <w:kern w:val="0"/>
                      <w:sz w:val="21"/>
                      <w:szCs w:val="21"/>
                    </w:rPr>
                  </w:pPr>
                  <w:r>
                    <w:rPr>
                      <w:rFonts w:hint="eastAsia" w:hAnsi="宋体"/>
                      <w:snapToGrid w:val="0"/>
                      <w:kern w:val="0"/>
                      <w:sz w:val="21"/>
                      <w:szCs w:val="21"/>
                    </w:rPr>
                    <w:t>清洁化操作平台</w:t>
                  </w:r>
                </w:p>
              </w:tc>
              <w:tc>
                <w:tcPr>
                  <w:tcW w:w="809" w:type="dxa"/>
                  <w:vMerge w:val="restart"/>
                  <w:vAlign w:val="center"/>
                </w:tcPr>
                <w:p>
                  <w:pPr>
                    <w:topLinePunct/>
                    <w:adjustRightInd w:val="0"/>
                    <w:snapToGrid w:val="0"/>
                    <w:spacing w:line="240" w:lineRule="auto"/>
                    <w:ind w:firstLine="420"/>
                    <w:jc w:val="center"/>
                    <w:rPr>
                      <w:rFonts w:hAnsi="宋体"/>
                      <w:snapToGrid w:val="0"/>
                      <w:kern w:val="0"/>
                      <w:sz w:val="21"/>
                      <w:szCs w:val="21"/>
                    </w:rPr>
                  </w:pPr>
                  <w:r>
                    <w:rPr>
                      <w:rFonts w:hAnsi="宋体"/>
                      <w:snapToGrid w:val="0"/>
                      <w:kern w:val="0"/>
                      <w:sz w:val="21"/>
                      <w:szCs w:val="21"/>
                    </w:rPr>
                    <w:t>60</w:t>
                  </w:r>
                  <w:r>
                    <w:rPr>
                      <w:rFonts w:hint="eastAsia" w:hAnsi="宋体"/>
                      <w:snapToGrid w:val="0"/>
                      <w:kern w:val="0"/>
                      <w:sz w:val="21"/>
                      <w:szCs w:val="21"/>
                    </w:rPr>
                    <w:t>m</w:t>
                  </w:r>
                  <w:r>
                    <w:rPr>
                      <w:rFonts w:hAnsi="宋体"/>
                      <w:snapToGrid w:val="0"/>
                      <w:kern w:val="0"/>
                      <w:sz w:val="21"/>
                      <w:szCs w:val="21"/>
                      <w:vertAlign w:val="superscript"/>
                    </w:rPr>
                    <w:t>2</w:t>
                  </w:r>
                </w:p>
              </w:tc>
              <w:tc>
                <w:tcPr>
                  <w:tcW w:w="921"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专用吨袋</w:t>
                  </w:r>
                </w:p>
              </w:tc>
              <w:tc>
                <w:tcPr>
                  <w:tcW w:w="747"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1</w:t>
                  </w:r>
                  <w:r>
                    <w:rPr>
                      <w:rFonts w:hAnsi="宋体"/>
                      <w:snapToGrid w:val="0"/>
                      <w:kern w:val="0"/>
                      <w:sz w:val="21"/>
                      <w:szCs w:val="21"/>
                    </w:rPr>
                    <w:t>00t</w:t>
                  </w:r>
                </w:p>
              </w:tc>
              <w:tc>
                <w:tcPr>
                  <w:tcW w:w="840"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5</w:t>
                  </w:r>
                  <w:r>
                    <w:rPr>
                      <w:rFonts w:hint="eastAsia" w:hAnsi="宋体"/>
                      <w:snapToGrid w:val="0"/>
                      <w:kern w:val="0"/>
                      <w:sz w:val="21"/>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5"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47"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4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废润滑油</w:t>
                  </w:r>
                </w:p>
              </w:tc>
              <w:tc>
                <w:tcPr>
                  <w:tcW w:w="77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HW08</w:t>
                  </w:r>
                </w:p>
              </w:tc>
              <w:tc>
                <w:tcPr>
                  <w:tcW w:w="119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900-217-08</w:t>
                  </w:r>
                </w:p>
              </w:tc>
              <w:tc>
                <w:tcPr>
                  <w:tcW w:w="774"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809"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21"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防腐铁</w:t>
                  </w:r>
                </w:p>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桶、密</w:t>
                  </w:r>
                </w:p>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封贮存</w:t>
                  </w:r>
                </w:p>
              </w:tc>
              <w:tc>
                <w:tcPr>
                  <w:tcW w:w="747"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1t</w:t>
                  </w:r>
                </w:p>
              </w:tc>
              <w:tc>
                <w:tcPr>
                  <w:tcW w:w="840"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5</w:t>
                  </w:r>
                  <w:r>
                    <w:rPr>
                      <w:rFonts w:hint="eastAsia" w:hAnsi="宋体"/>
                      <w:snapToGrid w:val="0"/>
                      <w:kern w:val="0"/>
                      <w:sz w:val="21"/>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5"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47"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4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bCs/>
                      <w:snapToGrid w:val="0"/>
                      <w:kern w:val="0"/>
                      <w:sz w:val="21"/>
                      <w:szCs w:val="21"/>
                    </w:rPr>
                    <w:t>废含油棉纱手套</w:t>
                  </w:r>
                </w:p>
              </w:tc>
              <w:tc>
                <w:tcPr>
                  <w:tcW w:w="77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HW49</w:t>
                  </w:r>
                </w:p>
              </w:tc>
              <w:tc>
                <w:tcPr>
                  <w:tcW w:w="1196"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900-041-49</w:t>
                  </w:r>
                </w:p>
              </w:tc>
              <w:tc>
                <w:tcPr>
                  <w:tcW w:w="774"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809" w:type="dxa"/>
                  <w:vMerge w:val="continue"/>
                  <w:vAlign w:val="center"/>
                </w:tcPr>
                <w:p>
                  <w:pPr>
                    <w:topLinePunct/>
                    <w:adjustRightInd w:val="0"/>
                    <w:snapToGrid w:val="0"/>
                    <w:spacing w:line="240" w:lineRule="auto"/>
                    <w:ind w:firstLine="0" w:firstLineChars="0"/>
                    <w:jc w:val="center"/>
                    <w:rPr>
                      <w:rFonts w:hAnsi="宋体"/>
                      <w:snapToGrid w:val="0"/>
                      <w:kern w:val="0"/>
                      <w:sz w:val="21"/>
                      <w:szCs w:val="21"/>
                    </w:rPr>
                  </w:pPr>
                </w:p>
              </w:tc>
              <w:tc>
                <w:tcPr>
                  <w:tcW w:w="921"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防腐铁</w:t>
                  </w:r>
                </w:p>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桶、密</w:t>
                  </w:r>
                </w:p>
                <w:p>
                  <w:pPr>
                    <w:topLinePunct/>
                    <w:adjustRightInd w:val="0"/>
                    <w:snapToGri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封贮存</w:t>
                  </w:r>
                </w:p>
              </w:tc>
              <w:tc>
                <w:tcPr>
                  <w:tcW w:w="747"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1t</w:t>
                  </w:r>
                </w:p>
              </w:tc>
              <w:tc>
                <w:tcPr>
                  <w:tcW w:w="840" w:type="dxa"/>
                  <w:vAlign w:val="center"/>
                </w:tcPr>
                <w:p>
                  <w:pPr>
                    <w:topLinePunct/>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5</w:t>
                  </w:r>
                  <w:r>
                    <w:rPr>
                      <w:rFonts w:hint="eastAsia" w:hAnsi="宋体"/>
                      <w:snapToGrid w:val="0"/>
                      <w:kern w:val="0"/>
                      <w:sz w:val="21"/>
                      <w:szCs w:val="21"/>
                    </w:rPr>
                    <w:t>个月</w:t>
                  </w:r>
                </w:p>
              </w:tc>
            </w:tr>
          </w:tbl>
          <w:p>
            <w:pPr>
              <w:adjustRightInd w:val="0"/>
              <w:snapToGrid w:val="0"/>
              <w:ind w:firstLine="422"/>
              <w:rPr>
                <w:b/>
                <w:bCs/>
                <w:sz w:val="21"/>
                <w:szCs w:val="21"/>
              </w:rPr>
            </w:pPr>
            <w:r>
              <w:rPr>
                <w:b/>
                <w:bCs/>
                <w:sz w:val="21"/>
                <w:szCs w:val="21"/>
              </w:rPr>
              <w:t>2.4.7废包装材料</w:t>
            </w:r>
          </w:p>
          <w:p>
            <w:pPr>
              <w:adjustRightInd w:val="0"/>
              <w:snapToGrid w:val="0"/>
              <w:ind w:firstLine="420"/>
              <w:rPr>
                <w:bCs/>
                <w:sz w:val="21"/>
                <w:szCs w:val="21"/>
              </w:rPr>
            </w:pPr>
            <w:r>
              <w:rPr>
                <w:rFonts w:hint="eastAsia"/>
                <w:bCs/>
                <w:sz w:val="21"/>
                <w:szCs w:val="21"/>
              </w:rPr>
              <w:t>钻井期间产生的废包装材料主要为各原辅材料的包装袋/箱，为一般废物，其产生量约1.0t，集中收集后定期运至就近的废品回收站进行处理。</w:t>
            </w:r>
          </w:p>
          <w:p>
            <w:pPr>
              <w:adjustRightInd w:val="0"/>
              <w:snapToGrid w:val="0"/>
              <w:ind w:firstLine="422"/>
              <w:rPr>
                <w:b/>
                <w:bCs/>
                <w:sz w:val="21"/>
                <w:szCs w:val="21"/>
              </w:rPr>
            </w:pPr>
            <w:r>
              <w:rPr>
                <w:b/>
                <w:bCs/>
                <w:sz w:val="21"/>
                <w:szCs w:val="21"/>
              </w:rPr>
              <w:t>2.4.7生活垃圾</w:t>
            </w:r>
          </w:p>
          <w:p>
            <w:pPr>
              <w:adjustRightInd w:val="0"/>
              <w:snapToGrid w:val="0"/>
              <w:ind w:firstLine="420"/>
              <w:rPr>
                <w:bCs/>
                <w:sz w:val="21"/>
                <w:szCs w:val="21"/>
              </w:rPr>
            </w:pPr>
            <w:r>
              <w:rPr>
                <w:bCs/>
                <w:sz w:val="21"/>
                <w:szCs w:val="21"/>
              </w:rPr>
              <w:t>钻进作业员工约40人，生活垃圾产生量按每人每天产生0.5kg计算，施工时长约6个月（180天），则生活垃圾产生量为3.6t。</w:t>
            </w:r>
          </w:p>
          <w:p>
            <w:pPr>
              <w:adjustRightInd w:val="0"/>
              <w:snapToGrid w:val="0"/>
              <w:ind w:firstLine="420"/>
              <w:rPr>
                <w:bCs/>
                <w:sz w:val="21"/>
                <w:szCs w:val="21"/>
              </w:rPr>
            </w:pPr>
            <w:r>
              <w:rPr>
                <w:bCs/>
                <w:sz w:val="21"/>
                <w:szCs w:val="21"/>
              </w:rPr>
              <w:t>本工程固废产生量见表4-19。</w:t>
            </w:r>
          </w:p>
          <w:p>
            <w:pPr>
              <w:adjustRightInd w:val="0"/>
              <w:snapToGrid w:val="0"/>
              <w:ind w:firstLine="0" w:firstLineChars="0"/>
              <w:jc w:val="center"/>
              <w:rPr>
                <w:b/>
                <w:bCs/>
                <w:sz w:val="21"/>
                <w:szCs w:val="21"/>
              </w:rPr>
            </w:pPr>
            <w:r>
              <w:rPr>
                <w:b/>
                <w:bCs/>
                <w:sz w:val="21"/>
                <w:szCs w:val="21"/>
              </w:rPr>
              <w:t>表4-19  本工程固体废物统计表</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84"/>
              <w:gridCol w:w="1198"/>
              <w:gridCol w:w="1195"/>
              <w:gridCol w:w="1929"/>
              <w:gridCol w:w="26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固废类型</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产生量t</w:t>
                  </w:r>
                </w:p>
              </w:tc>
              <w:tc>
                <w:tcPr>
                  <w:tcW w:w="719"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固废性质</w:t>
                  </w:r>
                </w:p>
              </w:tc>
              <w:tc>
                <w:tcPr>
                  <w:tcW w:w="1161"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代码</w:t>
                  </w:r>
                </w:p>
              </w:tc>
              <w:tc>
                <w:tcPr>
                  <w:tcW w:w="1565"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处置方式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废水基泥浆</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rPr>
                      <w:bCs/>
                    </w:rPr>
                    <w:t>129.1</w:t>
                  </w:r>
                </w:p>
              </w:tc>
              <w:tc>
                <w:tcPr>
                  <w:tcW w:w="719" w:type="pct"/>
                  <w:vMerge w:val="restart"/>
                  <w:tcBorders>
                    <w:top w:val="single" w:color="auto" w:sz="2" w:space="0"/>
                    <w:left w:val="single" w:color="auto" w:sz="2" w:space="0"/>
                    <w:bottom w:val="single" w:color="auto" w:sz="2" w:space="0"/>
                    <w:right w:val="single" w:color="auto" w:sz="2" w:space="0"/>
                  </w:tcBorders>
                  <w:vAlign w:val="center"/>
                </w:tcPr>
                <w:p>
                  <w:pPr>
                    <w:pStyle w:val="57"/>
                  </w:pPr>
                  <w:r>
                    <w:t>一般固废</w:t>
                  </w:r>
                </w:p>
              </w:tc>
              <w:tc>
                <w:tcPr>
                  <w:tcW w:w="1161" w:type="pct"/>
                  <w:tcBorders>
                    <w:top w:val="single" w:color="auto" w:sz="2" w:space="0"/>
                    <w:left w:val="single" w:color="auto" w:sz="2" w:space="0"/>
                    <w:bottom w:val="single" w:color="auto" w:sz="2" w:space="0"/>
                    <w:right w:val="single" w:color="auto" w:sz="2" w:space="0"/>
                  </w:tcBorders>
                  <w:vAlign w:val="center"/>
                </w:tcPr>
                <w:p>
                  <w:pPr>
                    <w:pStyle w:val="57"/>
                  </w:pPr>
                  <w:r>
                    <w:t>747-001-99</w:t>
                  </w:r>
                </w:p>
              </w:tc>
              <w:tc>
                <w:tcPr>
                  <w:tcW w:w="1565" w:type="pct"/>
                  <w:vMerge w:val="restart"/>
                  <w:tcBorders>
                    <w:top w:val="single" w:color="auto" w:sz="2" w:space="0"/>
                    <w:left w:val="single" w:color="auto" w:sz="2" w:space="0"/>
                    <w:bottom w:val="single" w:color="auto" w:sz="2" w:space="0"/>
                    <w:right w:val="single" w:color="auto" w:sz="2" w:space="0"/>
                  </w:tcBorders>
                  <w:vAlign w:val="center"/>
                </w:tcPr>
                <w:p>
                  <w:pPr>
                    <w:pStyle w:val="57"/>
                  </w:pPr>
                  <w:r>
                    <w:t>暂存于岩屑堆放场，定期外运资源化利用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水基岩屑</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rPr>
                      <w:bCs/>
                      <w:snapToGrid w:val="0"/>
                    </w:rPr>
                    <w:t>2609.2</w:t>
                  </w:r>
                </w:p>
              </w:tc>
              <w:tc>
                <w:tcPr>
                  <w:tcW w:w="719"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1161" w:type="pct"/>
                  <w:tcBorders>
                    <w:top w:val="single" w:color="auto" w:sz="2" w:space="0"/>
                    <w:left w:val="single" w:color="auto" w:sz="2" w:space="0"/>
                    <w:bottom w:val="single" w:color="auto" w:sz="2" w:space="0"/>
                    <w:right w:val="single" w:color="auto" w:sz="2" w:space="0"/>
                  </w:tcBorders>
                  <w:vAlign w:val="center"/>
                </w:tcPr>
                <w:p>
                  <w:pPr>
                    <w:pStyle w:val="57"/>
                  </w:pPr>
                  <w:r>
                    <w:t>747-001-99</w:t>
                  </w:r>
                </w:p>
              </w:tc>
              <w:tc>
                <w:tcPr>
                  <w:tcW w:w="1565"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沉淀罐污泥</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t>66</w:t>
                  </w:r>
                </w:p>
              </w:tc>
              <w:tc>
                <w:tcPr>
                  <w:tcW w:w="719"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1161" w:type="pct"/>
                  <w:tcBorders>
                    <w:top w:val="single" w:color="auto" w:sz="2" w:space="0"/>
                    <w:left w:val="single" w:color="auto" w:sz="2" w:space="0"/>
                    <w:bottom w:val="single" w:color="auto" w:sz="2" w:space="0"/>
                    <w:right w:val="single" w:color="auto" w:sz="2" w:space="0"/>
                  </w:tcBorders>
                  <w:vAlign w:val="center"/>
                </w:tcPr>
                <w:p>
                  <w:pPr>
                    <w:pStyle w:val="57"/>
                  </w:pPr>
                  <w:r>
                    <w:t>747-001-61</w:t>
                  </w:r>
                </w:p>
              </w:tc>
              <w:tc>
                <w:tcPr>
                  <w:tcW w:w="1565"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油基岩屑</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adjustRightInd w:val="0"/>
                    <w:snapToGrid w:val="0"/>
                    <w:ind w:left="-72" w:leftChars="-30" w:right="-72" w:rightChars="-30"/>
                  </w:pPr>
                  <w:r>
                    <w:t>963.8</w:t>
                  </w:r>
                </w:p>
              </w:tc>
              <w:tc>
                <w:tcPr>
                  <w:tcW w:w="719" w:type="pct"/>
                  <w:vMerge w:val="restart"/>
                  <w:tcBorders>
                    <w:top w:val="single" w:color="auto" w:sz="2" w:space="0"/>
                    <w:left w:val="single" w:color="auto" w:sz="2" w:space="0"/>
                    <w:right w:val="single" w:color="auto" w:sz="2" w:space="0"/>
                  </w:tcBorders>
                  <w:vAlign w:val="center"/>
                </w:tcPr>
                <w:p>
                  <w:pPr>
                    <w:pStyle w:val="57"/>
                  </w:pPr>
                  <w:r>
                    <w:t>危险废物</w:t>
                  </w:r>
                </w:p>
              </w:tc>
              <w:tc>
                <w:tcPr>
                  <w:tcW w:w="1161" w:type="pct"/>
                  <w:tcBorders>
                    <w:top w:val="single" w:color="auto" w:sz="2" w:space="0"/>
                    <w:left w:val="single" w:color="auto" w:sz="2" w:space="0"/>
                    <w:bottom w:val="single" w:color="auto" w:sz="2" w:space="0"/>
                    <w:right w:val="single" w:color="auto" w:sz="2" w:space="0"/>
                  </w:tcBorders>
                  <w:vAlign w:val="center"/>
                </w:tcPr>
                <w:p>
                  <w:pPr>
                    <w:pStyle w:val="57"/>
                    <w:rPr>
                      <w:spacing w:val="-10"/>
                    </w:rPr>
                  </w:pPr>
                  <w:r>
                    <w:rPr>
                      <w:spacing w:val="-10"/>
                    </w:rPr>
                    <w:t>HW08：072-001-08</w:t>
                  </w:r>
                </w:p>
              </w:tc>
              <w:tc>
                <w:tcPr>
                  <w:tcW w:w="1565" w:type="pct"/>
                  <w:vMerge w:val="restart"/>
                  <w:tcBorders>
                    <w:top w:val="single" w:color="auto" w:sz="2" w:space="0"/>
                    <w:left w:val="single" w:color="auto" w:sz="2" w:space="0"/>
                    <w:right w:val="single" w:color="auto" w:sz="2" w:space="0"/>
                  </w:tcBorders>
                  <w:vAlign w:val="center"/>
                </w:tcPr>
                <w:p>
                  <w:pPr>
                    <w:pStyle w:val="57"/>
                  </w:pPr>
                  <w:r>
                    <w:t>暂存于危废暂存间，交有资质单位进行处置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废油</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t>0.5</w:t>
                  </w:r>
                </w:p>
              </w:tc>
              <w:tc>
                <w:tcPr>
                  <w:tcW w:w="719" w:type="pct"/>
                  <w:vMerge w:val="continue"/>
                  <w:tcBorders>
                    <w:left w:val="single" w:color="auto" w:sz="2" w:space="0"/>
                    <w:right w:val="single" w:color="auto" w:sz="2" w:space="0"/>
                  </w:tcBorders>
                  <w:vAlign w:val="center"/>
                </w:tcPr>
                <w:p>
                  <w:pPr>
                    <w:pStyle w:val="57"/>
                  </w:pPr>
                </w:p>
              </w:tc>
              <w:tc>
                <w:tcPr>
                  <w:tcW w:w="1161" w:type="pct"/>
                  <w:tcBorders>
                    <w:top w:val="single" w:color="auto" w:sz="2" w:space="0"/>
                    <w:left w:val="single" w:color="auto" w:sz="2" w:space="0"/>
                    <w:bottom w:val="single" w:color="auto" w:sz="2" w:space="0"/>
                    <w:right w:val="single" w:color="auto" w:sz="2" w:space="0"/>
                  </w:tcBorders>
                  <w:vAlign w:val="center"/>
                </w:tcPr>
                <w:p>
                  <w:pPr>
                    <w:pStyle w:val="57"/>
                    <w:rPr>
                      <w:spacing w:val="-10"/>
                    </w:rPr>
                  </w:pPr>
                  <w:r>
                    <w:rPr>
                      <w:spacing w:val="-10"/>
                    </w:rPr>
                    <w:t>HW08：900-217-08</w:t>
                  </w:r>
                </w:p>
              </w:tc>
              <w:tc>
                <w:tcPr>
                  <w:tcW w:w="1565" w:type="pct"/>
                  <w:vMerge w:val="continue"/>
                  <w:tcBorders>
                    <w:left w:val="single" w:color="auto" w:sz="2" w:space="0"/>
                    <w:right w:val="single" w:color="auto" w:sz="2" w:space="0"/>
                  </w:tcBorders>
                  <w:vAlign w:val="center"/>
                </w:tcPr>
                <w:p>
                  <w:pPr>
                    <w:pStyle w:val="57"/>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含油废棉纱手套</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t>0.5</w:t>
                  </w:r>
                </w:p>
              </w:tc>
              <w:tc>
                <w:tcPr>
                  <w:tcW w:w="719" w:type="pct"/>
                  <w:vMerge w:val="continue"/>
                  <w:tcBorders>
                    <w:left w:val="single" w:color="auto" w:sz="2" w:space="0"/>
                    <w:bottom w:val="single" w:color="auto" w:sz="2" w:space="0"/>
                    <w:right w:val="single" w:color="auto" w:sz="2" w:space="0"/>
                  </w:tcBorders>
                  <w:vAlign w:val="center"/>
                </w:tcPr>
                <w:p>
                  <w:pPr>
                    <w:pStyle w:val="57"/>
                  </w:pPr>
                </w:p>
              </w:tc>
              <w:tc>
                <w:tcPr>
                  <w:tcW w:w="1161" w:type="pct"/>
                  <w:tcBorders>
                    <w:top w:val="single" w:color="auto" w:sz="2" w:space="0"/>
                    <w:left w:val="single" w:color="auto" w:sz="2" w:space="0"/>
                    <w:bottom w:val="single" w:color="auto" w:sz="2" w:space="0"/>
                    <w:right w:val="single" w:color="auto" w:sz="2" w:space="0"/>
                  </w:tcBorders>
                  <w:vAlign w:val="center"/>
                </w:tcPr>
                <w:p>
                  <w:pPr>
                    <w:pStyle w:val="57"/>
                    <w:rPr>
                      <w:spacing w:val="-10"/>
                    </w:rPr>
                  </w:pPr>
                  <w:r>
                    <w:rPr>
                      <w:spacing w:val="-10"/>
                    </w:rPr>
                    <w:t>HW49：900-041-49</w:t>
                  </w:r>
                </w:p>
              </w:tc>
              <w:tc>
                <w:tcPr>
                  <w:tcW w:w="1565" w:type="pct"/>
                  <w:tcBorders>
                    <w:left w:val="single" w:color="auto" w:sz="2" w:space="0"/>
                    <w:bottom w:val="single" w:color="auto" w:sz="2" w:space="0"/>
                    <w:right w:val="single" w:color="auto" w:sz="2" w:space="0"/>
                  </w:tcBorders>
                  <w:vAlign w:val="center"/>
                </w:tcPr>
                <w:p>
                  <w:pPr>
                    <w:pStyle w:val="57"/>
                  </w:pPr>
                  <w:r>
                    <w:t>收集暂存于危废暂存间，由企业内部资源化利用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废包装材料</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t>1</w:t>
                  </w:r>
                </w:p>
              </w:tc>
              <w:tc>
                <w:tcPr>
                  <w:tcW w:w="719" w:type="pct"/>
                  <w:tcBorders>
                    <w:top w:val="single" w:color="auto" w:sz="2" w:space="0"/>
                    <w:left w:val="single" w:color="auto" w:sz="2" w:space="0"/>
                    <w:bottom w:val="single" w:color="auto" w:sz="2" w:space="0"/>
                    <w:right w:val="single" w:color="auto" w:sz="2" w:space="0"/>
                  </w:tcBorders>
                  <w:vAlign w:val="center"/>
                </w:tcPr>
                <w:p>
                  <w:pPr>
                    <w:pStyle w:val="57"/>
                  </w:pPr>
                  <w:r>
                    <w:t>一般固废</w:t>
                  </w:r>
                </w:p>
              </w:tc>
              <w:tc>
                <w:tcPr>
                  <w:tcW w:w="1161" w:type="pct"/>
                  <w:tcBorders>
                    <w:top w:val="single" w:color="auto" w:sz="2" w:space="0"/>
                    <w:left w:val="single" w:color="auto" w:sz="2" w:space="0"/>
                    <w:bottom w:val="single" w:color="auto" w:sz="2" w:space="0"/>
                    <w:right w:val="single" w:color="auto" w:sz="2" w:space="0"/>
                  </w:tcBorders>
                  <w:vAlign w:val="center"/>
                </w:tcPr>
                <w:p>
                  <w:pPr>
                    <w:pStyle w:val="57"/>
                  </w:pPr>
                  <w:r>
                    <w:t>900-999-99</w:t>
                  </w:r>
                </w:p>
              </w:tc>
              <w:tc>
                <w:tcPr>
                  <w:tcW w:w="1565" w:type="pct"/>
                  <w:tcBorders>
                    <w:top w:val="single" w:color="auto" w:sz="2" w:space="0"/>
                    <w:left w:val="single" w:color="auto" w:sz="2" w:space="0"/>
                    <w:bottom w:val="single" w:color="auto" w:sz="2" w:space="0"/>
                    <w:right w:val="single" w:color="auto" w:sz="2" w:space="0"/>
                  </w:tcBorders>
                  <w:vAlign w:val="center"/>
                </w:tcPr>
                <w:p>
                  <w:pPr>
                    <w:pStyle w:val="57"/>
                  </w:pPr>
                  <w:r>
                    <w:t>收集后定期运至就近的废品回收站进行处理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33" w:type="pct"/>
                  <w:tcBorders>
                    <w:top w:val="single" w:color="auto" w:sz="2" w:space="0"/>
                    <w:left w:val="single" w:color="auto" w:sz="2" w:space="0"/>
                    <w:bottom w:val="single" w:color="auto" w:sz="2" w:space="0"/>
                    <w:right w:val="single" w:color="auto" w:sz="2" w:space="0"/>
                  </w:tcBorders>
                  <w:vAlign w:val="center"/>
                </w:tcPr>
                <w:p>
                  <w:pPr>
                    <w:pStyle w:val="57"/>
                  </w:pPr>
                  <w:r>
                    <w:t>生活垃圾</w:t>
                  </w:r>
                </w:p>
              </w:tc>
              <w:tc>
                <w:tcPr>
                  <w:tcW w:w="721" w:type="pct"/>
                  <w:tcBorders>
                    <w:top w:val="single" w:color="auto" w:sz="2" w:space="0"/>
                    <w:left w:val="single" w:color="auto" w:sz="2" w:space="0"/>
                    <w:bottom w:val="single" w:color="auto" w:sz="2" w:space="0"/>
                    <w:right w:val="single" w:color="auto" w:sz="2" w:space="0"/>
                  </w:tcBorders>
                  <w:vAlign w:val="center"/>
                </w:tcPr>
                <w:p>
                  <w:pPr>
                    <w:pStyle w:val="57"/>
                  </w:pPr>
                  <w:r>
                    <w:t>3.6</w:t>
                  </w:r>
                </w:p>
              </w:tc>
              <w:tc>
                <w:tcPr>
                  <w:tcW w:w="719" w:type="pct"/>
                  <w:tcBorders>
                    <w:top w:val="single" w:color="auto" w:sz="2" w:space="0"/>
                    <w:left w:val="single" w:color="auto" w:sz="2" w:space="0"/>
                    <w:bottom w:val="single" w:color="auto" w:sz="2" w:space="0"/>
                    <w:right w:val="single" w:color="auto" w:sz="2" w:space="0"/>
                  </w:tcBorders>
                  <w:vAlign w:val="center"/>
                </w:tcPr>
                <w:p>
                  <w:pPr>
                    <w:pStyle w:val="57"/>
                  </w:pPr>
                  <w:r>
                    <w:t>生活垃圾</w:t>
                  </w:r>
                </w:p>
              </w:tc>
              <w:tc>
                <w:tcPr>
                  <w:tcW w:w="1161"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c>
                <w:tcPr>
                  <w:tcW w:w="1565" w:type="pct"/>
                  <w:tcBorders>
                    <w:top w:val="single" w:color="auto" w:sz="2" w:space="0"/>
                    <w:left w:val="single" w:color="auto" w:sz="2" w:space="0"/>
                    <w:bottom w:val="single" w:color="auto" w:sz="2" w:space="0"/>
                    <w:right w:val="single" w:color="auto" w:sz="2" w:space="0"/>
                  </w:tcBorders>
                  <w:vAlign w:val="center"/>
                </w:tcPr>
                <w:p>
                  <w:pPr>
                    <w:pStyle w:val="57"/>
                  </w:pPr>
                  <w:r>
                    <w:t>垃圾桶集中收集后，交当地环卫部门处理</w:t>
                  </w:r>
                </w:p>
              </w:tc>
            </w:tr>
          </w:tbl>
          <w:p>
            <w:pPr>
              <w:adjustRightInd w:val="0"/>
              <w:snapToGrid w:val="0"/>
              <w:ind w:firstLine="422"/>
              <w:rPr>
                <w:b/>
                <w:bCs/>
                <w:sz w:val="21"/>
                <w:szCs w:val="21"/>
              </w:rPr>
            </w:pPr>
            <w:r>
              <w:rPr>
                <w:b/>
                <w:bCs/>
                <w:sz w:val="21"/>
                <w:szCs w:val="21"/>
              </w:rPr>
              <w:t>2.5地下水环境影响（详见专题）</w:t>
            </w:r>
          </w:p>
          <w:p>
            <w:pPr>
              <w:adjustRightInd w:val="0"/>
              <w:snapToGrid w:val="0"/>
              <w:ind w:firstLine="420"/>
              <w:rPr>
                <w:bCs/>
                <w:sz w:val="21"/>
                <w:szCs w:val="21"/>
                <w:highlight w:val="yellow"/>
              </w:rPr>
            </w:pPr>
            <w:r>
              <w:rPr>
                <w:rFonts w:hint="eastAsia"/>
                <w:bCs/>
                <w:sz w:val="21"/>
                <w:szCs w:val="21"/>
              </w:rPr>
              <w:t>根据实地踏勘，平安7井周边分布有分散式水井18口，共服务居民约55户，与项目井口的距离在150m~1534m之间，与应急池的距离在191m~1467m之间，下游的最近分散式水井距离井口距离为225m，下游最近分散式水井距离应急池距离为228m。其中项目地下水流向上游及两侧分布有9口水井，下游分布有9口水井，以上居民水井深度介于9m~18m之间，水位埋深1.5m~4.0m。</w:t>
            </w:r>
          </w:p>
          <w:p>
            <w:pPr>
              <w:adjustRightInd w:val="0"/>
              <w:snapToGrid w:val="0"/>
              <w:ind w:firstLine="420"/>
              <w:rPr>
                <w:bCs/>
                <w:sz w:val="21"/>
                <w:szCs w:val="21"/>
              </w:rPr>
            </w:pPr>
            <w:r>
              <w:rPr>
                <w:bCs/>
                <w:sz w:val="21"/>
                <w:szCs w:val="21"/>
              </w:rPr>
              <w:t>根据地下水环境影响评价专题报告可知，</w:t>
            </w:r>
            <w:r>
              <w:rPr>
                <w:rFonts w:hAnsi="宋体"/>
                <w:sz w:val="21"/>
                <w:szCs w:val="21"/>
              </w:rPr>
              <w:t>事故工况下，</w:t>
            </w:r>
            <w:r>
              <w:rPr>
                <w:rFonts w:hint="eastAsia" w:hAnsi="宋体"/>
                <w:sz w:val="21"/>
                <w:szCs w:val="21"/>
              </w:rPr>
              <w:t>应急池</w:t>
            </w:r>
            <w:r>
              <w:rPr>
                <w:rFonts w:hAnsi="宋体"/>
                <w:sz w:val="21"/>
                <w:szCs w:val="21"/>
              </w:rPr>
              <w:t>废水泄漏在</w:t>
            </w:r>
            <w:r>
              <w:rPr>
                <w:rFonts w:hint="eastAsia" w:hAnsi="宋体"/>
                <w:sz w:val="21"/>
                <w:szCs w:val="21"/>
              </w:rPr>
              <w:t>3650天时</w:t>
            </w:r>
            <w:r>
              <w:rPr>
                <w:rFonts w:hAnsi="宋体"/>
                <w:sz w:val="21"/>
                <w:szCs w:val="21"/>
              </w:rPr>
              <w:t>污染物耗氧量（COD</w:t>
            </w:r>
            <w:r>
              <w:rPr>
                <w:rFonts w:hAnsi="宋体"/>
                <w:sz w:val="21"/>
                <w:szCs w:val="21"/>
                <w:vertAlign w:val="subscript"/>
              </w:rPr>
              <w:t>Mn</w:t>
            </w:r>
            <w:r>
              <w:rPr>
                <w:rFonts w:hAnsi="宋体"/>
                <w:sz w:val="21"/>
                <w:szCs w:val="21"/>
              </w:rPr>
              <w:t>）最远的超标距离为井口水流下游</w:t>
            </w:r>
            <w:r>
              <w:rPr>
                <w:rFonts w:hint="eastAsia"/>
                <w:sz w:val="21"/>
                <w:szCs w:val="21"/>
              </w:rPr>
              <w:t>64</w:t>
            </w:r>
            <w:r>
              <w:rPr>
                <w:sz w:val="21"/>
                <w:szCs w:val="21"/>
              </w:rPr>
              <w:t>m</w:t>
            </w:r>
            <w:r>
              <w:rPr>
                <w:rFonts w:hAnsi="宋体"/>
                <w:sz w:val="21"/>
                <w:szCs w:val="21"/>
              </w:rPr>
              <w:t>处</w:t>
            </w:r>
            <w:r>
              <w:rPr>
                <w:rFonts w:hint="eastAsia" w:hAnsi="宋体"/>
                <w:sz w:val="21"/>
                <w:szCs w:val="21"/>
              </w:rPr>
              <w:t>，7300天后无超标距离存在</w:t>
            </w:r>
            <w:r>
              <w:rPr>
                <w:rFonts w:hAnsi="宋体"/>
                <w:sz w:val="21"/>
                <w:szCs w:val="21"/>
              </w:rPr>
              <w:t>；</w:t>
            </w:r>
            <w:r>
              <w:rPr>
                <w:rFonts w:hint="eastAsia" w:hAnsi="宋体"/>
                <w:sz w:val="21"/>
                <w:szCs w:val="21"/>
              </w:rPr>
              <w:t>应急池</w:t>
            </w:r>
            <w:r>
              <w:rPr>
                <w:rFonts w:hAnsi="宋体"/>
                <w:sz w:val="21"/>
                <w:szCs w:val="21"/>
              </w:rPr>
              <w:t>废水泄漏在</w:t>
            </w:r>
            <w:r>
              <w:rPr>
                <w:sz w:val="21"/>
                <w:szCs w:val="21"/>
              </w:rPr>
              <w:t>7300</w:t>
            </w:r>
            <w:r>
              <w:rPr>
                <w:rFonts w:hAnsi="宋体"/>
                <w:sz w:val="21"/>
                <w:szCs w:val="21"/>
              </w:rPr>
              <w:t>天内污染物石油类最远的超标距离为井口水流下游</w:t>
            </w:r>
            <w:r>
              <w:rPr>
                <w:rFonts w:hint="eastAsia"/>
                <w:sz w:val="21"/>
                <w:szCs w:val="21"/>
              </w:rPr>
              <w:t>141</w:t>
            </w:r>
            <w:r>
              <w:rPr>
                <w:sz w:val="21"/>
                <w:szCs w:val="21"/>
              </w:rPr>
              <w:t>m</w:t>
            </w:r>
            <w:r>
              <w:rPr>
                <w:rFonts w:hAnsi="宋体"/>
                <w:sz w:val="21"/>
                <w:szCs w:val="21"/>
              </w:rPr>
              <w:t>处。井口下游最近农户</w:t>
            </w:r>
            <w:r>
              <w:rPr>
                <w:rFonts w:hint="eastAsia" w:hAnsi="宋体"/>
                <w:sz w:val="21"/>
                <w:szCs w:val="21"/>
              </w:rPr>
              <w:t>水井</w:t>
            </w:r>
            <w:r>
              <w:rPr>
                <w:rFonts w:hAnsi="宋体"/>
                <w:sz w:val="21"/>
                <w:szCs w:val="21"/>
              </w:rPr>
              <w:t>距</w:t>
            </w:r>
            <w:r>
              <w:rPr>
                <w:rFonts w:hint="eastAsia" w:hAnsi="宋体"/>
                <w:sz w:val="21"/>
                <w:szCs w:val="21"/>
              </w:rPr>
              <w:t>应急池228m</w:t>
            </w:r>
            <w:r>
              <w:rPr>
                <w:rFonts w:hAnsi="宋体"/>
                <w:sz w:val="21"/>
                <w:szCs w:val="21"/>
              </w:rPr>
              <w:t>。非正常工况下，不会对下游</w:t>
            </w:r>
            <w:r>
              <w:rPr>
                <w:rFonts w:hint="eastAsia" w:hAnsi="宋体"/>
                <w:sz w:val="21"/>
                <w:szCs w:val="21"/>
              </w:rPr>
              <w:t>分散式水井产生影响，同时</w:t>
            </w:r>
            <w:r>
              <w:rPr>
                <w:rFonts w:hAnsi="宋体"/>
                <w:sz w:val="21"/>
                <w:szCs w:val="21"/>
              </w:rPr>
              <w:t>由于平安7井所处的位置，地下水径流速度慢，含水层有效孔隙度小，污染物扩散速度较慢，污染影响范围小，且水文地质条件简单，且为潜水含水层，一旦事故发生后可以有足够的时间来处理，如发生污染事故，应立即将污水转移，修复事故区，并在场地下游进行抽水，将污水抽出处置，同时为下游受影响居民提供桶装饮用水、另找水源等保证居民正常用水的措施</w:t>
            </w:r>
            <w:r>
              <w:rPr>
                <w:rFonts w:hint="eastAsia" w:hAnsi="宋体"/>
                <w:sz w:val="21"/>
                <w:szCs w:val="21"/>
              </w:rPr>
              <w:t>，采取</w:t>
            </w:r>
            <w:r>
              <w:rPr>
                <w:rFonts w:hAnsi="宋体"/>
                <w:sz w:val="21"/>
                <w:szCs w:val="21"/>
              </w:rPr>
              <w:t>以上地下水保护措施后，对居民饮用</w:t>
            </w:r>
            <w:r>
              <w:rPr>
                <w:rFonts w:hint="eastAsia" w:hAnsi="宋体"/>
                <w:sz w:val="21"/>
                <w:szCs w:val="21"/>
              </w:rPr>
              <w:t>井</w:t>
            </w:r>
            <w:r>
              <w:rPr>
                <w:rFonts w:hAnsi="宋体"/>
                <w:sz w:val="21"/>
                <w:szCs w:val="21"/>
              </w:rPr>
              <w:t>泉的影响可接受。</w:t>
            </w:r>
          </w:p>
          <w:p>
            <w:pPr>
              <w:adjustRightInd w:val="0"/>
              <w:snapToGrid w:val="0"/>
              <w:ind w:firstLine="422"/>
              <w:rPr>
                <w:b/>
                <w:bCs/>
                <w:sz w:val="21"/>
                <w:szCs w:val="21"/>
              </w:rPr>
            </w:pPr>
            <w:r>
              <w:rPr>
                <w:b/>
                <w:bCs/>
                <w:sz w:val="21"/>
                <w:szCs w:val="21"/>
              </w:rPr>
              <w:t>项目地下水环境影响分析详见《</w:t>
            </w:r>
            <w:r>
              <w:rPr>
                <w:rFonts w:hint="eastAsia"/>
                <w:b/>
                <w:bCs/>
                <w:sz w:val="21"/>
                <w:szCs w:val="21"/>
              </w:rPr>
              <w:t>平安7井钻井</w:t>
            </w:r>
            <w:r>
              <w:rPr>
                <w:b/>
                <w:bCs/>
                <w:sz w:val="21"/>
                <w:szCs w:val="21"/>
              </w:rPr>
              <w:t>工程地下水环境影响评价专报告》。</w:t>
            </w:r>
          </w:p>
          <w:p>
            <w:pPr>
              <w:adjustRightInd w:val="0"/>
              <w:snapToGrid w:val="0"/>
              <w:ind w:firstLine="422"/>
              <w:rPr>
                <w:b/>
                <w:bCs/>
                <w:sz w:val="21"/>
                <w:szCs w:val="21"/>
              </w:rPr>
            </w:pPr>
            <w:r>
              <w:rPr>
                <w:b/>
                <w:bCs/>
                <w:sz w:val="21"/>
                <w:szCs w:val="21"/>
              </w:rPr>
              <w:t>2.6土壤环境影响</w:t>
            </w:r>
          </w:p>
          <w:p>
            <w:pPr>
              <w:adjustRightInd w:val="0"/>
              <w:snapToGrid w:val="0"/>
              <w:ind w:firstLine="422"/>
              <w:rPr>
                <w:b/>
                <w:bCs/>
                <w:sz w:val="21"/>
                <w:szCs w:val="21"/>
              </w:rPr>
            </w:pPr>
            <w:r>
              <w:rPr>
                <w:b/>
                <w:bCs/>
                <w:sz w:val="21"/>
                <w:szCs w:val="21"/>
              </w:rPr>
              <w:t>2.6.1土壤环境影响识别</w:t>
            </w:r>
          </w:p>
          <w:p>
            <w:pPr>
              <w:adjustRightInd w:val="0"/>
              <w:snapToGrid w:val="0"/>
              <w:ind w:firstLine="420"/>
              <w:rPr>
                <w:bCs/>
                <w:sz w:val="21"/>
                <w:szCs w:val="21"/>
              </w:rPr>
            </w:pPr>
            <w:r>
              <w:rPr>
                <w:rFonts w:hint="eastAsia" w:ascii="宋体" w:hAnsi="宋体" w:cs="宋体"/>
                <w:bCs/>
                <w:sz w:val="21"/>
                <w:szCs w:val="21"/>
              </w:rPr>
              <w:t>①</w:t>
            </w:r>
            <w:r>
              <w:rPr>
                <w:bCs/>
                <w:sz w:val="21"/>
                <w:szCs w:val="21"/>
              </w:rPr>
              <w:t>土壤环境影响类型与影响途径识别</w:t>
            </w:r>
          </w:p>
          <w:p>
            <w:pPr>
              <w:adjustRightInd w:val="0"/>
              <w:snapToGrid w:val="0"/>
              <w:ind w:firstLine="420"/>
              <w:rPr>
                <w:bCs/>
                <w:sz w:val="21"/>
                <w:szCs w:val="21"/>
              </w:rPr>
            </w:pPr>
            <w:r>
              <w:rPr>
                <w:bCs/>
                <w:sz w:val="21"/>
                <w:szCs w:val="21"/>
              </w:rPr>
              <w:t>项目仅施工期有少量废气产生，且施工时间短，大气污染物不含重金属及粉尘，因此本次评价不考虑大气沉降对土壤的影响。项目可能对土壤造成的污染主要为：井场废水罐、油罐、储液池、应急池、罐车运输等由于基础不稳或是极端天气原因导致污染物外溢泄漏，废水等污染物通过垂直入渗和地表漫流的方式进入土壤。</w:t>
            </w:r>
          </w:p>
          <w:p>
            <w:pPr>
              <w:adjustRightInd w:val="0"/>
              <w:snapToGrid w:val="0"/>
              <w:ind w:firstLine="420"/>
              <w:rPr>
                <w:bCs/>
                <w:sz w:val="21"/>
                <w:szCs w:val="21"/>
              </w:rPr>
            </w:pPr>
            <w:r>
              <w:rPr>
                <w:bCs/>
                <w:sz w:val="21"/>
                <w:szCs w:val="21"/>
              </w:rPr>
              <w:t>根据《农用地土壤污染状况详查点位布设技术规定》中附件1土壤重点污染源周边影响区范围，“1、大气沉降影响调查范围确定，需考虑大气沉降影响的行业包括08黑色金属矿采选业、09有色金属矿采选业、25石油加工、炼焦和核燃料加工业、26化学原料和化学制品制造业、27医药制造业、31黑色金属冶炼和压延加工业、32有色金属冶炼和压延加工业、38电气机械和器材制造业（电池制造）、77生态保护和环境治理业（危废、医疗处置）、78公共设施管理业（生活垃圾处置）。”项目不属于上述类别，因此，项目不需考虑大气沉降影响。</w:t>
            </w:r>
          </w:p>
          <w:p>
            <w:pPr>
              <w:adjustRightInd w:val="0"/>
              <w:snapToGrid w:val="0"/>
              <w:ind w:firstLine="420"/>
              <w:rPr>
                <w:bCs/>
                <w:sz w:val="21"/>
                <w:szCs w:val="21"/>
              </w:rPr>
            </w:pPr>
            <w:r>
              <w:rPr>
                <w:bCs/>
                <w:sz w:val="21"/>
                <w:szCs w:val="21"/>
              </w:rPr>
              <w:t>项目土壤环境影响类型与途径见下表。</w:t>
            </w:r>
          </w:p>
          <w:p>
            <w:pPr>
              <w:adjustRightInd w:val="0"/>
              <w:snapToGrid w:val="0"/>
              <w:ind w:firstLine="0" w:firstLineChars="0"/>
              <w:jc w:val="center"/>
              <w:rPr>
                <w:b/>
                <w:bCs/>
                <w:sz w:val="21"/>
                <w:szCs w:val="21"/>
              </w:rPr>
            </w:pPr>
            <w:r>
              <w:rPr>
                <w:b/>
                <w:bCs/>
                <w:sz w:val="21"/>
                <w:szCs w:val="21"/>
              </w:rPr>
              <w:t>表4-20  建设项目土壤环境影响类型与影响途径表</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61"/>
              <w:gridCol w:w="1661"/>
              <w:gridCol w:w="1661"/>
              <w:gridCol w:w="1661"/>
              <w:gridCol w:w="16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0" w:type="pct"/>
                  <w:vMerge w:val="restart"/>
                  <w:tcBorders>
                    <w:top w:val="single" w:color="auto" w:sz="2" w:space="0"/>
                    <w:left w:val="single" w:color="auto" w:sz="2" w:space="0"/>
                    <w:bottom w:val="single" w:color="auto" w:sz="2" w:space="0"/>
                    <w:right w:val="single" w:color="auto" w:sz="2" w:space="0"/>
                  </w:tcBorders>
                  <w:vAlign w:val="center"/>
                </w:tcPr>
                <w:p>
                  <w:pPr>
                    <w:pStyle w:val="57"/>
                    <w:rPr>
                      <w:b/>
                    </w:rPr>
                  </w:pPr>
                  <w:r>
                    <w:rPr>
                      <w:b/>
                    </w:rPr>
                    <w:t>不同时段</w:t>
                  </w:r>
                </w:p>
              </w:tc>
              <w:tc>
                <w:tcPr>
                  <w:tcW w:w="4000" w:type="pct"/>
                  <w:gridSpan w:val="4"/>
                  <w:tcBorders>
                    <w:top w:val="single" w:color="auto" w:sz="2" w:space="0"/>
                    <w:left w:val="single" w:color="auto" w:sz="2" w:space="0"/>
                    <w:bottom w:val="single" w:color="auto" w:sz="2" w:space="0"/>
                    <w:right w:val="single" w:color="auto" w:sz="2" w:space="0"/>
                  </w:tcBorders>
                  <w:vAlign w:val="center"/>
                </w:tcPr>
                <w:p>
                  <w:pPr>
                    <w:pStyle w:val="57"/>
                    <w:rPr>
                      <w:b/>
                    </w:rPr>
                  </w:pPr>
                  <w:r>
                    <w:rPr>
                      <w:b/>
                    </w:rPr>
                    <w:t>污染影响型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0" w:type="pct"/>
                  <w:vMerge w:val="continue"/>
                  <w:tcBorders>
                    <w:top w:val="single" w:color="auto" w:sz="2" w:space="0"/>
                    <w:left w:val="single" w:color="auto" w:sz="2" w:space="0"/>
                    <w:bottom w:val="single" w:color="auto" w:sz="2" w:space="0"/>
                    <w:right w:val="single" w:color="auto" w:sz="2" w:space="0"/>
                  </w:tcBorders>
                  <w:vAlign w:val="center"/>
                </w:tcPr>
                <w:p>
                  <w:pPr>
                    <w:pStyle w:val="57"/>
                    <w:rPr>
                      <w:b/>
                    </w:rPr>
                  </w:pPr>
                </w:p>
              </w:tc>
              <w:tc>
                <w:tcPr>
                  <w:tcW w:w="1000"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大气沉降</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地面漫流</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垂直入渗</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0" w:type="pct"/>
                  <w:tcBorders>
                    <w:top w:val="single" w:color="auto" w:sz="2" w:space="0"/>
                    <w:left w:val="single" w:color="auto" w:sz="2" w:space="0"/>
                    <w:bottom w:val="single" w:color="auto" w:sz="2" w:space="0"/>
                    <w:right w:val="single" w:color="auto" w:sz="2" w:space="0"/>
                  </w:tcBorders>
                  <w:vAlign w:val="center"/>
                </w:tcPr>
                <w:p>
                  <w:pPr>
                    <w:pStyle w:val="57"/>
                  </w:pPr>
                  <w:r>
                    <w:t>建设期</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0" w:type="pct"/>
                  <w:tcBorders>
                    <w:top w:val="single" w:color="auto" w:sz="2" w:space="0"/>
                    <w:left w:val="single" w:color="auto" w:sz="2" w:space="0"/>
                    <w:bottom w:val="single" w:color="auto" w:sz="2" w:space="0"/>
                    <w:right w:val="single" w:color="auto" w:sz="2" w:space="0"/>
                  </w:tcBorders>
                  <w:vAlign w:val="center"/>
                </w:tcPr>
                <w:p>
                  <w:pPr>
                    <w:pStyle w:val="57"/>
                  </w:pPr>
                  <w:r>
                    <w:t>服务器满后</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c>
                <w:tcPr>
                  <w:tcW w:w="1000" w:type="pct"/>
                  <w:tcBorders>
                    <w:top w:val="single" w:color="auto" w:sz="2" w:space="0"/>
                    <w:left w:val="single" w:color="auto" w:sz="2" w:space="0"/>
                    <w:bottom w:val="single" w:color="auto" w:sz="2" w:space="0"/>
                    <w:right w:val="single" w:color="auto" w:sz="2" w:space="0"/>
                  </w:tcBorders>
                  <w:vAlign w:val="center"/>
                </w:tcPr>
                <w:p>
                  <w:pPr>
                    <w:pStyle w:val="57"/>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000" w:type="pct"/>
                  <w:gridSpan w:val="5"/>
                  <w:tcBorders>
                    <w:top w:val="single" w:color="auto" w:sz="2" w:space="0"/>
                    <w:left w:val="single" w:color="auto" w:sz="2" w:space="0"/>
                    <w:bottom w:val="single" w:color="auto" w:sz="2" w:space="0"/>
                    <w:right w:val="single" w:color="auto" w:sz="2" w:space="0"/>
                  </w:tcBorders>
                  <w:vAlign w:val="center"/>
                </w:tcPr>
                <w:p>
                  <w:pPr>
                    <w:pStyle w:val="57"/>
                    <w:jc w:val="both"/>
                  </w:pPr>
                  <w:r>
                    <w:t>注：在可能产生的土壤环境影响类型处打“√”，列表未涵盖的可自行设计</w:t>
                  </w:r>
                </w:p>
              </w:tc>
            </w:tr>
          </w:tbl>
          <w:p>
            <w:pPr>
              <w:adjustRightInd w:val="0"/>
              <w:snapToGrid w:val="0"/>
              <w:ind w:firstLine="420"/>
              <w:rPr>
                <w:bCs/>
                <w:sz w:val="21"/>
                <w:szCs w:val="21"/>
              </w:rPr>
            </w:pPr>
            <w:r>
              <w:rPr>
                <w:rFonts w:hint="eastAsia" w:ascii="宋体" w:hAnsi="宋体" w:cs="宋体"/>
                <w:bCs/>
                <w:sz w:val="21"/>
                <w:szCs w:val="21"/>
              </w:rPr>
              <w:t>②</w:t>
            </w:r>
            <w:r>
              <w:rPr>
                <w:bCs/>
                <w:sz w:val="21"/>
                <w:szCs w:val="21"/>
              </w:rPr>
              <w:t>土壤环境影响源及影响因子识别</w:t>
            </w:r>
          </w:p>
          <w:p>
            <w:pPr>
              <w:adjustRightInd w:val="0"/>
              <w:snapToGrid w:val="0"/>
              <w:ind w:firstLine="420"/>
              <w:rPr>
                <w:bCs/>
                <w:sz w:val="21"/>
                <w:szCs w:val="21"/>
              </w:rPr>
            </w:pPr>
            <w:r>
              <w:rPr>
                <w:bCs/>
                <w:sz w:val="21"/>
                <w:szCs w:val="21"/>
              </w:rPr>
              <w:t>建设项目土壤环境影响源及影响因子见下表。</w:t>
            </w:r>
          </w:p>
          <w:p>
            <w:pPr>
              <w:adjustRightInd w:val="0"/>
              <w:snapToGrid w:val="0"/>
              <w:ind w:firstLine="0" w:firstLineChars="0"/>
              <w:jc w:val="center"/>
              <w:rPr>
                <w:b/>
                <w:bCs/>
                <w:sz w:val="21"/>
                <w:szCs w:val="21"/>
              </w:rPr>
            </w:pPr>
            <w:r>
              <w:rPr>
                <w:b/>
                <w:bCs/>
                <w:sz w:val="21"/>
                <w:szCs w:val="21"/>
              </w:rPr>
              <w:t>表4-21  土壤环境影响源及影响因子识别表</w:t>
            </w:r>
          </w:p>
          <w:tbl>
            <w:tblPr>
              <w:tblStyle w:val="22"/>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14"/>
              <w:gridCol w:w="1590"/>
              <w:gridCol w:w="1449"/>
              <w:gridCol w:w="1885"/>
              <w:gridCol w:w="1691"/>
              <w:gridCol w:w="7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550"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污染源</w:t>
                  </w:r>
                </w:p>
              </w:tc>
              <w:tc>
                <w:tcPr>
                  <w:tcW w:w="957"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工艺流程/节点</w:t>
                  </w:r>
                </w:p>
              </w:tc>
              <w:tc>
                <w:tcPr>
                  <w:tcW w:w="872"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污染途径</w:t>
                  </w:r>
                </w:p>
              </w:tc>
              <w:tc>
                <w:tcPr>
                  <w:tcW w:w="1135"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全部污染物</w:t>
                  </w:r>
                </w:p>
              </w:tc>
              <w:tc>
                <w:tcPr>
                  <w:tcW w:w="1018"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特征因子</w:t>
                  </w:r>
                </w:p>
              </w:tc>
              <w:tc>
                <w:tcPr>
                  <w:tcW w:w="468" w:type="pct"/>
                  <w:tcBorders>
                    <w:top w:val="single" w:color="auto" w:sz="2" w:space="0"/>
                    <w:left w:val="single" w:color="auto" w:sz="2" w:space="0"/>
                    <w:bottom w:val="single" w:color="auto" w:sz="2" w:space="0"/>
                    <w:right w:val="single" w:color="auto" w:sz="2" w:space="0"/>
                  </w:tcBorders>
                  <w:vAlign w:val="center"/>
                </w:tcPr>
                <w:p>
                  <w:pPr>
                    <w:pStyle w:val="57"/>
                    <w:rPr>
                      <w:b/>
                    </w:rPr>
                  </w:pPr>
                  <w:r>
                    <w:rPr>
                      <w:b/>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50" w:type="pct"/>
                  <w:vMerge w:val="restart"/>
                  <w:tcBorders>
                    <w:top w:val="single" w:color="auto" w:sz="2" w:space="0"/>
                    <w:left w:val="single" w:color="auto" w:sz="2" w:space="0"/>
                    <w:bottom w:val="single" w:color="auto" w:sz="2" w:space="0"/>
                    <w:right w:val="single" w:color="auto" w:sz="2" w:space="0"/>
                  </w:tcBorders>
                  <w:vAlign w:val="center"/>
                </w:tcPr>
                <w:p>
                  <w:pPr>
                    <w:pStyle w:val="57"/>
                  </w:pPr>
                  <w:r>
                    <w:t>场地</w:t>
                  </w:r>
                </w:p>
              </w:tc>
              <w:tc>
                <w:tcPr>
                  <w:tcW w:w="957" w:type="pct"/>
                  <w:vMerge w:val="restart"/>
                  <w:tcBorders>
                    <w:top w:val="single" w:color="auto" w:sz="2" w:space="0"/>
                    <w:left w:val="single" w:color="auto" w:sz="2" w:space="0"/>
                    <w:bottom w:val="single" w:color="auto" w:sz="2" w:space="0"/>
                    <w:right w:val="single" w:color="auto" w:sz="2" w:space="0"/>
                  </w:tcBorders>
                  <w:vAlign w:val="center"/>
                </w:tcPr>
                <w:p>
                  <w:pPr>
                    <w:pStyle w:val="57"/>
                  </w:pPr>
                  <w:r>
                    <w:t>钻井过程</w:t>
                  </w:r>
                </w:p>
              </w:tc>
              <w:tc>
                <w:tcPr>
                  <w:tcW w:w="872" w:type="pct"/>
                  <w:tcBorders>
                    <w:top w:val="single" w:color="auto" w:sz="2" w:space="0"/>
                    <w:left w:val="single" w:color="auto" w:sz="2" w:space="0"/>
                    <w:bottom w:val="single" w:color="auto" w:sz="2" w:space="0"/>
                    <w:right w:val="single" w:color="auto" w:sz="2" w:space="0"/>
                  </w:tcBorders>
                  <w:vAlign w:val="center"/>
                </w:tcPr>
                <w:p>
                  <w:pPr>
                    <w:pStyle w:val="57"/>
                  </w:pPr>
                  <w:r>
                    <w:t>大气沉降</w:t>
                  </w:r>
                </w:p>
              </w:tc>
              <w:tc>
                <w:tcPr>
                  <w:tcW w:w="1135"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1018"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468" w:type="pct"/>
                  <w:tcBorders>
                    <w:top w:val="single" w:color="auto" w:sz="2" w:space="0"/>
                    <w:left w:val="single" w:color="auto" w:sz="2" w:space="0"/>
                    <w:bottom w:val="single" w:color="auto" w:sz="2" w:space="0"/>
                    <w:right w:val="single" w:color="auto" w:sz="2" w:space="0"/>
                  </w:tcBorders>
                  <w:vAlign w:val="center"/>
                </w:tcPr>
                <w:p>
                  <w:pPr>
                    <w:pStyle w:val="57"/>
                  </w:pPr>
                  <w: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50"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957"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872" w:type="pct"/>
                  <w:tcBorders>
                    <w:top w:val="single" w:color="auto" w:sz="2" w:space="0"/>
                    <w:left w:val="single" w:color="auto" w:sz="2" w:space="0"/>
                    <w:bottom w:val="single" w:color="auto" w:sz="2" w:space="0"/>
                    <w:right w:val="single" w:color="auto" w:sz="2" w:space="0"/>
                  </w:tcBorders>
                  <w:vAlign w:val="center"/>
                </w:tcPr>
                <w:p>
                  <w:pPr>
                    <w:pStyle w:val="57"/>
                  </w:pPr>
                  <w:r>
                    <w:t>地面漫流</w:t>
                  </w:r>
                </w:p>
              </w:tc>
              <w:tc>
                <w:tcPr>
                  <w:tcW w:w="1135" w:type="pct"/>
                  <w:tcBorders>
                    <w:top w:val="single" w:color="auto" w:sz="2" w:space="0"/>
                    <w:left w:val="single" w:color="auto" w:sz="2" w:space="0"/>
                    <w:bottom w:val="single" w:color="auto" w:sz="2" w:space="0"/>
                    <w:right w:val="single" w:color="auto" w:sz="2" w:space="0"/>
                  </w:tcBorders>
                  <w:vAlign w:val="center"/>
                </w:tcPr>
                <w:p>
                  <w:pPr>
                    <w:pStyle w:val="57"/>
                  </w:pPr>
                  <w:r>
                    <w:t>石油烃、氯化物</w:t>
                  </w:r>
                </w:p>
              </w:tc>
              <w:tc>
                <w:tcPr>
                  <w:tcW w:w="1018" w:type="pct"/>
                  <w:tcBorders>
                    <w:top w:val="single" w:color="auto" w:sz="2" w:space="0"/>
                    <w:left w:val="single" w:color="auto" w:sz="2" w:space="0"/>
                    <w:bottom w:val="single" w:color="auto" w:sz="2" w:space="0"/>
                    <w:right w:val="single" w:color="auto" w:sz="2" w:space="0"/>
                  </w:tcBorders>
                  <w:vAlign w:val="center"/>
                </w:tcPr>
                <w:p>
                  <w:pPr>
                    <w:pStyle w:val="57"/>
                  </w:pPr>
                  <w:r>
                    <w:t>石油烃、氯化物</w:t>
                  </w:r>
                </w:p>
              </w:tc>
              <w:tc>
                <w:tcPr>
                  <w:tcW w:w="468" w:type="pct"/>
                  <w:tcBorders>
                    <w:top w:val="single" w:color="auto" w:sz="2" w:space="0"/>
                    <w:left w:val="single" w:color="auto" w:sz="2" w:space="0"/>
                    <w:bottom w:val="single" w:color="auto" w:sz="2" w:space="0"/>
                    <w:right w:val="single" w:color="auto" w:sz="2" w:space="0"/>
                  </w:tcBorders>
                  <w:vAlign w:val="center"/>
                </w:tcPr>
                <w:p>
                  <w:pPr>
                    <w:pStyle w:val="57"/>
                  </w:pPr>
                  <w:r>
                    <w:t>事故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50"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957"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872" w:type="pct"/>
                  <w:tcBorders>
                    <w:top w:val="single" w:color="auto" w:sz="2" w:space="0"/>
                    <w:left w:val="single" w:color="auto" w:sz="2" w:space="0"/>
                    <w:bottom w:val="single" w:color="auto" w:sz="2" w:space="0"/>
                    <w:right w:val="single" w:color="auto" w:sz="2" w:space="0"/>
                  </w:tcBorders>
                  <w:vAlign w:val="center"/>
                </w:tcPr>
                <w:p>
                  <w:pPr>
                    <w:pStyle w:val="57"/>
                  </w:pPr>
                  <w:r>
                    <w:t>垂直入渗</w:t>
                  </w:r>
                </w:p>
              </w:tc>
              <w:tc>
                <w:tcPr>
                  <w:tcW w:w="1135" w:type="pct"/>
                  <w:tcBorders>
                    <w:top w:val="single" w:color="auto" w:sz="2" w:space="0"/>
                    <w:left w:val="single" w:color="auto" w:sz="2" w:space="0"/>
                    <w:bottom w:val="single" w:color="auto" w:sz="2" w:space="0"/>
                    <w:right w:val="single" w:color="auto" w:sz="2" w:space="0"/>
                  </w:tcBorders>
                  <w:vAlign w:val="center"/>
                </w:tcPr>
                <w:p>
                  <w:pPr>
                    <w:pStyle w:val="57"/>
                  </w:pPr>
                  <w:r>
                    <w:t>石油烃、氯化物</w:t>
                  </w:r>
                </w:p>
              </w:tc>
              <w:tc>
                <w:tcPr>
                  <w:tcW w:w="1018" w:type="pct"/>
                  <w:tcBorders>
                    <w:top w:val="single" w:color="auto" w:sz="2" w:space="0"/>
                    <w:left w:val="single" w:color="auto" w:sz="2" w:space="0"/>
                    <w:bottom w:val="single" w:color="auto" w:sz="2" w:space="0"/>
                    <w:right w:val="single" w:color="auto" w:sz="2" w:space="0"/>
                  </w:tcBorders>
                  <w:vAlign w:val="center"/>
                </w:tcPr>
                <w:p>
                  <w:pPr>
                    <w:pStyle w:val="57"/>
                  </w:pPr>
                  <w:r>
                    <w:t>石油烃、氯化物</w:t>
                  </w:r>
                </w:p>
              </w:tc>
              <w:tc>
                <w:tcPr>
                  <w:tcW w:w="468" w:type="pct"/>
                  <w:tcBorders>
                    <w:top w:val="single" w:color="auto" w:sz="2" w:space="0"/>
                    <w:left w:val="single" w:color="auto" w:sz="2" w:space="0"/>
                    <w:bottom w:val="single" w:color="auto" w:sz="2" w:space="0"/>
                    <w:right w:val="single" w:color="auto" w:sz="2" w:space="0"/>
                  </w:tcBorders>
                  <w:vAlign w:val="center"/>
                </w:tcPr>
                <w:p>
                  <w:pPr>
                    <w:pStyle w:val="57"/>
                  </w:pPr>
                  <w:r>
                    <w:t>事故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50"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957" w:type="pct"/>
                  <w:vMerge w:val="continue"/>
                  <w:tcBorders>
                    <w:top w:val="single" w:color="auto" w:sz="2" w:space="0"/>
                    <w:left w:val="single" w:color="auto" w:sz="2" w:space="0"/>
                    <w:bottom w:val="single" w:color="auto" w:sz="2" w:space="0"/>
                    <w:right w:val="single" w:color="auto" w:sz="2" w:space="0"/>
                  </w:tcBorders>
                  <w:vAlign w:val="center"/>
                </w:tcPr>
                <w:p>
                  <w:pPr>
                    <w:pStyle w:val="57"/>
                  </w:pPr>
                </w:p>
              </w:tc>
              <w:tc>
                <w:tcPr>
                  <w:tcW w:w="872" w:type="pct"/>
                  <w:tcBorders>
                    <w:top w:val="single" w:color="auto" w:sz="2" w:space="0"/>
                    <w:left w:val="single" w:color="auto" w:sz="2" w:space="0"/>
                    <w:bottom w:val="single" w:color="auto" w:sz="2" w:space="0"/>
                    <w:right w:val="single" w:color="auto" w:sz="2" w:space="0"/>
                  </w:tcBorders>
                  <w:vAlign w:val="center"/>
                </w:tcPr>
                <w:p>
                  <w:pPr>
                    <w:pStyle w:val="57"/>
                  </w:pPr>
                  <w:r>
                    <w:t>其他</w:t>
                  </w:r>
                </w:p>
              </w:tc>
              <w:tc>
                <w:tcPr>
                  <w:tcW w:w="1135"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1018" w:type="pct"/>
                  <w:tcBorders>
                    <w:top w:val="single" w:color="auto" w:sz="2" w:space="0"/>
                    <w:left w:val="single" w:color="auto" w:sz="2" w:space="0"/>
                    <w:bottom w:val="single" w:color="auto" w:sz="2" w:space="0"/>
                    <w:right w:val="single" w:color="auto" w:sz="2" w:space="0"/>
                  </w:tcBorders>
                  <w:vAlign w:val="center"/>
                </w:tcPr>
                <w:p>
                  <w:pPr>
                    <w:pStyle w:val="57"/>
                  </w:pPr>
                  <w:r>
                    <w:t>/</w:t>
                  </w:r>
                </w:p>
              </w:tc>
              <w:tc>
                <w:tcPr>
                  <w:tcW w:w="468" w:type="pct"/>
                  <w:tcBorders>
                    <w:top w:val="single" w:color="auto" w:sz="2" w:space="0"/>
                    <w:left w:val="single" w:color="auto" w:sz="2" w:space="0"/>
                    <w:bottom w:val="single" w:color="auto" w:sz="2" w:space="0"/>
                    <w:right w:val="single" w:color="auto" w:sz="2" w:space="0"/>
                  </w:tcBorders>
                  <w:vAlign w:val="center"/>
                </w:tcPr>
                <w:p>
                  <w:pPr>
                    <w:pStyle w:val="57"/>
                  </w:pPr>
                  <w: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6"/>
                  <w:tcBorders>
                    <w:top w:val="single" w:color="auto" w:sz="2" w:space="0"/>
                    <w:left w:val="single" w:color="auto" w:sz="2" w:space="0"/>
                    <w:bottom w:val="single" w:color="auto" w:sz="2" w:space="0"/>
                    <w:right w:val="single" w:color="auto" w:sz="2" w:space="0"/>
                  </w:tcBorders>
                  <w:vAlign w:val="center"/>
                </w:tcPr>
                <w:p>
                  <w:pPr>
                    <w:pStyle w:val="57"/>
                  </w:pPr>
                  <w:r>
                    <w:t>注：本次评价中污染物评价标准采用《土壤环境质量建设用地土壤污染风险管控标准（试行）》（GB36600-2018）</w:t>
                  </w:r>
                </w:p>
              </w:tc>
            </w:tr>
          </w:tbl>
          <w:p>
            <w:pPr>
              <w:adjustRightInd w:val="0"/>
              <w:snapToGrid w:val="0"/>
              <w:ind w:firstLine="422"/>
              <w:rPr>
                <w:b/>
                <w:bCs/>
                <w:sz w:val="21"/>
                <w:szCs w:val="21"/>
              </w:rPr>
            </w:pPr>
            <w:r>
              <w:rPr>
                <w:b/>
                <w:bCs/>
                <w:sz w:val="21"/>
                <w:szCs w:val="21"/>
              </w:rPr>
              <w:t>2.6.2土壤环境影响分析</w:t>
            </w:r>
          </w:p>
          <w:p>
            <w:pPr>
              <w:adjustRightInd w:val="0"/>
              <w:snapToGrid w:val="0"/>
              <w:ind w:firstLine="420"/>
              <w:rPr>
                <w:bCs/>
                <w:sz w:val="21"/>
                <w:szCs w:val="21"/>
              </w:rPr>
            </w:pPr>
            <w:r>
              <w:rPr>
                <w:bCs/>
                <w:sz w:val="21"/>
                <w:szCs w:val="21"/>
              </w:rPr>
              <w:t>正常工况下，钻井工程对土壤无影响，事故工程下，钻井过程对土壤可能产生不利影响的途径主要有以下几个方面：</w:t>
            </w:r>
          </w:p>
          <w:p>
            <w:pPr>
              <w:adjustRightInd w:val="0"/>
              <w:snapToGrid w:val="0"/>
              <w:ind w:firstLine="420"/>
              <w:rPr>
                <w:bCs/>
                <w:sz w:val="21"/>
                <w:szCs w:val="21"/>
              </w:rPr>
            </w:pPr>
            <w:r>
              <w:rPr>
                <w:rFonts w:hint="eastAsia" w:ascii="宋体" w:hAnsi="宋体" w:cs="宋体"/>
                <w:bCs/>
                <w:sz w:val="21"/>
                <w:szCs w:val="21"/>
              </w:rPr>
              <w:t>①</w:t>
            </w:r>
            <w:r>
              <w:rPr>
                <w:bCs/>
                <w:sz w:val="21"/>
                <w:szCs w:val="21"/>
              </w:rPr>
              <w:t>大气沉降影响分析</w:t>
            </w:r>
          </w:p>
          <w:p>
            <w:pPr>
              <w:adjustRightInd w:val="0"/>
              <w:snapToGrid w:val="0"/>
              <w:ind w:firstLine="420"/>
              <w:rPr>
                <w:bCs/>
                <w:sz w:val="21"/>
                <w:szCs w:val="21"/>
              </w:rPr>
            </w:pPr>
            <w:r>
              <w:rPr>
                <w:bCs/>
                <w:sz w:val="21"/>
                <w:szCs w:val="21"/>
              </w:rPr>
              <w:t>本工程仅施工期有少量废气产生，且施工时间短，大气污染物中不含重金属及粉尘，因此本次评价不考虑大气沉降对土壤的影响。</w:t>
            </w:r>
          </w:p>
          <w:p>
            <w:pPr>
              <w:adjustRightInd w:val="0"/>
              <w:snapToGrid w:val="0"/>
              <w:ind w:firstLine="420"/>
              <w:rPr>
                <w:bCs/>
                <w:sz w:val="21"/>
                <w:szCs w:val="21"/>
              </w:rPr>
            </w:pPr>
            <w:r>
              <w:rPr>
                <w:rFonts w:hint="eastAsia" w:ascii="宋体" w:hAnsi="宋体" w:cs="宋体"/>
                <w:bCs/>
                <w:sz w:val="21"/>
                <w:szCs w:val="21"/>
              </w:rPr>
              <w:t>②</w:t>
            </w:r>
            <w:r>
              <w:rPr>
                <w:bCs/>
                <w:sz w:val="21"/>
                <w:szCs w:val="21"/>
              </w:rPr>
              <w:t>垂直入渗影响分析</w:t>
            </w:r>
          </w:p>
          <w:p>
            <w:pPr>
              <w:adjustRightInd w:val="0"/>
              <w:snapToGrid w:val="0"/>
              <w:ind w:firstLine="420"/>
              <w:rPr>
                <w:bCs/>
                <w:sz w:val="21"/>
                <w:szCs w:val="21"/>
              </w:rPr>
            </w:pPr>
            <w:r>
              <w:rPr>
                <w:bCs/>
                <w:sz w:val="21"/>
                <w:szCs w:val="21"/>
              </w:rPr>
              <w:t>1）钻井过程中产生的废油由油桶收集，井场上用油罐对柴油进行存储。油桶或油罐区均进行重点防渗。在使用、储运过程中的环境风险主要来自于收集、储存设施自身缺陷、人员误操作、老化等造成的泄漏以及外部破坏产生的事故，包括人为破坏及洪水、地震等不可抗拒因素，造成废油或柴油泄漏垂直入渗污染土壤。</w:t>
            </w:r>
          </w:p>
          <w:p>
            <w:pPr>
              <w:adjustRightInd w:val="0"/>
              <w:snapToGrid w:val="0"/>
              <w:ind w:firstLine="420"/>
              <w:rPr>
                <w:bCs/>
                <w:sz w:val="21"/>
                <w:szCs w:val="21"/>
              </w:rPr>
            </w:pPr>
            <w:r>
              <w:rPr>
                <w:bCs/>
                <w:sz w:val="21"/>
                <w:szCs w:val="21"/>
              </w:rPr>
              <w:t>2）储液池和应急池防渗不当或失效，可能导致池体渗漏垮塌，废水通过垂直入渗污染土壤。</w:t>
            </w:r>
          </w:p>
          <w:p>
            <w:pPr>
              <w:adjustRightInd w:val="0"/>
              <w:snapToGrid w:val="0"/>
              <w:ind w:firstLine="420"/>
              <w:rPr>
                <w:bCs/>
                <w:sz w:val="21"/>
                <w:szCs w:val="21"/>
              </w:rPr>
            </w:pPr>
            <w:r>
              <w:rPr>
                <w:rFonts w:hint="eastAsia"/>
                <w:bCs/>
                <w:sz w:val="21"/>
                <w:szCs w:val="21"/>
              </w:rPr>
              <w:t>井场内各类罐体均采用防渗材料制成，且罐体均架空放置，罐体泄露可能性较小，且发生泄露可以及时被钻井队发现并进行处理；另外各类罐体存放地均进行重点防腐防渗处理，并在罐体下方设置托盘防止罐体泄露物料外泄，应急池用于井场内事故废水暂存点，一般应急池内无废水暂存，且应急池有效容积设计期间考虑有富余容积，且应急池池壁高于井场周边区域，有效控制泄露物料污染井场其他区域。因此拟建项目正常工况下不会对土壤造成影响。</w:t>
            </w:r>
          </w:p>
          <w:p>
            <w:pPr>
              <w:adjustRightInd w:val="0"/>
              <w:snapToGrid w:val="0"/>
              <w:ind w:firstLine="420"/>
              <w:rPr>
                <w:bCs/>
                <w:sz w:val="21"/>
                <w:szCs w:val="21"/>
              </w:rPr>
            </w:pPr>
            <w:r>
              <w:rPr>
                <w:rFonts w:hint="eastAsia"/>
                <w:bCs/>
                <w:sz w:val="21"/>
                <w:szCs w:val="21"/>
              </w:rPr>
              <w:t>非正常工况下应急池池底破裂，15天时间检修时发现，泄漏的废水会对土壤造成影响。因此，在施工过程中应注重应急池的施工质量，杜绝非正常工况的发生。</w:t>
            </w:r>
          </w:p>
          <w:p>
            <w:pPr>
              <w:adjustRightInd w:val="0"/>
              <w:snapToGrid w:val="0"/>
              <w:ind w:firstLine="422"/>
              <w:rPr>
                <w:b/>
                <w:bCs/>
                <w:sz w:val="21"/>
                <w:szCs w:val="21"/>
              </w:rPr>
            </w:pPr>
            <w:r>
              <w:rPr>
                <w:b/>
                <w:bCs/>
                <w:sz w:val="21"/>
                <w:szCs w:val="21"/>
              </w:rPr>
              <w:t>2.7环境风险影响</w:t>
            </w:r>
          </w:p>
          <w:p>
            <w:pPr>
              <w:adjustRightInd w:val="0"/>
              <w:snapToGrid w:val="0"/>
              <w:ind w:firstLine="422"/>
              <w:rPr>
                <w:b/>
                <w:bCs/>
                <w:sz w:val="21"/>
                <w:szCs w:val="21"/>
              </w:rPr>
            </w:pPr>
            <w:r>
              <w:rPr>
                <w:b/>
                <w:bCs/>
                <w:sz w:val="21"/>
                <w:szCs w:val="21"/>
              </w:rPr>
              <w:t>2.7.1环境风险物质识别</w:t>
            </w:r>
          </w:p>
          <w:p>
            <w:pPr>
              <w:adjustRightInd w:val="0"/>
              <w:snapToGrid w:val="0"/>
              <w:ind w:firstLine="420"/>
              <w:rPr>
                <w:bCs/>
                <w:sz w:val="21"/>
                <w:szCs w:val="21"/>
              </w:rPr>
            </w:pPr>
            <w:r>
              <w:rPr>
                <w:bCs/>
                <w:sz w:val="21"/>
                <w:szCs w:val="21"/>
              </w:rPr>
              <w:t>本工程若发生环境风险事故，主要为大气环境风险、地表水环境风险及地下水环境风险影响。</w:t>
            </w:r>
          </w:p>
          <w:p>
            <w:pPr>
              <w:adjustRightInd w:val="0"/>
              <w:snapToGrid w:val="0"/>
              <w:ind w:firstLine="480"/>
              <w:rPr>
                <w:kern w:val="0"/>
              </w:rPr>
            </w:pPr>
            <w:r>
              <w:rPr>
                <w:kern w:val="0"/>
              </w:rPr>
              <w:t>根据设计资料，柴油的储存量约为66.8t（4个20m</w:t>
            </w:r>
            <w:r>
              <w:rPr>
                <w:kern w:val="0"/>
                <w:vertAlign w:val="superscript"/>
              </w:rPr>
              <w:t>3</w:t>
            </w:r>
            <w:r>
              <w:rPr>
                <w:kern w:val="0"/>
              </w:rPr>
              <w:t>柴油罐，密度为0.835g/mL）；油基泥浆中主要成分为白油，</w:t>
            </w:r>
            <w:r>
              <w:rPr>
                <w:rFonts w:hint="eastAsia" w:hAnsi="宋体"/>
                <w:kern w:val="0"/>
              </w:rPr>
              <w:t>油基泥浆分批次运至井场储存于油基泥浆循环罐内，泵入井内使用，使用后的油基泥浆与岩屑形成油基岩屑。根据项目井深结构计算可知三开完钻时井筒容积约为1</w:t>
            </w:r>
            <w:r>
              <w:rPr>
                <w:rFonts w:hAnsi="宋体"/>
                <w:kern w:val="0"/>
              </w:rPr>
              <w:t>93m</w:t>
            </w:r>
            <w:r>
              <w:rPr>
                <w:rFonts w:hAnsi="宋体"/>
                <w:kern w:val="0"/>
                <w:vertAlign w:val="superscript"/>
              </w:rPr>
              <w:t>3</w:t>
            </w:r>
            <w:r>
              <w:rPr>
                <w:rFonts w:hAnsi="宋体"/>
                <w:kern w:val="0"/>
              </w:rPr>
              <w:t>，循环管内容积泥浆储存量约为</w:t>
            </w:r>
            <w:r>
              <w:rPr>
                <w:rFonts w:hint="eastAsia" w:hAnsi="宋体"/>
                <w:kern w:val="0"/>
              </w:rPr>
              <w:t>2</w:t>
            </w:r>
            <w:r>
              <w:rPr>
                <w:rFonts w:hAnsi="宋体"/>
                <w:kern w:val="0"/>
              </w:rPr>
              <w:t>00m</w:t>
            </w:r>
            <w:r>
              <w:rPr>
                <w:rFonts w:hAnsi="宋体"/>
                <w:kern w:val="0"/>
                <w:vertAlign w:val="superscript"/>
              </w:rPr>
              <w:t>3</w:t>
            </w:r>
            <w:r>
              <w:rPr>
                <w:rFonts w:hAnsi="宋体"/>
                <w:kern w:val="0"/>
              </w:rPr>
              <w:t>，则</w:t>
            </w:r>
            <w:r>
              <w:rPr>
                <w:rFonts w:hint="eastAsia" w:hAnsi="宋体"/>
                <w:kern w:val="0"/>
              </w:rPr>
              <w:t>井场内油基泥浆最大存在量约</w:t>
            </w:r>
            <w:r>
              <w:rPr>
                <w:rFonts w:hAnsi="宋体"/>
                <w:kern w:val="0"/>
              </w:rPr>
              <w:t>393m</w:t>
            </w:r>
            <w:r>
              <w:rPr>
                <w:rFonts w:hAnsi="宋体"/>
                <w:kern w:val="0"/>
                <w:vertAlign w:val="superscript"/>
              </w:rPr>
              <w:t>3</w:t>
            </w:r>
            <w:r>
              <w:rPr>
                <w:rFonts w:hint="eastAsia" w:hAnsi="宋体"/>
                <w:kern w:val="0"/>
              </w:rPr>
              <w:t>，</w:t>
            </w:r>
            <w:r>
              <w:rPr>
                <w:rFonts w:hint="eastAsia"/>
                <w:bCs/>
              </w:rPr>
              <w:t>其中主要风险物质为白油（约占</w:t>
            </w:r>
            <w:r>
              <w:rPr>
                <w:bCs/>
              </w:rPr>
              <w:t>70%</w:t>
            </w:r>
            <w:r>
              <w:rPr>
                <w:rFonts w:hint="eastAsia"/>
                <w:bCs/>
              </w:rPr>
              <w:t>），查阅相关资料，白油相对密度0.860～0.905(25/4℃)，本次按最不利影响考虑，取密度为0.905</w:t>
            </w:r>
            <w:r>
              <w:rPr>
                <w:bCs/>
              </w:rPr>
              <w:t>g/cm</w:t>
            </w:r>
            <w:r>
              <w:rPr>
                <w:bCs/>
                <w:vertAlign w:val="superscript"/>
              </w:rPr>
              <w:t>3</w:t>
            </w:r>
            <w:r>
              <w:rPr>
                <w:rFonts w:hint="eastAsia"/>
                <w:bCs/>
              </w:rPr>
              <w:t>，因此油基泥浆中</w:t>
            </w:r>
            <w:r>
              <w:rPr>
                <w:rFonts w:hint="eastAsia" w:hAnsi="宋体"/>
                <w:kern w:val="0"/>
              </w:rPr>
              <w:t>白油最大储存量为</w:t>
            </w:r>
            <w:r>
              <w:rPr>
                <w:rFonts w:hAnsi="宋体"/>
                <w:kern w:val="0"/>
              </w:rPr>
              <w:t>249t</w:t>
            </w:r>
            <w:r>
              <w:rPr>
                <w:rFonts w:hint="eastAsia" w:hAnsi="宋体"/>
                <w:kern w:val="0"/>
              </w:rPr>
              <w:t>；钻井过程中油基岩屑产生量约</w:t>
            </w:r>
            <w:r>
              <w:rPr>
                <w:bCs/>
              </w:rPr>
              <w:t>963.8</w:t>
            </w:r>
            <w:r>
              <w:rPr>
                <w:rFonts w:hint="eastAsia" w:hAnsi="宋体"/>
                <w:kern w:val="0"/>
              </w:rPr>
              <w:t>t，油基岩屑</w:t>
            </w:r>
            <w:r>
              <w:rPr>
                <w:rFonts w:hAnsi="宋体"/>
                <w:kern w:val="0"/>
              </w:rPr>
              <w:t>在钻井过程中随钻随处置，油基岩屑最大储存量5</w:t>
            </w:r>
            <w:r>
              <w:rPr>
                <w:rFonts w:hint="eastAsia" w:hAnsi="宋体"/>
                <w:kern w:val="0"/>
              </w:rPr>
              <w:t>0t，其中废油含量为5%~10%，故废油基岩屑中废油最大储存量为</w:t>
            </w:r>
            <w:r>
              <w:rPr>
                <w:rFonts w:hAnsi="宋体"/>
                <w:kern w:val="0"/>
              </w:rPr>
              <w:t>5</w:t>
            </w:r>
            <w:r>
              <w:rPr>
                <w:rFonts w:hint="eastAsia" w:hAnsi="宋体"/>
                <w:kern w:val="0"/>
              </w:rPr>
              <w:t>t；废润滑油最大储存量为0.</w:t>
            </w:r>
            <w:r>
              <w:rPr>
                <w:rFonts w:hAnsi="宋体"/>
                <w:kern w:val="0"/>
              </w:rPr>
              <w:t>5</w:t>
            </w:r>
            <w:r>
              <w:rPr>
                <w:rFonts w:hint="eastAsia" w:hAnsi="宋体"/>
                <w:kern w:val="0"/>
              </w:rPr>
              <w:t>t</w:t>
            </w:r>
            <w:r>
              <w:rPr>
                <w:rFonts w:hAnsi="宋体"/>
                <w:kern w:val="0"/>
              </w:rPr>
              <w:t>。</w:t>
            </w:r>
          </w:p>
          <w:p>
            <w:pPr>
              <w:adjustRightInd w:val="0"/>
              <w:snapToGrid w:val="0"/>
              <w:ind w:firstLine="480"/>
              <w:rPr>
                <w:bCs/>
                <w:sz w:val="21"/>
                <w:szCs w:val="21"/>
                <w:highlight w:val="yellow"/>
              </w:rPr>
            </w:pPr>
            <w:r>
              <w:rPr>
                <w:rFonts w:hint="eastAsia"/>
                <w:kern w:val="0"/>
              </w:rPr>
              <w:t>平安1井原油</w:t>
            </w:r>
            <w:r>
              <w:rPr>
                <w:rFonts w:hint="eastAsia" w:hAnsi="宋体"/>
              </w:rPr>
              <w:t>无阻流量为3</w:t>
            </w:r>
            <w:r>
              <w:rPr>
                <w:rFonts w:hAnsi="宋体"/>
              </w:rPr>
              <w:t>38.4t/d，天然气无阻流量为</w:t>
            </w:r>
            <w:r>
              <w:t>34.35×10</w:t>
            </w:r>
            <w:r>
              <w:rPr>
                <w:vertAlign w:val="superscript"/>
              </w:rPr>
              <w:t>4</w:t>
            </w:r>
            <w:r>
              <w:t>m</w:t>
            </w:r>
            <w:r>
              <w:rPr>
                <w:vertAlign w:val="superscript"/>
              </w:rPr>
              <w:t>3</w:t>
            </w:r>
            <w:r>
              <w:t>/d</w:t>
            </w:r>
            <w:r>
              <w:rPr>
                <w:rFonts w:hint="eastAsia" w:hAnsi="宋体"/>
              </w:rPr>
              <w:t>，</w:t>
            </w:r>
            <w:r>
              <w:rPr>
                <w:rFonts w:hint="eastAsia"/>
                <w:kern w:val="0"/>
              </w:rPr>
              <w:t>拟建项目以15min井喷过程泄漏的油气资源量估算，经计算15min井喷过程中危险物质泄漏量分别为：原油</w:t>
            </w:r>
            <w:r>
              <w:rPr>
                <w:kern w:val="0"/>
              </w:rPr>
              <w:t>3.5t，</w:t>
            </w:r>
            <w:r>
              <w:rPr>
                <w:rFonts w:hint="eastAsia"/>
                <w:kern w:val="0"/>
              </w:rPr>
              <w:t>甲烷</w:t>
            </w:r>
            <w:r>
              <w:rPr>
                <w:kern w:val="0"/>
              </w:rPr>
              <w:t>2.0</w:t>
            </w:r>
            <w:r>
              <w:rPr>
                <w:rFonts w:hint="eastAsia"/>
                <w:kern w:val="0"/>
              </w:rPr>
              <w:t>t。</w:t>
            </w:r>
          </w:p>
          <w:p>
            <w:pPr>
              <w:ind w:firstLine="0" w:firstLineChars="0"/>
              <w:jc w:val="center"/>
              <w:rPr>
                <w:b/>
                <w:bCs/>
                <w:kern w:val="0"/>
                <w:sz w:val="21"/>
                <w:szCs w:val="21"/>
              </w:rPr>
            </w:pPr>
            <w:r>
              <w:rPr>
                <w:b/>
                <w:bCs/>
                <w:kern w:val="0"/>
                <w:sz w:val="21"/>
                <w:szCs w:val="21"/>
              </w:rPr>
              <w:t>表4-22  危险物质数量与临界值比值计算表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838"/>
              <w:gridCol w:w="2570"/>
              <w:gridCol w:w="1993"/>
              <w:gridCol w:w="19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5"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rPr>
                      <w:b/>
                    </w:rPr>
                  </w:pPr>
                  <w:r>
                    <w:rPr>
                      <w:b/>
                    </w:rPr>
                    <w:t>危险物质名称</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rPr>
                      <w:b/>
                    </w:rPr>
                  </w:pPr>
                  <w:r>
                    <w:rPr>
                      <w:b/>
                    </w:rPr>
                    <w:t>储存量（泄漏量）/t（qn）</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rPr>
                      <w:b/>
                    </w:rPr>
                  </w:pPr>
                  <w:r>
                    <w:rPr>
                      <w:b/>
                    </w:rPr>
                    <w:t>临界量/t（Qn）</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rPr>
                      <w:b/>
                    </w:rPr>
                  </w:pPr>
                  <w:r>
                    <w:rPr>
                      <w:b/>
                    </w:rPr>
                    <w:t>qn/Qn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5"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油基泥浆中白油</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249.0</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2500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0.0996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油基岩屑中白油</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5</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2500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0.0020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废油</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0.5</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2500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柴油</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66.8</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2500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0.0267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井喷原油</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3.5</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2500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0.0014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井喷天然气</w:t>
                  </w:r>
                </w:p>
              </w:tc>
              <w:tc>
                <w:tcPr>
                  <w:tcW w:w="1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2.0</w:t>
                  </w:r>
                </w:p>
              </w:tc>
              <w:tc>
                <w:tcPr>
                  <w:tcW w:w="119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1</w:t>
                  </w:r>
                  <w:r>
                    <w:t>0</w:t>
                  </w:r>
                </w:p>
              </w:tc>
              <w:tc>
                <w:tcPr>
                  <w:tcW w:w="114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rPr>
                      <w:rFonts w:hint="eastAsia"/>
                    </w:rPr>
                    <w:t>0.2000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jc w:val="center"/>
              </w:trPr>
              <w:tc>
                <w:tcPr>
                  <w:tcW w:w="110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项目Q值∑</w:t>
                  </w:r>
                </w:p>
              </w:tc>
              <w:tc>
                <w:tcPr>
                  <w:tcW w:w="3894" w:type="pct"/>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57"/>
                  </w:pPr>
                  <w:r>
                    <w:t>0.3299</w:t>
                  </w:r>
                </w:p>
              </w:tc>
            </w:tr>
          </w:tbl>
          <w:p>
            <w:pPr>
              <w:ind w:firstLine="420"/>
              <w:rPr>
                <w:sz w:val="21"/>
                <w:szCs w:val="21"/>
              </w:rPr>
            </w:pPr>
            <w:r>
              <w:rPr>
                <w:sz w:val="21"/>
                <w:szCs w:val="21"/>
              </w:rPr>
              <w:t>根据《建设项目环境风险评价技术导则》（HJ/T169-2018）附录C可知：本工程危险物质数量与临界值比值Q=0.3299＜1，当Q＜1时，该项目环境风险潜势为Ⅰ。</w:t>
            </w:r>
          </w:p>
          <w:p>
            <w:pPr>
              <w:adjustRightInd w:val="0"/>
              <w:snapToGrid w:val="0"/>
              <w:ind w:firstLine="422"/>
              <w:rPr>
                <w:b/>
                <w:bCs/>
                <w:sz w:val="21"/>
                <w:szCs w:val="21"/>
              </w:rPr>
            </w:pPr>
            <w:r>
              <w:rPr>
                <w:b/>
                <w:bCs/>
                <w:sz w:val="21"/>
                <w:szCs w:val="21"/>
              </w:rPr>
              <w:t>2.7.2风险环境影响分析</w:t>
            </w:r>
          </w:p>
          <w:p>
            <w:pPr>
              <w:adjustRightInd w:val="0"/>
              <w:snapToGrid w:val="0"/>
              <w:ind w:firstLine="420"/>
              <w:rPr>
                <w:bCs/>
                <w:sz w:val="21"/>
                <w:szCs w:val="21"/>
              </w:rPr>
            </w:pPr>
            <w:r>
              <w:rPr>
                <w:bCs/>
                <w:sz w:val="21"/>
                <w:szCs w:val="21"/>
              </w:rPr>
              <w:t>（1）井喷失控环境影响</w:t>
            </w:r>
          </w:p>
          <w:p>
            <w:pPr>
              <w:ind w:firstLine="420"/>
              <w:rPr>
                <w:sz w:val="21"/>
                <w:szCs w:val="21"/>
              </w:rPr>
            </w:pPr>
            <w:r>
              <w:rPr>
                <w:sz w:val="21"/>
                <w:szCs w:val="21"/>
              </w:rPr>
              <w:t>钻井过程中遇到地下气、水层时，气或水窜进井内的泥浆里，加快了泥浆流动和循环的速度，如果井底压力小于地层压力，地层流体将进入井筒并推动泥浆外溢，即发生溢流。此时如果对地下气压平衡控制不当，不能及时控制溢流，会造成原油、天然气、水或其混合物沿着环形空间迅速喷到地面，即发生井喷。井喷后会有大量的</w:t>
            </w:r>
            <w:r>
              <w:rPr>
                <w:rFonts w:hint="eastAsia"/>
                <w:sz w:val="21"/>
                <w:szCs w:val="21"/>
              </w:rPr>
              <w:t>天然气伴生气</w:t>
            </w:r>
            <w:r>
              <w:rPr>
                <w:sz w:val="21"/>
                <w:szCs w:val="21"/>
              </w:rPr>
              <w:t>逸散到空气中，对周围的环境空气造成一定的影响</w:t>
            </w:r>
            <w:r>
              <w:rPr>
                <w:rFonts w:hint="eastAsia"/>
                <w:sz w:val="21"/>
                <w:szCs w:val="21"/>
              </w:rPr>
              <w:t>，</w:t>
            </w:r>
            <w:r>
              <w:rPr>
                <w:sz w:val="21"/>
                <w:szCs w:val="21"/>
              </w:rPr>
              <w:t>井喷后从井筒内油基泥浆随及原油喷出并散落地地面</w:t>
            </w:r>
            <w:r>
              <w:rPr>
                <w:rFonts w:hint="eastAsia"/>
                <w:sz w:val="21"/>
                <w:szCs w:val="21"/>
              </w:rPr>
              <w:t>，</w:t>
            </w:r>
            <w:r>
              <w:rPr>
                <w:sz w:val="21"/>
                <w:szCs w:val="21"/>
              </w:rPr>
              <w:t>可导致项目所在地周边耕地及地下水受石油类污染严重</w:t>
            </w:r>
            <w:r>
              <w:rPr>
                <w:rFonts w:hint="eastAsia"/>
                <w:sz w:val="21"/>
                <w:szCs w:val="21"/>
              </w:rPr>
              <w:t>。流体在地面流淌过程中可能进入项目区东北侧高墩子河，对高墩子河水质产生不利影响。</w:t>
            </w:r>
          </w:p>
          <w:p>
            <w:pPr>
              <w:ind w:firstLine="420"/>
              <w:rPr>
                <w:sz w:val="21"/>
                <w:szCs w:val="21"/>
              </w:rPr>
            </w:pPr>
            <w:r>
              <w:rPr>
                <w:sz w:val="21"/>
                <w:szCs w:val="21"/>
              </w:rPr>
              <w:t>导致井喷失控的主要因素涉及以下几个方面：</w:t>
            </w:r>
          </w:p>
          <w:p>
            <w:pPr>
              <w:ind w:firstLine="420"/>
              <w:rPr>
                <w:sz w:val="21"/>
                <w:szCs w:val="21"/>
              </w:rPr>
            </w:pPr>
            <w:r>
              <w:rPr>
                <w:rFonts w:hint="eastAsia" w:ascii="宋体" w:hAnsi="宋体" w:cs="宋体"/>
                <w:sz w:val="21"/>
                <w:szCs w:val="21"/>
              </w:rPr>
              <w:t>①</w:t>
            </w:r>
            <w:r>
              <w:rPr>
                <w:sz w:val="21"/>
                <w:szCs w:val="21"/>
              </w:rPr>
              <w:t>地层压力：当钻井钻至高压气层期间，由于对地层压力预测不准，出现异常超压情况，如果操作处置失当，将导致井口装置和井控汇管失控发生井喷失控事故。</w:t>
            </w:r>
          </w:p>
          <w:p>
            <w:pPr>
              <w:ind w:firstLine="420"/>
              <w:rPr>
                <w:sz w:val="21"/>
                <w:szCs w:val="21"/>
              </w:rPr>
            </w:pPr>
            <w:r>
              <w:rPr>
                <w:rFonts w:hint="eastAsia" w:ascii="宋体" w:hAnsi="宋体" w:cs="宋体"/>
                <w:sz w:val="21"/>
                <w:szCs w:val="21"/>
              </w:rPr>
              <w:t>②</w:t>
            </w:r>
            <w:r>
              <w:rPr>
                <w:sz w:val="21"/>
                <w:szCs w:val="21"/>
              </w:rPr>
              <w:t>遇山洪、地震、滑坡等自然灾害，导致井口所在地地层位移甚至塌陷损坏井控装置，导致井喷失控事故。这类事故目前还未见报道。</w:t>
            </w:r>
          </w:p>
          <w:p>
            <w:pPr>
              <w:ind w:firstLine="420"/>
              <w:rPr>
                <w:sz w:val="21"/>
                <w:szCs w:val="21"/>
              </w:rPr>
            </w:pPr>
            <w:r>
              <w:rPr>
                <w:rFonts w:hint="eastAsia" w:ascii="宋体" w:hAnsi="宋体" w:cs="宋体"/>
                <w:sz w:val="21"/>
                <w:szCs w:val="21"/>
              </w:rPr>
              <w:t>③</w:t>
            </w:r>
            <w:r>
              <w:rPr>
                <w:sz w:val="21"/>
                <w:szCs w:val="21"/>
              </w:rPr>
              <w:t>压井泥浆密度偏低，不能满足压井要求。</w:t>
            </w:r>
          </w:p>
          <w:p>
            <w:pPr>
              <w:adjustRightInd w:val="0"/>
              <w:snapToGrid w:val="0"/>
              <w:ind w:firstLine="420"/>
              <w:rPr>
                <w:bCs/>
                <w:sz w:val="21"/>
                <w:szCs w:val="21"/>
              </w:rPr>
            </w:pPr>
            <w:r>
              <w:rPr>
                <w:rFonts w:hint="eastAsia" w:ascii="宋体" w:hAnsi="宋体" w:cs="宋体"/>
                <w:sz w:val="21"/>
                <w:szCs w:val="21"/>
              </w:rPr>
              <w:t>④</w:t>
            </w:r>
            <w:r>
              <w:rPr>
                <w:sz w:val="21"/>
                <w:szCs w:val="21"/>
              </w:rPr>
              <w:t>操作因素：当出现井喷前兆，如泥浆溢流、泥浆井涌等现象，作业人员未及时发现或采取有效的控制措施，从而可能导致井喷。</w:t>
            </w:r>
          </w:p>
          <w:p>
            <w:pPr>
              <w:adjustRightInd w:val="0"/>
              <w:snapToGrid w:val="0"/>
              <w:ind w:firstLine="420"/>
              <w:rPr>
                <w:bCs/>
                <w:sz w:val="21"/>
                <w:szCs w:val="21"/>
              </w:rPr>
            </w:pPr>
            <w:r>
              <w:rPr>
                <w:bCs/>
                <w:sz w:val="21"/>
                <w:szCs w:val="21"/>
              </w:rPr>
              <w:t>（2）井漏风险</w:t>
            </w:r>
          </w:p>
          <w:p>
            <w:pPr>
              <w:adjustRightInd w:val="0"/>
              <w:snapToGrid w:val="0"/>
              <w:ind w:firstLine="420"/>
              <w:rPr>
                <w:sz w:val="21"/>
                <w:szCs w:val="21"/>
              </w:rPr>
            </w:pPr>
            <w:r>
              <w:rPr>
                <w:sz w:val="21"/>
                <w:szCs w:val="21"/>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pPr>
              <w:adjustRightInd w:val="0"/>
              <w:snapToGrid w:val="0"/>
              <w:ind w:firstLine="420"/>
              <w:rPr>
                <w:bCs/>
                <w:sz w:val="21"/>
                <w:szCs w:val="21"/>
              </w:rPr>
            </w:pPr>
            <w:r>
              <w:rPr>
                <w:bCs/>
                <w:sz w:val="21"/>
                <w:szCs w:val="21"/>
              </w:rPr>
              <w:t>（3）套管破裂页岩气串层泄漏进入地表环境风险影响</w:t>
            </w:r>
          </w:p>
          <w:p>
            <w:pPr>
              <w:adjustRightInd w:val="0"/>
              <w:snapToGrid w:val="0"/>
              <w:ind w:firstLine="420"/>
              <w:rPr>
                <w:bCs/>
                <w:sz w:val="21"/>
                <w:szCs w:val="21"/>
              </w:rPr>
            </w:pPr>
            <w:r>
              <w:rPr>
                <w:bCs/>
                <w:sz w:val="21"/>
                <w:szCs w:val="21"/>
              </w:rPr>
              <w:t>在施工中，出现套管破裂的概率很小。由于地下岩层的阻隔，事故发生后串层泄漏进入地表的页岩气量、压力、速率比井喷量小很多，影响程度比井喷小很多。</w:t>
            </w:r>
          </w:p>
          <w:p>
            <w:pPr>
              <w:adjustRightInd w:val="0"/>
              <w:snapToGrid w:val="0"/>
              <w:ind w:firstLine="420"/>
              <w:rPr>
                <w:bCs/>
                <w:sz w:val="21"/>
                <w:szCs w:val="21"/>
              </w:rPr>
            </w:pPr>
            <w:r>
              <w:rPr>
                <w:bCs/>
                <w:sz w:val="21"/>
                <w:szCs w:val="21"/>
              </w:rPr>
              <w:t>（4）废水、油料、废油泄露影响</w:t>
            </w:r>
          </w:p>
          <w:p>
            <w:pPr>
              <w:adjustRightInd w:val="0"/>
              <w:snapToGrid w:val="0"/>
              <w:ind w:firstLine="420"/>
              <w:rPr>
                <w:bCs/>
                <w:sz w:val="21"/>
                <w:szCs w:val="21"/>
              </w:rPr>
            </w:pPr>
            <w:r>
              <w:rPr>
                <w:bCs/>
                <w:sz w:val="21"/>
                <w:szCs w:val="21"/>
              </w:rPr>
              <w:t>在使用、储运过程中的环境风险主要来自于收集、储存设施自身缺陷、人员误操作、老化等造成的泄漏以及外部破坏产生的事故包括人为破坏及洪水、地震等不可抗拒因素。对地表水的影响一般有两种途径，一种是泄漏后直接进入水体；另一种是泄漏于地表，由降雨形成的地表径流将受污染的土壤一起带入水体造成污染。由于项目位于农业生态环境中，主要为水田和旱地；项目附近有沟渠等，泄漏的物料可能随着降雨进入地表水。</w:t>
            </w:r>
          </w:p>
          <w:p>
            <w:pPr>
              <w:adjustRightInd w:val="0"/>
              <w:snapToGrid w:val="0"/>
              <w:ind w:firstLine="422"/>
              <w:rPr>
                <w:bCs/>
                <w:sz w:val="21"/>
                <w:szCs w:val="21"/>
              </w:rPr>
            </w:pPr>
            <w:r>
              <w:rPr>
                <w:b/>
                <w:bCs/>
                <w:sz w:val="21"/>
                <w:szCs w:val="21"/>
              </w:rPr>
              <w:t>项目环境风险影响分析详见《</w:t>
            </w:r>
            <w:r>
              <w:rPr>
                <w:rFonts w:hint="eastAsia"/>
                <w:b/>
                <w:bCs/>
                <w:sz w:val="21"/>
                <w:szCs w:val="21"/>
              </w:rPr>
              <w:t>平安7井钻井</w:t>
            </w:r>
            <w:r>
              <w:rPr>
                <w:b/>
                <w:bCs/>
                <w:sz w:val="21"/>
                <w:szCs w:val="21"/>
              </w:rPr>
              <w:t>工程环境风险影响评价专题报告》。</w:t>
            </w:r>
          </w:p>
          <w:p>
            <w:pPr>
              <w:adjustRightInd w:val="0"/>
              <w:snapToGrid w:val="0"/>
              <w:ind w:firstLine="422"/>
              <w:rPr>
                <w:b/>
                <w:bCs/>
                <w:sz w:val="21"/>
                <w:szCs w:val="21"/>
              </w:rPr>
            </w:pPr>
            <w:r>
              <w:rPr>
                <w:b/>
                <w:bCs/>
                <w:sz w:val="21"/>
                <w:szCs w:val="21"/>
              </w:rPr>
              <w:t>2.8生态影响分析</w:t>
            </w:r>
          </w:p>
          <w:p>
            <w:pPr>
              <w:adjustRightInd w:val="0"/>
              <w:snapToGrid w:val="0"/>
              <w:ind w:firstLine="420"/>
              <w:rPr>
                <w:bCs/>
                <w:sz w:val="21"/>
                <w:szCs w:val="21"/>
              </w:rPr>
            </w:pPr>
            <w:r>
              <w:rPr>
                <w:bCs/>
                <w:sz w:val="21"/>
                <w:szCs w:val="21"/>
              </w:rPr>
              <w:t>钻井测试放喷对生态环境的影响主要是放喷产生的热辐射对生态的影响。</w:t>
            </w:r>
          </w:p>
          <w:p>
            <w:pPr>
              <w:adjustRightInd w:val="0"/>
              <w:snapToGrid w:val="0"/>
              <w:ind w:firstLine="420"/>
              <w:rPr>
                <w:b/>
                <w:bCs/>
                <w:sz w:val="21"/>
                <w:szCs w:val="21"/>
              </w:rPr>
            </w:pPr>
            <w:r>
              <w:rPr>
                <w:bCs/>
                <w:sz w:val="21"/>
                <w:szCs w:val="21"/>
              </w:rPr>
              <w:t>钻井过程中需要进行测试放喷。测试放喷是指在钻井后期为测定探井的</w:t>
            </w:r>
            <w:r>
              <w:rPr>
                <w:rFonts w:hint="eastAsia"/>
                <w:bCs/>
                <w:sz w:val="21"/>
                <w:szCs w:val="21"/>
              </w:rPr>
              <w:t>目的层</w:t>
            </w:r>
            <w:r>
              <w:rPr>
                <w:bCs/>
                <w:sz w:val="21"/>
                <w:szCs w:val="21"/>
              </w:rPr>
              <w:t>资源量而人为进行的测试放喷。</w:t>
            </w:r>
            <w:r>
              <w:rPr>
                <w:rFonts w:hint="eastAsia"/>
                <w:bCs/>
                <w:sz w:val="21"/>
                <w:szCs w:val="21"/>
              </w:rPr>
              <w:t>放喷</w:t>
            </w:r>
            <w:r>
              <w:rPr>
                <w:bCs/>
                <w:sz w:val="21"/>
                <w:szCs w:val="21"/>
              </w:rPr>
              <w:t>天然气燃烧产生的热辐射影响，可能灼伤放喷点周围20~50m范围的农作物。测试放喷在专门的燃烧池中点火放喷，燃烧池是由三面3m高的砖墙组成，采用燃烧池放喷，可以有效减小放喷燃烧产生的热辐射对测试区周围的土壤和植被的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 w:type="pct"/>
            <w:vAlign w:val="center"/>
          </w:tcPr>
          <w:p>
            <w:pPr>
              <w:pStyle w:val="20"/>
              <w:adjustRightInd w:val="0"/>
              <w:snapToGrid w:val="0"/>
              <w:spacing w:before="0" w:beforeAutospacing="0" w:after="0" w:afterAutospacing="0" w:line="240" w:lineRule="auto"/>
              <w:ind w:firstLine="0" w:firstLineChars="0"/>
              <w:jc w:val="center"/>
              <w:rPr>
                <w:rFonts w:cs="宋体"/>
                <w:bCs/>
                <w:snapToGrid w:val="0"/>
                <w:sz w:val="21"/>
                <w:szCs w:val="21"/>
              </w:rPr>
            </w:pPr>
            <w:r>
              <w:rPr>
                <w:rFonts w:hint="eastAsia" w:cs="宋体"/>
                <w:bCs/>
                <w:snapToGrid w:val="0"/>
                <w:sz w:val="21"/>
                <w:szCs w:val="21"/>
              </w:rPr>
              <w:t>运营期生态环境影响分析</w:t>
            </w:r>
          </w:p>
        </w:tc>
        <w:tc>
          <w:tcPr>
            <w:tcW w:w="4653" w:type="pct"/>
            <w:vAlign w:val="center"/>
          </w:tcPr>
          <w:p>
            <w:pPr>
              <w:adjustRightInd w:val="0"/>
              <w:snapToGrid w:val="0"/>
              <w:ind w:firstLine="420"/>
              <w:rPr>
                <w:bCs/>
                <w:snapToGrid w:val="0"/>
                <w:kern w:val="0"/>
                <w:sz w:val="21"/>
                <w:szCs w:val="21"/>
              </w:rPr>
            </w:pPr>
            <w:r>
              <w:rPr>
                <w:rFonts w:hint="eastAsia"/>
                <w:bCs/>
                <w:snapToGrid w:val="0"/>
                <w:kern w:val="0"/>
                <w:sz w:val="21"/>
                <w:szCs w:val="21"/>
              </w:rPr>
              <w:t>拟建项目为页岩油勘探项目，</w:t>
            </w:r>
            <w:r>
              <w:rPr>
                <w:rFonts w:hint="eastAsia"/>
                <w:snapToGrid w:val="0"/>
                <w:kern w:val="0"/>
                <w:sz w:val="21"/>
                <w:szCs w:val="21"/>
              </w:rPr>
              <w:t>项目勘探结束后若具备商业开采价值，建设单位将实施“探转采”并建设地面站场及管道集输工程等内容，届时需另行环评。</w:t>
            </w:r>
            <w:r>
              <w:rPr>
                <w:rFonts w:hint="eastAsia"/>
                <w:bCs/>
                <w:snapToGrid w:val="0"/>
                <w:kern w:val="0"/>
                <w:sz w:val="21"/>
                <w:szCs w:val="21"/>
              </w:rPr>
              <w:t>勘探结束后若不具备商业开采价值，将井口采用封井器封井，施工结束，污染源也随之消失，并完成废水、固废等污染物治理及临时占地复绿复垦等生态恢复措施。因此，拟建项目无运营期生态环境影响分析。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 w:type="pct"/>
            <w:vAlign w:val="center"/>
          </w:tcPr>
          <w:p>
            <w:pPr>
              <w:pStyle w:val="20"/>
              <w:adjustRightInd w:val="0"/>
              <w:snapToGrid w:val="0"/>
              <w:spacing w:before="0" w:beforeAutospacing="0" w:after="0" w:afterAutospacing="0"/>
              <w:ind w:firstLine="0" w:firstLineChars="0"/>
              <w:rPr>
                <w:rFonts w:ascii="Times New Roman" w:hAnsi="Times New Roman"/>
                <w:bCs/>
                <w:kern w:val="2"/>
                <w:sz w:val="21"/>
                <w:szCs w:val="21"/>
              </w:rPr>
            </w:pPr>
            <w:r>
              <w:rPr>
                <w:rFonts w:ascii="Times New Roman" w:hAnsi="Times New Roman"/>
                <w:bCs/>
                <w:kern w:val="2"/>
                <w:sz w:val="21"/>
                <w:szCs w:val="21"/>
              </w:rPr>
              <w:t>选址选线环境合理性分析</w:t>
            </w:r>
          </w:p>
        </w:tc>
        <w:tc>
          <w:tcPr>
            <w:tcW w:w="4653" w:type="pct"/>
            <w:vAlign w:val="center"/>
          </w:tcPr>
          <w:p>
            <w:pPr>
              <w:adjustRightInd w:val="0"/>
              <w:snapToGrid w:val="0"/>
              <w:ind w:firstLine="422"/>
              <w:rPr>
                <w:b/>
                <w:bCs/>
                <w:sz w:val="21"/>
                <w:szCs w:val="21"/>
              </w:rPr>
            </w:pPr>
            <w:r>
              <w:rPr>
                <w:b/>
                <w:bCs/>
                <w:sz w:val="21"/>
                <w:szCs w:val="21"/>
              </w:rPr>
              <w:t>1、选址合理性分析</w:t>
            </w:r>
          </w:p>
          <w:p>
            <w:pPr>
              <w:adjustRightInd w:val="0"/>
              <w:snapToGrid w:val="0"/>
              <w:ind w:firstLine="422"/>
              <w:rPr>
                <w:b/>
                <w:bCs/>
                <w:sz w:val="21"/>
                <w:szCs w:val="21"/>
              </w:rPr>
            </w:pPr>
            <w:r>
              <w:rPr>
                <w:b/>
                <w:bCs/>
                <w:sz w:val="21"/>
                <w:szCs w:val="21"/>
              </w:rPr>
              <w:t>1.1井位选址合理性</w:t>
            </w:r>
          </w:p>
          <w:p>
            <w:pPr>
              <w:adjustRightInd w:val="0"/>
              <w:snapToGrid w:val="0"/>
              <w:ind w:firstLine="420"/>
              <w:rPr>
                <w:bCs/>
                <w:sz w:val="21"/>
                <w:szCs w:val="21"/>
              </w:rPr>
            </w:pPr>
            <w:r>
              <w:rPr>
                <w:rFonts w:hint="eastAsia"/>
                <w:bCs/>
                <w:sz w:val="21"/>
                <w:szCs w:val="21"/>
              </w:rPr>
              <w:t>本工程为页岩油兼顾致密气的勘探项目，本次评价按《钻前工程及井场布置技术要求SY/T5466-2013》中相关规定执行。</w:t>
            </w:r>
          </w:p>
          <w:p>
            <w:pPr>
              <w:adjustRightInd w:val="0"/>
              <w:snapToGrid w:val="0"/>
              <w:ind w:firstLine="420"/>
              <w:rPr>
                <w:bCs/>
                <w:sz w:val="21"/>
                <w:szCs w:val="21"/>
              </w:rPr>
            </w:pPr>
            <w:r>
              <w:rPr>
                <w:sz w:val="21"/>
                <w:szCs w:val="21"/>
              </w:rPr>
              <w:t>按照《钻前工程及井场布置技术要求SY/T5466-2013》中“油气井井口距高压线及其他永久性设施不小于75m，距民宅不小于100m，距铁路、高速公路不小于200m，距学校、医院和大型油库等人口密集性、高危性场所不小于500m，在地下矿产采掘区钻井，井筒与采掘坑道、矿井坑道之间的距离不小于100m”</w:t>
            </w:r>
            <w:r>
              <w:rPr>
                <w:bCs/>
                <w:sz w:val="21"/>
                <w:szCs w:val="21"/>
              </w:rPr>
              <w:t>。</w:t>
            </w:r>
          </w:p>
          <w:p>
            <w:pPr>
              <w:ind w:firstLine="420"/>
              <w:rPr>
                <w:rFonts w:hAnsi="宋体"/>
                <w:bCs/>
                <w:snapToGrid w:val="0"/>
                <w:kern w:val="0"/>
                <w:sz w:val="21"/>
                <w:szCs w:val="21"/>
              </w:rPr>
            </w:pPr>
            <w:r>
              <w:rPr>
                <w:rFonts w:hAnsi="宋体"/>
                <w:bCs/>
                <w:snapToGrid w:val="0"/>
                <w:kern w:val="0"/>
                <w:sz w:val="21"/>
                <w:szCs w:val="21"/>
              </w:rPr>
              <w:t>根据现场调查的外环境关系显示，</w:t>
            </w:r>
            <w:r>
              <w:rPr>
                <w:rFonts w:hint="eastAsia" w:hAnsi="宋体"/>
                <w:bCs/>
                <w:snapToGrid w:val="0"/>
                <w:kern w:val="0"/>
                <w:sz w:val="21"/>
                <w:szCs w:val="21"/>
              </w:rPr>
              <w:t>平安</w:t>
            </w:r>
            <w:r>
              <w:rPr>
                <w:rFonts w:hAnsi="宋体"/>
                <w:bCs/>
                <w:snapToGrid w:val="0"/>
                <w:kern w:val="0"/>
                <w:sz w:val="21"/>
                <w:szCs w:val="21"/>
              </w:rPr>
              <w:t>7井</w:t>
            </w:r>
            <w:r>
              <w:rPr>
                <w:bCs/>
                <w:snapToGrid w:val="0"/>
                <w:kern w:val="0"/>
                <w:sz w:val="21"/>
                <w:szCs w:val="21"/>
              </w:rPr>
              <w:t>100m</w:t>
            </w:r>
            <w:r>
              <w:rPr>
                <w:rFonts w:hAnsi="宋体"/>
                <w:bCs/>
                <w:snapToGrid w:val="0"/>
                <w:kern w:val="0"/>
                <w:sz w:val="21"/>
                <w:szCs w:val="21"/>
              </w:rPr>
              <w:t>范围内无居民；</w:t>
            </w:r>
            <w:r>
              <w:rPr>
                <w:bCs/>
                <w:snapToGrid w:val="0"/>
                <w:kern w:val="0"/>
                <w:sz w:val="21"/>
                <w:szCs w:val="21"/>
              </w:rPr>
              <w:t>100~</w:t>
            </w:r>
            <w:r>
              <w:rPr>
                <w:rFonts w:hint="eastAsia"/>
                <w:bCs/>
                <w:snapToGrid w:val="0"/>
                <w:kern w:val="0"/>
                <w:sz w:val="21"/>
                <w:szCs w:val="21"/>
              </w:rPr>
              <w:t>5</w:t>
            </w:r>
            <w:r>
              <w:rPr>
                <w:bCs/>
                <w:snapToGrid w:val="0"/>
                <w:kern w:val="0"/>
                <w:sz w:val="21"/>
                <w:szCs w:val="21"/>
              </w:rPr>
              <w:t>00m</w:t>
            </w:r>
            <w:r>
              <w:rPr>
                <w:rFonts w:hAnsi="宋体"/>
                <w:bCs/>
                <w:snapToGrid w:val="0"/>
                <w:kern w:val="0"/>
                <w:sz w:val="21"/>
                <w:szCs w:val="21"/>
              </w:rPr>
              <w:t>范围内有农户分布；井口</w:t>
            </w:r>
            <w:r>
              <w:rPr>
                <w:bCs/>
                <w:snapToGrid w:val="0"/>
                <w:kern w:val="0"/>
                <w:sz w:val="21"/>
                <w:szCs w:val="21"/>
              </w:rPr>
              <w:t>75m</w:t>
            </w:r>
            <w:r>
              <w:rPr>
                <w:rFonts w:hAnsi="宋体"/>
                <w:bCs/>
                <w:snapToGrid w:val="0"/>
                <w:kern w:val="0"/>
                <w:sz w:val="21"/>
                <w:szCs w:val="21"/>
              </w:rPr>
              <w:t>范围内无其他永久性设施；</w:t>
            </w:r>
            <w:r>
              <w:rPr>
                <w:bCs/>
                <w:snapToGrid w:val="0"/>
                <w:kern w:val="0"/>
                <w:sz w:val="21"/>
                <w:szCs w:val="21"/>
              </w:rPr>
              <w:t>200m</w:t>
            </w:r>
            <w:r>
              <w:rPr>
                <w:rFonts w:hAnsi="宋体"/>
                <w:bCs/>
                <w:snapToGrid w:val="0"/>
                <w:kern w:val="0"/>
                <w:sz w:val="21"/>
                <w:szCs w:val="21"/>
              </w:rPr>
              <w:t>范围内无铁路、高速公路；</w:t>
            </w:r>
            <w:r>
              <w:rPr>
                <w:bCs/>
                <w:snapToGrid w:val="0"/>
                <w:kern w:val="0"/>
                <w:sz w:val="21"/>
                <w:szCs w:val="21"/>
              </w:rPr>
              <w:t>500m</w:t>
            </w:r>
            <w:r>
              <w:rPr>
                <w:rFonts w:hAnsi="宋体"/>
                <w:bCs/>
                <w:snapToGrid w:val="0"/>
                <w:kern w:val="0"/>
                <w:sz w:val="21"/>
                <w:szCs w:val="21"/>
              </w:rPr>
              <w:t>范围内无学校、医院和大型油库等人口密集性、高危性场所，符合《钻前工程及井场布置技术要求</w:t>
            </w:r>
            <w:r>
              <w:rPr>
                <w:bCs/>
                <w:snapToGrid w:val="0"/>
                <w:kern w:val="0"/>
                <w:sz w:val="21"/>
                <w:szCs w:val="21"/>
              </w:rPr>
              <w:t>SY/T5466-2013</w:t>
            </w:r>
            <w:r>
              <w:rPr>
                <w:rFonts w:hAnsi="宋体"/>
                <w:bCs/>
                <w:snapToGrid w:val="0"/>
                <w:kern w:val="0"/>
                <w:sz w:val="21"/>
                <w:szCs w:val="21"/>
              </w:rPr>
              <w:t>》规定要求。</w:t>
            </w:r>
          </w:p>
          <w:p>
            <w:pPr>
              <w:ind w:firstLine="420"/>
              <w:rPr>
                <w:sz w:val="21"/>
                <w:szCs w:val="21"/>
              </w:rPr>
            </w:pPr>
            <w:r>
              <w:rPr>
                <w:snapToGrid w:val="0"/>
                <w:kern w:val="0"/>
                <w:sz w:val="21"/>
                <w:szCs w:val="21"/>
              </w:rPr>
              <w:t>项目燃烧池选址附近分布有少量林地，建设单位拟在燃烧池周边建立</w:t>
            </w:r>
            <w:r>
              <w:rPr>
                <w:rFonts w:hint="eastAsia"/>
                <w:snapToGrid w:val="0"/>
                <w:kern w:val="0"/>
                <w:sz w:val="21"/>
                <w:szCs w:val="21"/>
              </w:rPr>
              <w:t>5</w:t>
            </w:r>
            <w:r>
              <w:rPr>
                <w:snapToGrid w:val="0"/>
                <w:kern w:val="0"/>
                <w:sz w:val="21"/>
                <w:szCs w:val="21"/>
              </w:rPr>
              <w:t>0m隔火带，可有效避免测试放喷期间</w:t>
            </w:r>
            <w:r>
              <w:rPr>
                <w:rFonts w:hint="eastAsia"/>
                <w:snapToGrid w:val="0"/>
                <w:kern w:val="0"/>
                <w:sz w:val="21"/>
                <w:szCs w:val="21"/>
              </w:rPr>
              <w:t>造成</w:t>
            </w:r>
            <w:r>
              <w:rPr>
                <w:snapToGrid w:val="0"/>
                <w:kern w:val="0"/>
                <w:sz w:val="21"/>
                <w:szCs w:val="21"/>
              </w:rPr>
              <w:t>森林火灾等风险。</w:t>
            </w:r>
          </w:p>
          <w:p>
            <w:pPr>
              <w:adjustRightInd w:val="0"/>
              <w:snapToGrid w:val="0"/>
              <w:ind w:firstLine="420"/>
              <w:rPr>
                <w:rFonts w:hAnsi="宋体"/>
                <w:bCs/>
                <w:snapToGrid w:val="0"/>
                <w:kern w:val="0"/>
                <w:sz w:val="21"/>
                <w:szCs w:val="21"/>
              </w:rPr>
            </w:pPr>
            <w:r>
              <w:rPr>
                <w:rFonts w:hAnsi="宋体"/>
                <w:bCs/>
                <w:snapToGrid w:val="0"/>
                <w:kern w:val="0"/>
                <w:sz w:val="21"/>
                <w:szCs w:val="21"/>
              </w:rPr>
              <w:t>根据井场地质构造情况，</w:t>
            </w:r>
            <w:r>
              <w:rPr>
                <w:rFonts w:hint="eastAsia" w:hAnsi="宋体"/>
                <w:bCs/>
                <w:snapToGrid w:val="0"/>
                <w:kern w:val="0"/>
                <w:sz w:val="21"/>
                <w:szCs w:val="21"/>
              </w:rPr>
              <w:t>项目</w:t>
            </w:r>
            <w:r>
              <w:rPr>
                <w:rFonts w:hAnsi="宋体"/>
                <w:bCs/>
                <w:snapToGrid w:val="0"/>
                <w:kern w:val="0"/>
                <w:sz w:val="21"/>
                <w:szCs w:val="21"/>
              </w:rPr>
              <w:t>建设区域内无泉眼、地下暗河等控制性水点分布，项目</w:t>
            </w:r>
            <w:r>
              <w:rPr>
                <w:rFonts w:hint="eastAsia" w:hAnsi="宋体"/>
                <w:bCs/>
                <w:snapToGrid w:val="0"/>
                <w:kern w:val="0"/>
                <w:sz w:val="21"/>
                <w:szCs w:val="21"/>
              </w:rPr>
              <w:t>不涉及</w:t>
            </w:r>
            <w:r>
              <w:rPr>
                <w:rFonts w:hAnsi="宋体"/>
                <w:bCs/>
                <w:snapToGrid w:val="0"/>
                <w:kern w:val="0"/>
                <w:sz w:val="21"/>
                <w:szCs w:val="21"/>
              </w:rPr>
              <w:t>自然保护区、</w:t>
            </w:r>
            <w:r>
              <w:rPr>
                <w:rFonts w:hint="eastAsia" w:hAnsi="宋体"/>
                <w:bCs/>
                <w:snapToGrid w:val="0"/>
                <w:kern w:val="0"/>
                <w:sz w:val="21"/>
                <w:szCs w:val="21"/>
              </w:rPr>
              <w:t>风景</w:t>
            </w:r>
            <w:r>
              <w:rPr>
                <w:rFonts w:hAnsi="宋体"/>
                <w:bCs/>
                <w:snapToGrid w:val="0"/>
                <w:kern w:val="0"/>
                <w:sz w:val="21"/>
                <w:szCs w:val="21"/>
              </w:rPr>
              <w:t>名胜区、</w:t>
            </w:r>
            <w:r>
              <w:rPr>
                <w:rFonts w:hint="eastAsia"/>
                <w:snapToGrid w:val="0"/>
                <w:kern w:val="0"/>
                <w:sz w:val="21"/>
                <w:szCs w:val="21"/>
              </w:rPr>
              <w:t>饮用水水源保护区等环境敏感区</w:t>
            </w:r>
            <w:r>
              <w:rPr>
                <w:rFonts w:hint="eastAsia" w:hAnsi="宋体"/>
                <w:bCs/>
                <w:snapToGrid w:val="0"/>
                <w:kern w:val="0"/>
                <w:sz w:val="21"/>
                <w:szCs w:val="21"/>
              </w:rPr>
              <w:t>。项目周边环境风险保护目标主要为</w:t>
            </w:r>
            <w:r>
              <w:rPr>
                <w:rFonts w:hint="eastAsia"/>
                <w:snapToGrid w:val="0"/>
                <w:kern w:val="0"/>
                <w:sz w:val="21"/>
                <w:szCs w:val="21"/>
              </w:rPr>
              <w:t>井场边界5km的范围内的场镇、学校、医院等人口相对密集的场所及下游地表水系等，项目对环境风险目标的主要影响为井喷失控造成的原油及天然气泄漏及可能产生的废水泄漏等，在采取</w:t>
            </w:r>
            <w:r>
              <w:rPr>
                <w:rFonts w:hint="eastAsia" w:hAnsi="宋体"/>
                <w:bCs/>
                <w:snapToGrid w:val="0"/>
                <w:kern w:val="0"/>
                <w:sz w:val="21"/>
                <w:szCs w:val="21"/>
              </w:rPr>
              <w:t>严格</w:t>
            </w:r>
            <w:r>
              <w:rPr>
                <w:rFonts w:hAnsi="宋体"/>
                <w:bCs/>
                <w:snapToGrid w:val="0"/>
                <w:kern w:val="0"/>
                <w:sz w:val="21"/>
                <w:szCs w:val="21"/>
              </w:rPr>
              <w:t>的井控措施后</w:t>
            </w:r>
            <w:r>
              <w:rPr>
                <w:rFonts w:hint="eastAsia" w:hAnsi="宋体"/>
                <w:bCs/>
                <w:snapToGrid w:val="0"/>
                <w:kern w:val="0"/>
                <w:sz w:val="21"/>
                <w:szCs w:val="21"/>
              </w:rPr>
              <w:t>，</w:t>
            </w:r>
            <w:r>
              <w:rPr>
                <w:rFonts w:hAnsi="宋体"/>
                <w:bCs/>
                <w:snapToGrid w:val="0"/>
                <w:kern w:val="0"/>
                <w:sz w:val="21"/>
                <w:szCs w:val="21"/>
              </w:rPr>
              <w:t>对环境风险保护目标影响较小</w:t>
            </w:r>
            <w:r>
              <w:rPr>
                <w:rFonts w:hint="eastAsia" w:hAnsi="宋体"/>
                <w:bCs/>
                <w:snapToGrid w:val="0"/>
                <w:kern w:val="0"/>
                <w:sz w:val="21"/>
                <w:szCs w:val="21"/>
              </w:rPr>
              <w:t>。</w:t>
            </w:r>
          </w:p>
          <w:p>
            <w:pPr>
              <w:adjustRightInd w:val="0"/>
              <w:snapToGrid w:val="0"/>
              <w:ind w:firstLine="420"/>
              <w:rPr>
                <w:bCs/>
                <w:sz w:val="21"/>
                <w:szCs w:val="21"/>
              </w:rPr>
            </w:pPr>
            <w:r>
              <w:rPr>
                <w:snapToGrid w:val="0"/>
                <w:kern w:val="0"/>
                <w:sz w:val="21"/>
                <w:szCs w:val="21"/>
              </w:rPr>
              <w:t>项目结合所在地地形，将耕植土堆放场设置于项目</w:t>
            </w:r>
            <w:r>
              <w:rPr>
                <w:rFonts w:hint="eastAsia"/>
                <w:snapToGrid w:val="0"/>
                <w:kern w:val="0"/>
                <w:sz w:val="21"/>
                <w:szCs w:val="21"/>
              </w:rPr>
              <w:t>东南侧</w:t>
            </w:r>
            <w:r>
              <w:rPr>
                <w:snapToGrid w:val="0"/>
                <w:kern w:val="0"/>
                <w:sz w:val="21"/>
                <w:szCs w:val="21"/>
              </w:rPr>
              <w:t>紧邻井场区域，减少了项目占地，避免了耕植土大范围、远距离转运造成的运输扬尘及</w:t>
            </w:r>
            <w:r>
              <w:rPr>
                <w:rFonts w:hint="eastAsia"/>
                <w:snapToGrid w:val="0"/>
                <w:kern w:val="0"/>
                <w:sz w:val="21"/>
                <w:szCs w:val="21"/>
              </w:rPr>
              <w:t>运输</w:t>
            </w:r>
            <w:r>
              <w:rPr>
                <w:snapToGrid w:val="0"/>
                <w:kern w:val="0"/>
                <w:sz w:val="21"/>
                <w:szCs w:val="21"/>
              </w:rPr>
              <w:t>噪声的环境污染。同时在耕植土堆放场建设</w:t>
            </w:r>
            <w:r>
              <w:rPr>
                <w:rFonts w:hint="eastAsia"/>
                <w:snapToGrid w:val="0"/>
                <w:kern w:val="0"/>
                <w:sz w:val="21"/>
                <w:szCs w:val="21"/>
              </w:rPr>
              <w:t>M7.5水泥砂浆浆砌MU30片（块）石挡土墙护脚，避免雨水流冲刷造成水土流失。</w:t>
            </w:r>
            <w:r>
              <w:rPr>
                <w:rFonts w:hint="eastAsia" w:hAnsi="宋体"/>
                <w:bCs/>
                <w:snapToGrid w:val="0"/>
                <w:kern w:val="0"/>
                <w:sz w:val="21"/>
                <w:szCs w:val="21"/>
              </w:rPr>
              <w:t>综上，项目选址合理。</w:t>
            </w:r>
          </w:p>
          <w:p>
            <w:pPr>
              <w:adjustRightInd w:val="0"/>
              <w:snapToGrid w:val="0"/>
              <w:ind w:firstLine="420"/>
              <w:rPr>
                <w:rFonts w:hAnsi="宋体"/>
                <w:bCs/>
                <w:snapToGrid w:val="0"/>
                <w:kern w:val="0"/>
                <w:sz w:val="21"/>
                <w:szCs w:val="21"/>
              </w:rPr>
            </w:pPr>
            <w:r>
              <w:rPr>
                <w:rFonts w:hint="eastAsia" w:hAnsi="宋体"/>
                <w:bCs/>
                <w:snapToGrid w:val="0"/>
                <w:kern w:val="0"/>
                <w:sz w:val="21"/>
                <w:szCs w:val="21"/>
              </w:rPr>
              <w:t>达州市通川区自然资源和规划局对建设单位大庆油田有限责任公司勘探事业部《平安7井规划选址意见函》进行了回复：经查阅《北部农旅融合发展片区国土空间总体规划(2021-2035)》(送审稿)，该项目不在北山镇镇区规划范围内，不影响该场镇建设，但该选址井位位于永久基本农田保护区内。目前建设单位正在办理临时占用永久基本农田相关手续，评价要求建设单位应在完善临时占用永久基本农田相关手续的情况下，项目选址可行。</w:t>
            </w:r>
          </w:p>
          <w:p>
            <w:pPr>
              <w:adjustRightInd w:val="0"/>
              <w:snapToGrid w:val="0"/>
              <w:ind w:firstLine="420"/>
              <w:rPr>
                <w:rFonts w:hAnsi="宋体"/>
                <w:bCs/>
                <w:snapToGrid w:val="0"/>
                <w:kern w:val="0"/>
                <w:sz w:val="21"/>
                <w:szCs w:val="21"/>
              </w:rPr>
            </w:pPr>
            <w:r>
              <w:rPr>
                <w:rFonts w:hAnsi="宋体"/>
                <w:bCs/>
                <w:snapToGrid w:val="0"/>
                <w:kern w:val="0"/>
                <w:sz w:val="21"/>
                <w:szCs w:val="21"/>
              </w:rPr>
              <w:t>综上所述，在完善临时占用永久基本农田相关手续的情况下</w:t>
            </w:r>
            <w:r>
              <w:rPr>
                <w:rFonts w:hint="eastAsia" w:hAnsi="宋体"/>
                <w:bCs/>
                <w:snapToGrid w:val="0"/>
                <w:kern w:val="0"/>
                <w:sz w:val="21"/>
                <w:szCs w:val="21"/>
              </w:rPr>
              <w:t>，</w:t>
            </w:r>
            <w:r>
              <w:rPr>
                <w:rFonts w:hAnsi="宋体"/>
                <w:bCs/>
                <w:snapToGrid w:val="0"/>
                <w:kern w:val="0"/>
                <w:sz w:val="21"/>
                <w:szCs w:val="21"/>
              </w:rPr>
              <w:t>项目井口定位合理。</w:t>
            </w: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422"/>
              <w:rPr>
                <w:rFonts w:hint="eastAsia"/>
                <w:b/>
                <w:bCs/>
                <w:sz w:val="21"/>
                <w:szCs w:val="21"/>
              </w:rPr>
            </w:pPr>
          </w:p>
        </w:tc>
      </w:tr>
    </w:tbl>
    <w:p>
      <w:pPr>
        <w:pStyle w:val="20"/>
        <w:ind w:firstLine="420"/>
        <w:jc w:val="center"/>
        <w:rPr>
          <w:rFonts w:ascii="Times New Roman" w:hAnsi="Times New Roman"/>
          <w:snapToGrid w:val="0"/>
          <w:sz w:val="21"/>
          <w:szCs w:val="21"/>
        </w:rPr>
        <w:sectPr>
          <w:pgSz w:w="11906" w:h="16838"/>
          <w:pgMar w:top="1440" w:right="1440" w:bottom="1440" w:left="1440" w:header="851" w:footer="1077" w:gutter="0"/>
          <w:cols w:space="425" w:num="1"/>
          <w:docGrid w:linePitch="312" w:charSpace="0"/>
        </w:sectPr>
      </w:pPr>
    </w:p>
    <w:p>
      <w:pPr>
        <w:pStyle w:val="2"/>
        <w:rPr>
          <w:rFonts w:eastAsia="宋体"/>
          <w:snapToGrid w:val="0"/>
          <w:color w:val="auto"/>
          <w:sz w:val="24"/>
          <w:szCs w:val="21"/>
        </w:rPr>
      </w:pPr>
      <w:r>
        <w:rPr>
          <w:rFonts w:eastAsia="宋体"/>
          <w:snapToGrid w:val="0"/>
          <w:color w:val="auto"/>
          <w:sz w:val="24"/>
          <w:szCs w:val="21"/>
        </w:rPr>
        <w:t>五、主要生态环境保护措施</w:t>
      </w:r>
    </w:p>
    <w:tbl>
      <w:tblPr>
        <w:tblStyle w:val="22"/>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57" w:type="dxa"/>
            <w:tcMar>
              <w:left w:w="28" w:type="dxa"/>
              <w:right w:w="28" w:type="dxa"/>
            </w:tcMar>
            <w:vAlign w:val="center"/>
          </w:tcPr>
          <w:p>
            <w:pPr>
              <w:adjustRightInd w:val="0"/>
              <w:snapToGrid w:val="0"/>
              <w:spacing w:line="240" w:lineRule="auto"/>
              <w:ind w:firstLine="0" w:firstLineChars="0"/>
              <w:jc w:val="center"/>
              <w:rPr>
                <w:bCs/>
                <w:sz w:val="21"/>
                <w:szCs w:val="21"/>
              </w:rPr>
            </w:pPr>
            <w:r>
              <w:rPr>
                <w:bCs/>
                <w:spacing w:val="10"/>
                <w:sz w:val="21"/>
                <w:szCs w:val="21"/>
              </w:rPr>
              <w:t>施工期生态环境保护措施</w:t>
            </w:r>
          </w:p>
        </w:tc>
        <w:tc>
          <w:tcPr>
            <w:tcW w:w="8867" w:type="dxa"/>
            <w:vAlign w:val="center"/>
          </w:tcPr>
          <w:p>
            <w:pPr>
              <w:adjustRightInd w:val="0"/>
              <w:snapToGrid w:val="0"/>
              <w:ind w:firstLine="0" w:firstLineChars="0"/>
              <w:rPr>
                <w:b/>
                <w:bCs/>
                <w:spacing w:val="10"/>
                <w:sz w:val="21"/>
                <w:szCs w:val="21"/>
              </w:rPr>
            </w:pPr>
            <w:r>
              <w:rPr>
                <w:b/>
                <w:bCs/>
                <w:spacing w:val="10"/>
                <w:sz w:val="21"/>
                <w:szCs w:val="21"/>
              </w:rPr>
              <w:t>1、钻前</w:t>
            </w:r>
            <w:r>
              <w:rPr>
                <w:rFonts w:hint="eastAsia"/>
                <w:b/>
                <w:bCs/>
                <w:spacing w:val="10"/>
                <w:sz w:val="21"/>
                <w:szCs w:val="21"/>
              </w:rPr>
              <w:t>工程</w:t>
            </w:r>
          </w:p>
          <w:p>
            <w:pPr>
              <w:adjustRightInd w:val="0"/>
              <w:snapToGrid w:val="0"/>
              <w:ind w:firstLine="0" w:firstLineChars="0"/>
              <w:rPr>
                <w:b/>
                <w:bCs/>
                <w:spacing w:val="10"/>
                <w:sz w:val="21"/>
                <w:szCs w:val="21"/>
              </w:rPr>
            </w:pPr>
            <w:r>
              <w:rPr>
                <w:b/>
                <w:bCs/>
                <w:spacing w:val="10"/>
                <w:sz w:val="21"/>
                <w:szCs w:val="21"/>
              </w:rPr>
              <w:t>1.1废气防治措施</w:t>
            </w:r>
          </w:p>
          <w:p>
            <w:pPr>
              <w:ind w:firstLine="420"/>
              <w:rPr>
                <w:sz w:val="21"/>
                <w:szCs w:val="21"/>
              </w:rPr>
            </w:pPr>
            <w:r>
              <w:rPr>
                <w:sz w:val="21"/>
                <w:szCs w:val="21"/>
              </w:rPr>
              <w:t>（1）道路施工作业时，现场定期洒水，减少扬尘产生量和影响范围；</w:t>
            </w:r>
          </w:p>
          <w:p>
            <w:pPr>
              <w:ind w:firstLine="420"/>
              <w:rPr>
                <w:sz w:val="21"/>
                <w:szCs w:val="21"/>
              </w:rPr>
            </w:pPr>
            <w:r>
              <w:rPr>
                <w:sz w:val="21"/>
                <w:szCs w:val="21"/>
              </w:rPr>
              <w:t>（2）运输建筑材料等车辆，车箱遮盖严密后方可运出场外；</w:t>
            </w:r>
          </w:p>
          <w:p>
            <w:pPr>
              <w:ind w:firstLine="420"/>
              <w:rPr>
                <w:sz w:val="21"/>
                <w:szCs w:val="21"/>
              </w:rPr>
            </w:pPr>
            <w:r>
              <w:rPr>
                <w:sz w:val="21"/>
                <w:szCs w:val="21"/>
              </w:rPr>
              <w:t>（3）对土石方临时堆场及建筑材料（如水泥、沙石等）修建围护设施，并合理堆放物料，减少迎风面积，同时定时洒水，减少风对料堆表面细小颗粒物的侵蚀引起的扬尘量；</w:t>
            </w:r>
          </w:p>
          <w:p>
            <w:pPr>
              <w:ind w:firstLine="420"/>
              <w:rPr>
                <w:sz w:val="21"/>
                <w:szCs w:val="21"/>
              </w:rPr>
            </w:pPr>
            <w:r>
              <w:rPr>
                <w:sz w:val="21"/>
                <w:szCs w:val="21"/>
              </w:rPr>
              <w:t>（4）开挖的土方在遇大风天气时，应用</w:t>
            </w:r>
            <w:r>
              <w:rPr>
                <w:rFonts w:hint="eastAsia"/>
                <w:sz w:val="21"/>
                <w:szCs w:val="21"/>
                <w:lang w:val="en-US" w:eastAsia="zh-CN"/>
              </w:rPr>
              <w:t>篷</w:t>
            </w:r>
            <w:r>
              <w:rPr>
                <w:sz w:val="21"/>
                <w:szCs w:val="21"/>
              </w:rPr>
              <w:t>布遮盖，减少扬尘产生量。</w:t>
            </w:r>
          </w:p>
          <w:p>
            <w:pPr>
              <w:ind w:firstLine="420"/>
              <w:rPr>
                <w:sz w:val="21"/>
                <w:szCs w:val="21"/>
              </w:rPr>
            </w:pPr>
            <w:r>
              <w:rPr>
                <w:sz w:val="21"/>
                <w:szCs w:val="21"/>
              </w:rPr>
              <w:t>总体看来，钻前工程不会对当地环境空气造成明显不利影响，对周围环境影响是可接受的。</w:t>
            </w:r>
          </w:p>
          <w:p>
            <w:pPr>
              <w:adjustRightInd w:val="0"/>
              <w:snapToGrid w:val="0"/>
              <w:ind w:firstLine="0" w:firstLineChars="0"/>
              <w:rPr>
                <w:b/>
                <w:bCs/>
                <w:spacing w:val="10"/>
                <w:sz w:val="21"/>
                <w:szCs w:val="21"/>
              </w:rPr>
            </w:pPr>
            <w:r>
              <w:rPr>
                <w:b/>
                <w:bCs/>
                <w:spacing w:val="10"/>
                <w:sz w:val="21"/>
                <w:szCs w:val="21"/>
              </w:rPr>
              <w:t>1.2废水防治措施</w:t>
            </w:r>
          </w:p>
          <w:p>
            <w:pPr>
              <w:ind w:firstLine="420"/>
              <w:rPr>
                <w:sz w:val="21"/>
                <w:szCs w:val="21"/>
              </w:rPr>
            </w:pPr>
            <w:r>
              <w:rPr>
                <w:sz w:val="21"/>
                <w:szCs w:val="21"/>
              </w:rPr>
              <w:t>（1）施工废水经沉淀处理后循环使用，不外排。</w:t>
            </w:r>
          </w:p>
          <w:p>
            <w:pPr>
              <w:ind w:firstLine="420"/>
              <w:rPr>
                <w:sz w:val="21"/>
                <w:szCs w:val="21"/>
              </w:rPr>
            </w:pPr>
            <w:r>
              <w:rPr>
                <w:sz w:val="21"/>
                <w:szCs w:val="21"/>
              </w:rPr>
              <w:t>（2）生活污水来自施工人员，施工期间生活污水产生量小，钻前工程人员生活污水依托周边农户已建设施处理。</w:t>
            </w:r>
          </w:p>
          <w:p>
            <w:pPr>
              <w:adjustRightInd w:val="0"/>
              <w:snapToGrid w:val="0"/>
              <w:ind w:firstLine="462"/>
              <w:rPr>
                <w:b/>
                <w:bCs/>
                <w:spacing w:val="10"/>
                <w:sz w:val="21"/>
                <w:szCs w:val="21"/>
              </w:rPr>
            </w:pPr>
            <w:r>
              <w:rPr>
                <w:b/>
                <w:bCs/>
                <w:spacing w:val="10"/>
                <w:sz w:val="21"/>
                <w:szCs w:val="21"/>
              </w:rPr>
              <w:t>拟建项目现场无生活污水产生和排放，不会对井场周边地表水产生影响。</w:t>
            </w:r>
          </w:p>
          <w:p>
            <w:pPr>
              <w:adjustRightInd w:val="0"/>
              <w:snapToGrid w:val="0"/>
              <w:ind w:firstLine="0" w:firstLineChars="0"/>
              <w:rPr>
                <w:b/>
                <w:bCs/>
                <w:spacing w:val="10"/>
                <w:sz w:val="21"/>
                <w:szCs w:val="21"/>
              </w:rPr>
            </w:pPr>
            <w:r>
              <w:rPr>
                <w:b/>
                <w:bCs/>
                <w:spacing w:val="10"/>
                <w:sz w:val="21"/>
                <w:szCs w:val="21"/>
              </w:rPr>
              <w:t>1.3噪声防治措施</w:t>
            </w:r>
          </w:p>
          <w:p>
            <w:pPr>
              <w:ind w:firstLine="420"/>
              <w:rPr>
                <w:sz w:val="21"/>
                <w:szCs w:val="21"/>
              </w:rPr>
            </w:pPr>
            <w:r>
              <w:rPr>
                <w:sz w:val="21"/>
                <w:szCs w:val="21"/>
              </w:rPr>
              <w:t>（1）运输设备等车辆沿固定路线行使，尽量减少鸣笛。</w:t>
            </w:r>
          </w:p>
          <w:p>
            <w:pPr>
              <w:ind w:firstLine="420"/>
              <w:rPr>
                <w:sz w:val="21"/>
                <w:szCs w:val="21"/>
              </w:rPr>
            </w:pPr>
            <w:r>
              <w:rPr>
                <w:sz w:val="21"/>
                <w:szCs w:val="21"/>
              </w:rPr>
              <w:t>（2）工程建设时合理安排施工时间，在靠近民居点施工时不得深夜施工。</w:t>
            </w:r>
          </w:p>
          <w:p>
            <w:pPr>
              <w:adjustRightInd w:val="0"/>
              <w:snapToGrid w:val="0"/>
              <w:ind w:firstLine="462"/>
              <w:rPr>
                <w:b/>
                <w:bCs/>
                <w:spacing w:val="10"/>
                <w:sz w:val="21"/>
                <w:szCs w:val="21"/>
              </w:rPr>
            </w:pPr>
            <w:r>
              <w:rPr>
                <w:b/>
                <w:bCs/>
                <w:spacing w:val="10"/>
                <w:sz w:val="21"/>
                <w:szCs w:val="21"/>
              </w:rPr>
              <w:t>拟建项目100m范围内无农户分布，周边农户较分散，施工噪声影响随施工的结束而消失，在当地环境可接受范围内。</w:t>
            </w:r>
          </w:p>
          <w:p>
            <w:pPr>
              <w:adjustRightInd w:val="0"/>
              <w:snapToGrid w:val="0"/>
              <w:ind w:firstLine="0" w:firstLineChars="0"/>
              <w:rPr>
                <w:b/>
                <w:bCs/>
                <w:spacing w:val="10"/>
                <w:sz w:val="21"/>
                <w:szCs w:val="21"/>
              </w:rPr>
            </w:pPr>
            <w:r>
              <w:rPr>
                <w:b/>
                <w:bCs/>
                <w:spacing w:val="10"/>
                <w:sz w:val="21"/>
                <w:szCs w:val="21"/>
              </w:rPr>
              <w:t>1.4固体废物防治措施</w:t>
            </w:r>
          </w:p>
          <w:p>
            <w:pPr>
              <w:adjustRightInd w:val="0"/>
              <w:snapToGrid w:val="0"/>
              <w:ind w:firstLine="420"/>
              <w:rPr>
                <w:bCs/>
                <w:snapToGrid w:val="0"/>
                <w:kern w:val="0"/>
                <w:sz w:val="21"/>
                <w:szCs w:val="21"/>
              </w:rPr>
            </w:pPr>
            <w:r>
              <w:rPr>
                <w:rFonts w:hAnsi="宋体"/>
                <w:bCs/>
                <w:snapToGrid w:val="0"/>
                <w:kern w:val="0"/>
                <w:sz w:val="21"/>
                <w:szCs w:val="21"/>
              </w:rPr>
              <w:t>（</w:t>
            </w:r>
            <w:r>
              <w:rPr>
                <w:bCs/>
                <w:snapToGrid w:val="0"/>
                <w:kern w:val="0"/>
                <w:sz w:val="21"/>
                <w:szCs w:val="21"/>
              </w:rPr>
              <w:t>1</w:t>
            </w:r>
            <w:r>
              <w:rPr>
                <w:rFonts w:hAnsi="宋体"/>
                <w:bCs/>
                <w:snapToGrid w:val="0"/>
                <w:kern w:val="0"/>
                <w:sz w:val="21"/>
                <w:szCs w:val="21"/>
              </w:rPr>
              <w:t>）钻前工程中平整井场产生的表层土壤集中堆放于耕作土堆放区，表层土壤采用分层开挖，分层堆放，完井后用于复耕的表层覆土。</w:t>
            </w:r>
          </w:p>
          <w:p>
            <w:pPr>
              <w:adjustRightInd w:val="0"/>
              <w:snapToGrid w:val="0"/>
              <w:ind w:firstLine="420"/>
              <w:rPr>
                <w:bCs/>
                <w:snapToGrid w:val="0"/>
                <w:kern w:val="0"/>
                <w:sz w:val="21"/>
                <w:szCs w:val="21"/>
              </w:rPr>
            </w:pPr>
            <w:r>
              <w:rPr>
                <w:rFonts w:hAnsi="宋体"/>
                <w:bCs/>
                <w:snapToGrid w:val="0"/>
                <w:kern w:val="0"/>
                <w:sz w:val="21"/>
                <w:szCs w:val="21"/>
              </w:rPr>
              <w:t>（</w:t>
            </w:r>
            <w:r>
              <w:rPr>
                <w:bCs/>
                <w:snapToGrid w:val="0"/>
                <w:kern w:val="0"/>
                <w:sz w:val="21"/>
                <w:szCs w:val="21"/>
              </w:rPr>
              <w:t>2</w:t>
            </w:r>
            <w:r>
              <w:rPr>
                <w:rFonts w:hAnsi="宋体"/>
                <w:bCs/>
                <w:snapToGrid w:val="0"/>
                <w:kern w:val="0"/>
                <w:sz w:val="21"/>
                <w:szCs w:val="21"/>
              </w:rPr>
              <w:t>）施工过程中产生的生活垃圾以及包装材料等固体废物统一收集，定期送往城镇垃圾处理系统处理。</w:t>
            </w:r>
          </w:p>
          <w:p>
            <w:pPr>
              <w:adjustRightInd w:val="0"/>
              <w:snapToGrid w:val="0"/>
              <w:ind w:firstLine="420"/>
              <w:rPr>
                <w:bCs/>
                <w:spacing w:val="10"/>
                <w:sz w:val="21"/>
                <w:szCs w:val="21"/>
              </w:rPr>
            </w:pPr>
            <w:r>
              <w:rPr>
                <w:rFonts w:hAnsi="宋体"/>
                <w:bCs/>
                <w:snapToGrid w:val="0"/>
                <w:kern w:val="0"/>
                <w:sz w:val="21"/>
                <w:szCs w:val="21"/>
              </w:rPr>
              <w:t>（</w:t>
            </w:r>
            <w:r>
              <w:rPr>
                <w:bCs/>
                <w:snapToGrid w:val="0"/>
                <w:kern w:val="0"/>
                <w:sz w:val="21"/>
                <w:szCs w:val="21"/>
              </w:rPr>
              <w:t>3</w:t>
            </w:r>
            <w:r>
              <w:rPr>
                <w:rFonts w:hAnsi="宋体"/>
                <w:bCs/>
                <w:snapToGrid w:val="0"/>
                <w:kern w:val="0"/>
                <w:sz w:val="21"/>
                <w:szCs w:val="21"/>
              </w:rPr>
              <w:t>）耕植土堆放场采用</w:t>
            </w:r>
            <w:r>
              <w:rPr>
                <w:rFonts w:hint="eastAsia"/>
                <w:snapToGrid w:val="0"/>
                <w:kern w:val="0"/>
                <w:sz w:val="21"/>
                <w:szCs w:val="21"/>
              </w:rPr>
              <w:t>外边修建M7.5水泥砂浆浆砌MU30片（块）石挡土墙护脚，</w:t>
            </w:r>
            <w:r>
              <w:rPr>
                <w:rFonts w:hAnsi="宋体"/>
                <w:bCs/>
                <w:snapToGrid w:val="0"/>
                <w:kern w:val="0"/>
                <w:sz w:val="21"/>
                <w:szCs w:val="21"/>
              </w:rPr>
              <w:t>并建有截水沟和排水管等排水系统</w:t>
            </w:r>
            <w:r>
              <w:rPr>
                <w:rFonts w:hint="eastAsia"/>
                <w:snapToGrid w:val="0"/>
                <w:kern w:val="0"/>
                <w:sz w:val="21"/>
                <w:szCs w:val="21"/>
              </w:rPr>
              <w:t>，避免雨季时冲沟水流对耕植土堆放场及进行基础过度冲刷，造成基础不稳及水土流失</w:t>
            </w:r>
            <w:r>
              <w:rPr>
                <w:rFonts w:hAnsi="宋体"/>
                <w:bCs/>
                <w:snapToGrid w:val="0"/>
                <w:kern w:val="0"/>
                <w:sz w:val="21"/>
                <w:szCs w:val="21"/>
              </w:rPr>
              <w:t>，便于后期土地复耕，有效减少建筑垃圾等优点。堆放场周边设有完整的截排水系统，可有效降低水土流失，并降低暴雨等对堆土场造成的危险。评价要求建设单位按照</w:t>
            </w:r>
            <w:r>
              <w:rPr>
                <w:snapToGrid w:val="0"/>
                <w:kern w:val="0"/>
                <w:sz w:val="21"/>
                <w:szCs w:val="21"/>
              </w:rPr>
              <w:t>《生产建设项目水土保持方案管理办法》（水利部令第53号）要求编制水土保持方案，并报送当地主管部门审批，确保项目施工期间水土流失可防可控。</w:t>
            </w:r>
          </w:p>
          <w:p>
            <w:pPr>
              <w:adjustRightInd w:val="0"/>
              <w:snapToGrid w:val="0"/>
              <w:ind w:firstLine="460"/>
              <w:rPr>
                <w:bCs/>
                <w:spacing w:val="10"/>
                <w:sz w:val="21"/>
                <w:szCs w:val="21"/>
              </w:rPr>
            </w:pPr>
            <w:r>
              <w:rPr>
                <w:bCs/>
                <w:spacing w:val="10"/>
                <w:sz w:val="21"/>
                <w:szCs w:val="21"/>
              </w:rPr>
              <w:t>通</w:t>
            </w:r>
            <w:r>
              <w:rPr>
                <w:b/>
                <w:bCs/>
                <w:spacing w:val="10"/>
                <w:sz w:val="21"/>
                <w:szCs w:val="21"/>
              </w:rPr>
              <w:t>过采取上述措施后，施工过程中产生的固废不会对环境产生影响。</w:t>
            </w:r>
          </w:p>
          <w:p>
            <w:pPr>
              <w:adjustRightInd w:val="0"/>
              <w:snapToGrid w:val="0"/>
              <w:ind w:firstLine="462"/>
              <w:rPr>
                <w:b/>
                <w:bCs/>
                <w:spacing w:val="10"/>
                <w:sz w:val="21"/>
                <w:szCs w:val="21"/>
              </w:rPr>
            </w:pPr>
            <w:r>
              <w:rPr>
                <w:b/>
                <w:bCs/>
                <w:spacing w:val="10"/>
                <w:sz w:val="21"/>
                <w:szCs w:val="21"/>
              </w:rPr>
              <w:t>1.5生态防治措施</w:t>
            </w:r>
          </w:p>
          <w:p>
            <w:pPr>
              <w:adjustRightInd w:val="0"/>
              <w:snapToGrid w:val="0"/>
              <w:ind w:firstLine="462"/>
              <w:rPr>
                <w:b/>
                <w:bCs/>
                <w:spacing w:val="10"/>
                <w:sz w:val="21"/>
                <w:szCs w:val="21"/>
              </w:rPr>
            </w:pPr>
            <w:r>
              <w:rPr>
                <w:b/>
                <w:bCs/>
                <w:spacing w:val="10"/>
                <w:sz w:val="21"/>
                <w:szCs w:val="21"/>
              </w:rPr>
              <w:t>（1）土地利用现有格局的保护措施</w:t>
            </w:r>
          </w:p>
          <w:p>
            <w:pPr>
              <w:adjustRightInd w:val="0"/>
              <w:snapToGrid w:val="0"/>
              <w:ind w:firstLine="460"/>
              <w:rPr>
                <w:bCs/>
                <w:spacing w:val="10"/>
                <w:sz w:val="21"/>
                <w:szCs w:val="21"/>
              </w:rPr>
            </w:pPr>
            <w:r>
              <w:rPr>
                <w:rFonts w:hint="eastAsia" w:ascii="宋体" w:hAnsi="宋体" w:cs="宋体"/>
                <w:bCs/>
                <w:spacing w:val="10"/>
                <w:sz w:val="21"/>
                <w:szCs w:val="21"/>
              </w:rPr>
              <w:t>①</w:t>
            </w:r>
            <w:r>
              <w:rPr>
                <w:bCs/>
                <w:spacing w:val="10"/>
                <w:sz w:val="21"/>
                <w:szCs w:val="21"/>
              </w:rPr>
              <w:t>施工占地合理规划，尽量控制工程施工活动范围，减少对周边占地的影响。</w:t>
            </w:r>
          </w:p>
          <w:p>
            <w:pPr>
              <w:adjustRightInd w:val="0"/>
              <w:snapToGrid w:val="0"/>
              <w:ind w:firstLine="460"/>
              <w:rPr>
                <w:bCs/>
                <w:spacing w:val="10"/>
                <w:sz w:val="21"/>
                <w:szCs w:val="21"/>
              </w:rPr>
            </w:pPr>
            <w:r>
              <w:rPr>
                <w:rFonts w:hint="eastAsia" w:ascii="宋体" w:hAnsi="宋体" w:cs="宋体"/>
                <w:bCs/>
                <w:spacing w:val="10"/>
                <w:sz w:val="21"/>
                <w:szCs w:val="21"/>
              </w:rPr>
              <w:t>②</w:t>
            </w:r>
            <w:r>
              <w:rPr>
                <w:bCs/>
                <w:spacing w:val="10"/>
                <w:sz w:val="21"/>
                <w:szCs w:val="21"/>
              </w:rPr>
              <w:t>按设计标准规定，严格控制施工作业面积，不得超过作业标准规定，以减少土壤扰动和地表植被破坏，减少裸地和土方暴露面积。</w:t>
            </w:r>
          </w:p>
          <w:p>
            <w:pPr>
              <w:adjustRightInd w:val="0"/>
              <w:snapToGrid w:val="0"/>
              <w:ind w:firstLine="460"/>
              <w:rPr>
                <w:bCs/>
                <w:spacing w:val="10"/>
                <w:sz w:val="21"/>
                <w:szCs w:val="21"/>
              </w:rPr>
            </w:pPr>
            <w:r>
              <w:rPr>
                <w:rFonts w:hint="eastAsia" w:ascii="宋体" w:hAnsi="宋体" w:cs="宋体"/>
                <w:bCs/>
                <w:spacing w:val="10"/>
                <w:sz w:val="21"/>
                <w:szCs w:val="21"/>
              </w:rPr>
              <w:t>③</w:t>
            </w:r>
            <w:r>
              <w:rPr>
                <w:bCs/>
                <w:spacing w:val="10"/>
                <w:sz w:val="21"/>
                <w:szCs w:val="21"/>
              </w:rPr>
              <w:t>井场施工作业机械应严格管理，划定活动范围，不得在道路站场以外的地方行驶和作业，保持路外植被不被破坏。</w:t>
            </w:r>
          </w:p>
          <w:p>
            <w:pPr>
              <w:adjustRightInd w:val="0"/>
              <w:snapToGrid w:val="0"/>
              <w:ind w:firstLine="460"/>
              <w:rPr>
                <w:bCs/>
                <w:spacing w:val="10"/>
                <w:sz w:val="21"/>
                <w:szCs w:val="21"/>
              </w:rPr>
            </w:pPr>
            <w:r>
              <w:rPr>
                <w:rFonts w:hint="eastAsia" w:ascii="宋体" w:hAnsi="宋体" w:cs="宋体"/>
                <w:bCs/>
                <w:spacing w:val="10"/>
                <w:sz w:val="21"/>
                <w:szCs w:val="21"/>
              </w:rPr>
              <w:t>④</w:t>
            </w:r>
            <w:r>
              <w:rPr>
                <w:bCs/>
                <w:spacing w:val="10"/>
                <w:sz w:val="21"/>
                <w:szCs w:val="21"/>
              </w:rPr>
              <w:t>加快施工进度，缩短施工时间，对产生的挖方及时进行平整处理。此外，施工时应避免在雨天、大风等天气条件不利情况下施工，做到水土流失最小化，如遇特殊天气施工，应用施工布料对现挖松散临时弃土、弃渣进行临时遮掩，保证有效控制水土流失。</w:t>
            </w:r>
          </w:p>
          <w:p>
            <w:pPr>
              <w:adjustRightInd w:val="0"/>
              <w:snapToGrid w:val="0"/>
              <w:ind w:firstLine="462"/>
              <w:rPr>
                <w:b/>
                <w:bCs/>
                <w:spacing w:val="10"/>
                <w:sz w:val="21"/>
                <w:szCs w:val="21"/>
              </w:rPr>
            </w:pPr>
            <w:r>
              <w:rPr>
                <w:b/>
                <w:bCs/>
                <w:spacing w:val="10"/>
                <w:sz w:val="21"/>
                <w:szCs w:val="21"/>
              </w:rPr>
              <w:t>（2）对植物和植被影响的防护与恢复</w:t>
            </w:r>
          </w:p>
          <w:p>
            <w:pPr>
              <w:adjustRightInd w:val="0"/>
              <w:snapToGrid w:val="0"/>
              <w:ind w:firstLine="460"/>
              <w:rPr>
                <w:bCs/>
                <w:spacing w:val="10"/>
                <w:sz w:val="21"/>
                <w:szCs w:val="21"/>
              </w:rPr>
            </w:pPr>
            <w:r>
              <w:rPr>
                <w:rFonts w:hint="eastAsia" w:ascii="宋体" w:hAnsi="宋体" w:cs="宋体"/>
                <w:bCs/>
                <w:spacing w:val="10"/>
                <w:sz w:val="21"/>
                <w:szCs w:val="21"/>
              </w:rPr>
              <w:t>①</w:t>
            </w:r>
            <w:r>
              <w:rPr>
                <w:bCs/>
                <w:spacing w:val="10"/>
                <w:sz w:val="21"/>
                <w:szCs w:val="21"/>
              </w:rPr>
              <w:t>施工人员及器械进入工区开展施工活动，施工用火、生活用火频率大大提高，一旦发生火灾火势极易蔓延至周边区域，给区域内陆生植被带来潜在威胁。因此，施工方应该配合本地区的防火工作，积极贯彻《森林防火条例》，加强防火宣传教育，做好施工人员吸烟以及其它生活和生产用火的火源管理。施工区应配备一定数量的森林防火设备，包括风力灭火器、干粉灭火器、多用铲、组合工具、消防水袋及灭火水枪等。</w:t>
            </w:r>
          </w:p>
          <w:p>
            <w:pPr>
              <w:adjustRightInd w:val="0"/>
              <w:snapToGrid w:val="0"/>
              <w:ind w:firstLine="460"/>
              <w:rPr>
                <w:bCs/>
                <w:spacing w:val="10"/>
                <w:sz w:val="21"/>
                <w:szCs w:val="21"/>
              </w:rPr>
            </w:pPr>
            <w:r>
              <w:rPr>
                <w:rFonts w:hint="eastAsia" w:ascii="宋体" w:hAnsi="宋体" w:cs="宋体"/>
                <w:bCs/>
                <w:spacing w:val="10"/>
                <w:sz w:val="21"/>
                <w:szCs w:val="21"/>
              </w:rPr>
              <w:t>②</w:t>
            </w:r>
            <w:r>
              <w:rPr>
                <w:bCs/>
                <w:spacing w:val="10"/>
                <w:sz w:val="21"/>
                <w:szCs w:val="21"/>
              </w:rPr>
              <w:t>在施工过程中，应加强施工人员的管理，禁止施工人员对占地外植被滥砍滥伐，破坏区域生态环境。</w:t>
            </w:r>
          </w:p>
          <w:p>
            <w:pPr>
              <w:adjustRightInd w:val="0"/>
              <w:snapToGrid w:val="0"/>
              <w:ind w:firstLine="460"/>
              <w:rPr>
                <w:bCs/>
                <w:spacing w:val="10"/>
                <w:sz w:val="21"/>
                <w:szCs w:val="21"/>
              </w:rPr>
            </w:pPr>
            <w:r>
              <w:rPr>
                <w:rFonts w:hint="eastAsia" w:ascii="宋体" w:hAnsi="宋体" w:cs="宋体"/>
                <w:bCs/>
                <w:spacing w:val="10"/>
                <w:sz w:val="21"/>
                <w:szCs w:val="21"/>
              </w:rPr>
              <w:t>③</w:t>
            </w:r>
            <w:r>
              <w:rPr>
                <w:bCs/>
                <w:spacing w:val="10"/>
                <w:sz w:val="21"/>
                <w:szCs w:val="21"/>
              </w:rPr>
              <w:t>在施工期利用宣传标牌等宣教手段，开展宣传教育工作，并通过积极的日常巡护管理工作加强对野生植物的保护管理，杜绝滥砍滥伐及其它破坏野生植物的行径。</w:t>
            </w:r>
          </w:p>
          <w:p>
            <w:pPr>
              <w:adjustRightInd w:val="0"/>
              <w:snapToGrid w:val="0"/>
              <w:ind w:firstLine="462"/>
              <w:rPr>
                <w:b/>
                <w:bCs/>
                <w:spacing w:val="10"/>
                <w:sz w:val="21"/>
                <w:szCs w:val="21"/>
              </w:rPr>
            </w:pPr>
            <w:r>
              <w:rPr>
                <w:b/>
                <w:bCs/>
                <w:spacing w:val="10"/>
                <w:sz w:val="21"/>
                <w:szCs w:val="21"/>
              </w:rPr>
              <w:t>（3）对陆生动物影响的减免和保护</w:t>
            </w:r>
          </w:p>
          <w:p>
            <w:pPr>
              <w:adjustRightInd w:val="0"/>
              <w:snapToGrid w:val="0"/>
              <w:ind w:firstLine="460"/>
              <w:rPr>
                <w:bCs/>
                <w:spacing w:val="10"/>
                <w:sz w:val="21"/>
                <w:szCs w:val="21"/>
              </w:rPr>
            </w:pPr>
            <w:r>
              <w:rPr>
                <w:rFonts w:hint="eastAsia" w:ascii="宋体" w:hAnsi="宋体" w:cs="宋体"/>
                <w:bCs/>
                <w:spacing w:val="10"/>
                <w:sz w:val="21"/>
                <w:szCs w:val="21"/>
              </w:rPr>
              <w:t>①</w:t>
            </w:r>
            <w:r>
              <w:rPr>
                <w:bCs/>
                <w:spacing w:val="10"/>
                <w:sz w:val="21"/>
                <w:szCs w:val="21"/>
              </w:rPr>
              <w:t>管理要求</w:t>
            </w:r>
          </w:p>
          <w:p>
            <w:pPr>
              <w:adjustRightInd w:val="0"/>
              <w:snapToGrid w:val="0"/>
              <w:ind w:firstLine="460"/>
              <w:rPr>
                <w:bCs/>
                <w:spacing w:val="10"/>
                <w:sz w:val="21"/>
                <w:szCs w:val="21"/>
              </w:rPr>
            </w:pPr>
            <w:r>
              <w:rPr>
                <w:bCs/>
                <w:spacing w:val="10"/>
                <w:sz w:val="21"/>
                <w:szCs w:val="21"/>
              </w:rPr>
              <w:t>a采取先进的施工工艺和技术，减少震动对野生动物带来的干扰。施工单位采取多种方式，打击偷猎野生动物的违法行为。</w:t>
            </w:r>
          </w:p>
          <w:p>
            <w:pPr>
              <w:adjustRightInd w:val="0"/>
              <w:snapToGrid w:val="0"/>
              <w:ind w:firstLine="460"/>
              <w:rPr>
                <w:bCs/>
                <w:spacing w:val="10"/>
                <w:sz w:val="21"/>
                <w:szCs w:val="21"/>
              </w:rPr>
            </w:pPr>
            <w:r>
              <w:rPr>
                <w:bCs/>
                <w:spacing w:val="10"/>
                <w:sz w:val="21"/>
                <w:szCs w:val="21"/>
              </w:rPr>
              <w:t>b在施工期要禁止任何人员、采取任何方式进行捕捉和猎杀动物等非法行为。</w:t>
            </w:r>
          </w:p>
          <w:p>
            <w:pPr>
              <w:adjustRightInd w:val="0"/>
              <w:snapToGrid w:val="0"/>
              <w:ind w:firstLine="460"/>
              <w:rPr>
                <w:bCs/>
                <w:spacing w:val="10"/>
                <w:sz w:val="21"/>
                <w:szCs w:val="21"/>
              </w:rPr>
            </w:pPr>
            <w:r>
              <w:rPr>
                <w:bCs/>
                <w:spacing w:val="10"/>
                <w:sz w:val="21"/>
                <w:szCs w:val="21"/>
              </w:rPr>
              <w:t>c在施工期利用宣传标牌等宣教手段，开展宣传教育工作，并通过积极的日常巡护管理工作加强对野生动物的保护管理。</w:t>
            </w:r>
          </w:p>
          <w:p>
            <w:pPr>
              <w:adjustRightInd w:val="0"/>
              <w:snapToGrid w:val="0"/>
              <w:ind w:firstLine="460"/>
              <w:rPr>
                <w:bCs/>
                <w:spacing w:val="10"/>
                <w:sz w:val="21"/>
                <w:szCs w:val="21"/>
              </w:rPr>
            </w:pPr>
            <w:r>
              <w:rPr>
                <w:rFonts w:hint="eastAsia" w:ascii="宋体" w:hAnsi="宋体" w:cs="宋体"/>
                <w:bCs/>
                <w:spacing w:val="10"/>
                <w:sz w:val="21"/>
                <w:szCs w:val="21"/>
              </w:rPr>
              <w:t>②</w:t>
            </w:r>
            <w:r>
              <w:rPr>
                <w:bCs/>
                <w:spacing w:val="10"/>
                <w:sz w:val="21"/>
                <w:szCs w:val="21"/>
              </w:rPr>
              <w:t>对两栖爬行类的保护措施</w:t>
            </w:r>
          </w:p>
          <w:p>
            <w:pPr>
              <w:adjustRightInd w:val="0"/>
              <w:snapToGrid w:val="0"/>
              <w:ind w:firstLine="460"/>
              <w:rPr>
                <w:bCs/>
                <w:spacing w:val="10"/>
                <w:sz w:val="21"/>
                <w:szCs w:val="21"/>
              </w:rPr>
            </w:pPr>
            <w:r>
              <w:rPr>
                <w:bCs/>
                <w:spacing w:val="10"/>
                <w:sz w:val="21"/>
                <w:szCs w:val="21"/>
              </w:rPr>
              <w:t>加强对周边区域内现有植被的保护，严格限定施工范围，避免造成大的水土流失；</w:t>
            </w:r>
          </w:p>
          <w:p>
            <w:pPr>
              <w:adjustRightInd w:val="0"/>
              <w:snapToGrid w:val="0"/>
              <w:ind w:firstLine="460"/>
              <w:rPr>
                <w:bCs/>
                <w:spacing w:val="10"/>
                <w:sz w:val="21"/>
                <w:szCs w:val="21"/>
              </w:rPr>
            </w:pPr>
            <w:r>
              <w:rPr>
                <w:bCs/>
                <w:spacing w:val="10"/>
                <w:sz w:val="21"/>
                <w:szCs w:val="21"/>
              </w:rPr>
              <w:t>严防燃油泄漏及油污对土壤环境造成污染；对工程废弃物进行快速处理，防止遗留物对环境造成污染，防止对两栖爬行动物本身及栖息环境的破坏和污染；</w:t>
            </w:r>
          </w:p>
          <w:p>
            <w:pPr>
              <w:adjustRightInd w:val="0"/>
              <w:snapToGrid w:val="0"/>
              <w:ind w:firstLine="460"/>
              <w:rPr>
                <w:bCs/>
                <w:spacing w:val="10"/>
                <w:sz w:val="21"/>
                <w:szCs w:val="21"/>
              </w:rPr>
            </w:pPr>
            <w:r>
              <w:rPr>
                <w:bCs/>
                <w:spacing w:val="10"/>
                <w:sz w:val="21"/>
                <w:szCs w:val="21"/>
              </w:rPr>
              <w:t>早晚施工注意避免对两栖动物造成碾压危害，冬春季节施工发现冬眠的蛇及蛙等两栖动物，应禁止捕捉，并报请林业部门安全移至远离工区的相似生境中。</w:t>
            </w:r>
          </w:p>
          <w:p>
            <w:pPr>
              <w:adjustRightInd w:val="0"/>
              <w:snapToGrid w:val="0"/>
              <w:ind w:firstLine="460"/>
              <w:rPr>
                <w:bCs/>
                <w:spacing w:val="10"/>
                <w:sz w:val="21"/>
                <w:szCs w:val="21"/>
              </w:rPr>
            </w:pPr>
            <w:r>
              <w:rPr>
                <w:rFonts w:hint="eastAsia" w:ascii="宋体" w:hAnsi="宋体" w:cs="宋体"/>
                <w:bCs/>
                <w:spacing w:val="10"/>
                <w:sz w:val="21"/>
                <w:szCs w:val="21"/>
              </w:rPr>
              <w:t>③</w:t>
            </w:r>
            <w:r>
              <w:rPr>
                <w:bCs/>
                <w:spacing w:val="10"/>
                <w:sz w:val="21"/>
                <w:szCs w:val="21"/>
              </w:rPr>
              <w:t>对鸟类的保护措施</w:t>
            </w:r>
          </w:p>
          <w:p>
            <w:pPr>
              <w:adjustRightInd w:val="0"/>
              <w:snapToGrid w:val="0"/>
              <w:ind w:firstLine="460"/>
              <w:rPr>
                <w:bCs/>
                <w:spacing w:val="10"/>
                <w:sz w:val="21"/>
                <w:szCs w:val="21"/>
              </w:rPr>
            </w:pPr>
            <w:r>
              <w:rPr>
                <w:bCs/>
                <w:spacing w:val="10"/>
                <w:sz w:val="21"/>
                <w:szCs w:val="21"/>
              </w:rPr>
              <w:t>a增强施工人员的环境保护意识，加强对国家重点保护野生动物的保护，严禁猎捕各种鸟类。</w:t>
            </w:r>
          </w:p>
          <w:p>
            <w:pPr>
              <w:adjustRightInd w:val="0"/>
              <w:snapToGrid w:val="0"/>
              <w:ind w:firstLine="460"/>
              <w:rPr>
                <w:bCs/>
                <w:spacing w:val="10"/>
                <w:sz w:val="21"/>
                <w:szCs w:val="21"/>
              </w:rPr>
            </w:pPr>
            <w:r>
              <w:rPr>
                <w:bCs/>
                <w:spacing w:val="10"/>
                <w:sz w:val="21"/>
                <w:szCs w:val="21"/>
              </w:rPr>
              <w:t>b减少施工对鸟类栖息地的破坏，极力保留临时占地内的乔木，条件允许时边施工边进行植被快速恢复。</w:t>
            </w:r>
          </w:p>
          <w:p>
            <w:pPr>
              <w:adjustRightInd w:val="0"/>
              <w:snapToGrid w:val="0"/>
              <w:ind w:firstLine="460"/>
              <w:rPr>
                <w:bCs/>
                <w:spacing w:val="10"/>
                <w:sz w:val="21"/>
                <w:szCs w:val="21"/>
              </w:rPr>
            </w:pPr>
            <w:r>
              <w:rPr>
                <w:bCs/>
                <w:spacing w:val="10"/>
                <w:sz w:val="21"/>
                <w:szCs w:val="21"/>
              </w:rPr>
              <w:t>c应加强水土保持，促进临时占地区植物群落的恢复，为鸟类提供良好的栖息、活动环境，使鸟类的种群数量不发生大的波动。</w:t>
            </w:r>
          </w:p>
          <w:p>
            <w:pPr>
              <w:adjustRightInd w:val="0"/>
              <w:snapToGrid w:val="0"/>
              <w:ind w:firstLine="460"/>
              <w:rPr>
                <w:bCs/>
                <w:spacing w:val="10"/>
                <w:sz w:val="21"/>
                <w:szCs w:val="21"/>
              </w:rPr>
            </w:pPr>
            <w:r>
              <w:rPr>
                <w:rFonts w:hint="eastAsia" w:ascii="宋体" w:hAnsi="宋体" w:cs="宋体"/>
                <w:bCs/>
                <w:spacing w:val="10"/>
                <w:sz w:val="21"/>
                <w:szCs w:val="21"/>
              </w:rPr>
              <w:t>④</w:t>
            </w:r>
            <w:r>
              <w:rPr>
                <w:bCs/>
                <w:spacing w:val="10"/>
                <w:sz w:val="21"/>
                <w:szCs w:val="21"/>
              </w:rPr>
              <w:t>对兽类的保护措施</w:t>
            </w:r>
          </w:p>
          <w:p>
            <w:pPr>
              <w:adjustRightInd w:val="0"/>
              <w:snapToGrid w:val="0"/>
              <w:ind w:firstLine="460"/>
              <w:rPr>
                <w:bCs/>
                <w:spacing w:val="10"/>
                <w:sz w:val="21"/>
                <w:szCs w:val="21"/>
              </w:rPr>
            </w:pPr>
            <w:r>
              <w:rPr>
                <w:bCs/>
                <w:spacing w:val="10"/>
                <w:sz w:val="21"/>
                <w:szCs w:val="21"/>
              </w:rPr>
              <w:t>区域以小型兽类的栖息地为主，针对这些小型兽类，应做到如下保护措施：</w:t>
            </w:r>
          </w:p>
          <w:p>
            <w:pPr>
              <w:adjustRightInd w:val="0"/>
              <w:snapToGrid w:val="0"/>
              <w:ind w:firstLine="460"/>
              <w:rPr>
                <w:bCs/>
                <w:spacing w:val="10"/>
                <w:sz w:val="21"/>
                <w:szCs w:val="21"/>
              </w:rPr>
            </w:pPr>
            <w:r>
              <w:rPr>
                <w:bCs/>
                <w:spacing w:val="10"/>
                <w:sz w:val="21"/>
                <w:szCs w:val="21"/>
              </w:rPr>
              <w:t>a严格控制施工范围，保护好小型兽类的栖息地；</w:t>
            </w:r>
          </w:p>
          <w:p>
            <w:pPr>
              <w:adjustRightInd w:val="0"/>
              <w:snapToGrid w:val="0"/>
              <w:ind w:firstLine="460"/>
              <w:rPr>
                <w:bCs/>
                <w:spacing w:val="10"/>
                <w:sz w:val="21"/>
                <w:szCs w:val="21"/>
              </w:rPr>
            </w:pPr>
            <w:r>
              <w:rPr>
                <w:bCs/>
                <w:spacing w:val="10"/>
                <w:sz w:val="21"/>
                <w:szCs w:val="21"/>
              </w:rPr>
              <w:t>b对工程废物和施工人员的生活垃圾进行快速处理，尽量避免生活垃圾为鼠类等疫源性兽类提供生活环境，避免疫源性兽类种群爆发。</w:t>
            </w:r>
          </w:p>
          <w:p>
            <w:pPr>
              <w:adjustRightInd w:val="0"/>
              <w:snapToGrid w:val="0"/>
              <w:ind w:firstLine="460"/>
              <w:rPr>
                <w:bCs/>
                <w:spacing w:val="10"/>
                <w:sz w:val="21"/>
                <w:szCs w:val="21"/>
              </w:rPr>
            </w:pPr>
            <w:r>
              <w:rPr>
                <w:bCs/>
                <w:spacing w:val="10"/>
                <w:sz w:val="21"/>
                <w:szCs w:val="21"/>
              </w:rPr>
              <w:t>c施工活动时要集中时间快速完成，避开植被较好、兽类物种较丰富的区域等兽类繁殖的季节。</w:t>
            </w:r>
          </w:p>
          <w:p>
            <w:pPr>
              <w:adjustRightInd w:val="0"/>
              <w:snapToGrid w:val="0"/>
              <w:ind w:firstLine="460"/>
              <w:rPr>
                <w:bCs/>
                <w:spacing w:val="10"/>
                <w:sz w:val="21"/>
                <w:szCs w:val="21"/>
              </w:rPr>
            </w:pPr>
            <w:r>
              <w:rPr>
                <w:bCs/>
                <w:spacing w:val="10"/>
                <w:sz w:val="21"/>
                <w:szCs w:val="21"/>
              </w:rPr>
              <w:t>d禁止偷猎、下夹、设置陷阱的捕杀行为，违者严惩。</w:t>
            </w:r>
          </w:p>
          <w:p>
            <w:pPr>
              <w:adjustRightInd w:val="0"/>
              <w:snapToGrid w:val="0"/>
              <w:ind w:firstLine="460"/>
              <w:rPr>
                <w:bCs/>
                <w:spacing w:val="10"/>
                <w:sz w:val="21"/>
                <w:szCs w:val="21"/>
              </w:rPr>
            </w:pPr>
            <w:r>
              <w:rPr>
                <w:bCs/>
                <w:spacing w:val="10"/>
                <w:sz w:val="21"/>
                <w:szCs w:val="21"/>
              </w:rPr>
              <w:t>e施工中尽量减少噪声干扰。通过减少机械噪声和禁止车辆鸣笛等措施避免对野生动物产生惊扰。</w:t>
            </w:r>
          </w:p>
          <w:p>
            <w:pPr>
              <w:adjustRightInd w:val="0"/>
              <w:snapToGrid w:val="0"/>
              <w:ind w:firstLine="460"/>
              <w:rPr>
                <w:bCs/>
                <w:spacing w:val="10"/>
                <w:sz w:val="21"/>
                <w:szCs w:val="21"/>
              </w:rPr>
            </w:pPr>
            <w:r>
              <w:rPr>
                <w:bCs/>
                <w:spacing w:val="10"/>
                <w:sz w:val="21"/>
                <w:szCs w:val="21"/>
              </w:rPr>
              <w:t>f禁止夜间施工，为在该区域夜行性的动物保留较安宁的活动环境。</w:t>
            </w:r>
          </w:p>
          <w:p>
            <w:pPr>
              <w:adjustRightInd w:val="0"/>
              <w:snapToGrid w:val="0"/>
              <w:ind w:firstLine="462"/>
              <w:rPr>
                <w:b/>
                <w:bCs/>
                <w:spacing w:val="10"/>
                <w:sz w:val="21"/>
                <w:szCs w:val="21"/>
              </w:rPr>
            </w:pPr>
            <w:r>
              <w:rPr>
                <w:b/>
                <w:bCs/>
                <w:spacing w:val="10"/>
                <w:sz w:val="21"/>
                <w:szCs w:val="21"/>
              </w:rPr>
              <w:t>（3）耕植土保护措施</w:t>
            </w:r>
          </w:p>
          <w:p>
            <w:pPr>
              <w:adjustRightInd w:val="0"/>
              <w:snapToGrid w:val="0"/>
              <w:ind w:firstLine="460"/>
              <w:rPr>
                <w:bCs/>
                <w:spacing w:val="10"/>
                <w:sz w:val="21"/>
                <w:szCs w:val="21"/>
              </w:rPr>
            </w:pPr>
            <w:r>
              <w:rPr>
                <w:bCs/>
                <w:spacing w:val="10"/>
                <w:sz w:val="21"/>
                <w:szCs w:val="21"/>
              </w:rPr>
              <w:t>项目建设占地区域应先剥离占地范围内表层土，井场范围内耕植土堆至于井场</w:t>
            </w:r>
            <w:r>
              <w:rPr>
                <w:rFonts w:hint="eastAsia"/>
                <w:bCs/>
                <w:spacing w:val="10"/>
                <w:sz w:val="21"/>
                <w:szCs w:val="21"/>
              </w:rPr>
              <w:t>东北侧</w:t>
            </w:r>
            <w:r>
              <w:rPr>
                <w:bCs/>
                <w:spacing w:val="10"/>
                <w:sz w:val="21"/>
                <w:szCs w:val="21"/>
              </w:rPr>
              <w:t>的临时耕植土堆场内。耕植土堆放区采用浆砌片石护脚墙，高度1.5m。耕植土采用层铺法进行层层堆放，并对每层进行适当压实，表面有1%~2%向外的坡度，然后用防水彩条布进行覆盖，同时，在耕植土堆放场护脚外30cm处开挖30cm×30cm的简易排水沟排水，以防止雨水冲刷造成水土流失，待钻井项目完成后用于场地的复垦。耕植土应均匀回填并夯压整平，回填整平后之后尽快植草以防水土流失。</w:t>
            </w:r>
          </w:p>
          <w:p>
            <w:pPr>
              <w:adjustRightInd w:val="0"/>
              <w:snapToGrid w:val="0"/>
              <w:ind w:firstLine="462"/>
              <w:rPr>
                <w:b/>
                <w:bCs/>
                <w:spacing w:val="10"/>
                <w:sz w:val="21"/>
                <w:szCs w:val="21"/>
              </w:rPr>
            </w:pPr>
            <w:r>
              <w:rPr>
                <w:b/>
                <w:bCs/>
                <w:spacing w:val="10"/>
                <w:sz w:val="21"/>
                <w:szCs w:val="21"/>
              </w:rPr>
              <w:t>（4）水土流失防治措施</w:t>
            </w:r>
          </w:p>
          <w:p>
            <w:pPr>
              <w:adjustRightInd w:val="0"/>
              <w:snapToGrid w:val="0"/>
              <w:ind w:firstLine="460"/>
              <w:rPr>
                <w:bCs/>
                <w:spacing w:val="10"/>
                <w:sz w:val="21"/>
                <w:szCs w:val="21"/>
              </w:rPr>
            </w:pPr>
            <w:r>
              <w:rPr>
                <w:rFonts w:hint="eastAsia" w:ascii="宋体" w:hAnsi="宋体" w:cs="宋体"/>
                <w:bCs/>
                <w:spacing w:val="10"/>
                <w:sz w:val="21"/>
                <w:szCs w:val="21"/>
              </w:rPr>
              <w:t>①</w:t>
            </w:r>
            <w:r>
              <w:rPr>
                <w:bCs/>
                <w:spacing w:val="10"/>
                <w:sz w:val="21"/>
                <w:szCs w:val="21"/>
              </w:rPr>
              <w:t>在井场施工过程中应特别注意施工边坡坡度，可根据现场情况在井场周边设置边坡、堡坎等保护措施，以免雨水浸泡和冲刷。</w:t>
            </w:r>
          </w:p>
          <w:p>
            <w:pPr>
              <w:adjustRightInd w:val="0"/>
              <w:snapToGrid w:val="0"/>
              <w:ind w:firstLine="460"/>
              <w:rPr>
                <w:bCs/>
                <w:spacing w:val="10"/>
                <w:sz w:val="21"/>
                <w:szCs w:val="21"/>
              </w:rPr>
            </w:pPr>
            <w:r>
              <w:rPr>
                <w:rFonts w:hint="eastAsia" w:ascii="宋体" w:hAnsi="宋体" w:cs="宋体"/>
                <w:bCs/>
                <w:spacing w:val="10"/>
                <w:sz w:val="21"/>
                <w:szCs w:val="21"/>
              </w:rPr>
              <w:t>②</w:t>
            </w:r>
            <w:r>
              <w:rPr>
                <w:bCs/>
                <w:spacing w:val="10"/>
                <w:sz w:val="21"/>
                <w:szCs w:val="21"/>
              </w:rPr>
              <w:t>划定施工作业范围线，不随意扩大。并严格控制机械和车辆的作业范围，尽可能减少对土壤和农作物的破坏以及由此引发的水土流失。</w:t>
            </w:r>
          </w:p>
          <w:p>
            <w:pPr>
              <w:adjustRightInd w:val="0"/>
              <w:snapToGrid w:val="0"/>
              <w:ind w:firstLine="460"/>
              <w:rPr>
                <w:bCs/>
                <w:spacing w:val="10"/>
                <w:sz w:val="21"/>
                <w:szCs w:val="21"/>
              </w:rPr>
            </w:pPr>
            <w:r>
              <w:rPr>
                <w:rFonts w:hint="eastAsia" w:ascii="宋体" w:hAnsi="宋体" w:cs="宋体"/>
                <w:bCs/>
                <w:spacing w:val="10"/>
                <w:sz w:val="21"/>
                <w:szCs w:val="21"/>
              </w:rPr>
              <w:t>③</w:t>
            </w:r>
            <w:r>
              <w:rPr>
                <w:bCs/>
                <w:spacing w:val="10"/>
                <w:sz w:val="21"/>
                <w:szCs w:val="21"/>
              </w:rPr>
              <w:t>对于工程临时弃土选择了地势低洼处进行临时堆放，不得随意堆放，堆放完毕后要注意对表面平整处理，不要形成小山包，以减少水土流失。</w:t>
            </w:r>
          </w:p>
          <w:p>
            <w:pPr>
              <w:adjustRightInd w:val="0"/>
              <w:snapToGrid w:val="0"/>
              <w:ind w:firstLine="460"/>
              <w:rPr>
                <w:bCs/>
                <w:spacing w:val="10"/>
                <w:sz w:val="21"/>
                <w:szCs w:val="21"/>
              </w:rPr>
            </w:pPr>
            <w:r>
              <w:rPr>
                <w:rFonts w:hint="eastAsia" w:ascii="宋体" w:hAnsi="宋体" w:cs="宋体"/>
                <w:bCs/>
                <w:spacing w:val="10"/>
                <w:sz w:val="21"/>
                <w:szCs w:val="21"/>
              </w:rPr>
              <w:t>④</w:t>
            </w:r>
            <w:r>
              <w:rPr>
                <w:bCs/>
                <w:spacing w:val="10"/>
                <w:sz w:val="21"/>
                <w:szCs w:val="21"/>
              </w:rPr>
              <w:t>尽量避开雨季施工，提高工程施工效率，缩短施工工期。</w:t>
            </w:r>
          </w:p>
          <w:p>
            <w:pPr>
              <w:adjustRightInd w:val="0"/>
              <w:snapToGrid w:val="0"/>
              <w:ind w:firstLine="462"/>
              <w:rPr>
                <w:b/>
                <w:bCs/>
                <w:spacing w:val="10"/>
                <w:sz w:val="21"/>
                <w:szCs w:val="21"/>
              </w:rPr>
            </w:pPr>
            <w:r>
              <w:rPr>
                <w:b/>
                <w:bCs/>
                <w:spacing w:val="10"/>
                <w:sz w:val="21"/>
                <w:szCs w:val="21"/>
              </w:rPr>
              <w:t>（5）永久基本农田保护措施</w:t>
            </w:r>
          </w:p>
          <w:p>
            <w:pPr>
              <w:adjustRightInd w:val="0"/>
              <w:snapToGrid w:val="0"/>
              <w:ind w:firstLine="460"/>
              <w:rPr>
                <w:bCs/>
                <w:spacing w:val="10"/>
                <w:sz w:val="21"/>
                <w:szCs w:val="21"/>
              </w:rPr>
            </w:pPr>
            <w:r>
              <w:rPr>
                <w:rFonts w:hint="eastAsia" w:ascii="宋体" w:hAnsi="宋体" w:cs="宋体"/>
                <w:bCs/>
                <w:spacing w:val="10"/>
                <w:sz w:val="21"/>
                <w:szCs w:val="21"/>
              </w:rPr>
              <w:t>①</w:t>
            </w:r>
            <w:r>
              <w:rPr>
                <w:bCs/>
                <w:spacing w:val="10"/>
                <w:sz w:val="21"/>
                <w:szCs w:val="21"/>
              </w:rPr>
              <w:t>严格执行相关法律、法规关于永久基本农田的保护规定</w:t>
            </w:r>
          </w:p>
          <w:p>
            <w:pPr>
              <w:adjustRightInd w:val="0"/>
              <w:snapToGrid w:val="0"/>
              <w:ind w:firstLine="460"/>
              <w:rPr>
                <w:bCs/>
                <w:spacing w:val="10"/>
                <w:sz w:val="21"/>
                <w:szCs w:val="21"/>
              </w:rPr>
            </w:pPr>
            <w:r>
              <w:rPr>
                <w:bCs/>
                <w:spacing w:val="10"/>
                <w:sz w:val="21"/>
                <w:szCs w:val="21"/>
              </w:rPr>
              <w:t>严格执行《中华人民共和国土地管理法》《永久基本农田保护条例</w:t>
            </w:r>
            <w:r>
              <w:rPr>
                <w:rFonts w:hint="eastAsia"/>
                <w:bCs/>
                <w:spacing w:val="10"/>
                <w:sz w:val="21"/>
                <w:szCs w:val="21"/>
                <w:lang w:eastAsia="zh-CN"/>
              </w:rPr>
              <w:t>》《</w:t>
            </w:r>
            <w:r>
              <w:rPr>
                <w:bCs/>
                <w:spacing w:val="10"/>
                <w:sz w:val="21"/>
                <w:szCs w:val="21"/>
              </w:rPr>
              <w:t>自然资源部农业农村部关于加强和改进永久基本农田保护工作的通知》（自然资规﹝2019﹞1号）和</w:t>
            </w:r>
            <w:r>
              <w:rPr>
                <w:rFonts w:hint="eastAsia" w:hAnsi="宋体"/>
                <w:snapToGrid w:val="0"/>
                <w:kern w:val="0"/>
                <w:sz w:val="21"/>
                <w:szCs w:val="21"/>
              </w:rPr>
              <w:t>《四川省自然资源厅关于进一步明确临时用地管理有关事项的通知》（川自然资规〔</w:t>
            </w:r>
            <w:r>
              <w:rPr>
                <w:rFonts w:hAnsi="宋体"/>
                <w:snapToGrid w:val="0"/>
                <w:kern w:val="0"/>
                <w:sz w:val="21"/>
                <w:szCs w:val="21"/>
              </w:rPr>
              <w:t>2022</w:t>
            </w:r>
            <w:r>
              <w:rPr>
                <w:rFonts w:hint="eastAsia" w:hAnsi="宋体"/>
                <w:snapToGrid w:val="0"/>
                <w:kern w:val="0"/>
                <w:sz w:val="21"/>
                <w:szCs w:val="21"/>
              </w:rPr>
              <w:t>〕</w:t>
            </w:r>
            <w:r>
              <w:rPr>
                <w:rFonts w:hAnsi="宋体"/>
                <w:snapToGrid w:val="0"/>
                <w:kern w:val="0"/>
                <w:sz w:val="21"/>
                <w:szCs w:val="21"/>
              </w:rPr>
              <w:t>3</w:t>
            </w:r>
            <w:r>
              <w:rPr>
                <w:rFonts w:hint="eastAsia" w:hAnsi="宋体"/>
                <w:snapToGrid w:val="0"/>
                <w:kern w:val="0"/>
                <w:sz w:val="21"/>
                <w:szCs w:val="21"/>
              </w:rPr>
              <w:t>号）</w:t>
            </w:r>
            <w:r>
              <w:rPr>
                <w:bCs/>
                <w:spacing w:val="10"/>
                <w:sz w:val="21"/>
                <w:szCs w:val="21"/>
              </w:rPr>
              <w:t>文件中相关永久基本农田保护规定，并在地方政府指导下完善相应手续。</w:t>
            </w:r>
          </w:p>
          <w:p>
            <w:pPr>
              <w:adjustRightInd w:val="0"/>
              <w:snapToGrid w:val="0"/>
              <w:ind w:firstLine="460"/>
              <w:rPr>
                <w:bCs/>
                <w:spacing w:val="10"/>
                <w:sz w:val="21"/>
                <w:szCs w:val="21"/>
              </w:rPr>
            </w:pPr>
            <w:r>
              <w:rPr>
                <w:rFonts w:hint="eastAsia" w:ascii="宋体" w:hAnsi="宋体" w:cs="宋体"/>
                <w:bCs/>
                <w:spacing w:val="10"/>
                <w:sz w:val="21"/>
                <w:szCs w:val="21"/>
              </w:rPr>
              <w:t>②</w:t>
            </w:r>
            <w:r>
              <w:rPr>
                <w:bCs/>
                <w:spacing w:val="10"/>
                <w:sz w:val="21"/>
                <w:szCs w:val="21"/>
              </w:rPr>
              <w:t>永久基本农田保护方案</w:t>
            </w:r>
          </w:p>
          <w:p>
            <w:pPr>
              <w:adjustRightInd w:val="0"/>
              <w:snapToGrid w:val="0"/>
              <w:ind w:firstLine="460"/>
              <w:rPr>
                <w:bCs/>
                <w:spacing w:val="10"/>
                <w:sz w:val="21"/>
                <w:szCs w:val="21"/>
              </w:rPr>
            </w:pPr>
            <w:r>
              <w:rPr>
                <w:bCs/>
                <w:spacing w:val="10"/>
                <w:sz w:val="21"/>
                <w:szCs w:val="21"/>
              </w:rPr>
              <w:t>《永久基本农田保护条例》规定：经国务院批准占用永久基本农田兴建国家重点建设项目的，在建设项目环境影响报告书中，应当有永久基本农田环境保护方案。编制永久基本农田环境保护方案旨在就项目施工建设对永久基本农田的破坏影响提出减缓措施。</w:t>
            </w:r>
            <w:r>
              <w:rPr>
                <w:rFonts w:hint="eastAsia"/>
                <w:bCs/>
                <w:spacing w:val="10"/>
                <w:sz w:val="21"/>
                <w:szCs w:val="21"/>
              </w:rPr>
              <w:t>项目</w:t>
            </w:r>
            <w:r>
              <w:rPr>
                <w:bCs/>
                <w:spacing w:val="10"/>
                <w:sz w:val="21"/>
                <w:szCs w:val="21"/>
              </w:rPr>
              <w:t>不涉及运营期，因此本方案仅针对建设前期和施工期两个阶段提出永久基本农田保护措施。</w:t>
            </w:r>
          </w:p>
          <w:p>
            <w:pPr>
              <w:adjustRightInd w:val="0"/>
              <w:snapToGrid w:val="0"/>
              <w:ind w:firstLine="460"/>
              <w:rPr>
                <w:bCs/>
                <w:spacing w:val="10"/>
                <w:sz w:val="21"/>
                <w:szCs w:val="21"/>
              </w:rPr>
            </w:pPr>
            <w:r>
              <w:rPr>
                <w:bCs/>
                <w:spacing w:val="10"/>
                <w:sz w:val="21"/>
                <w:szCs w:val="21"/>
              </w:rPr>
              <w:t>（一）建设前期</w:t>
            </w:r>
          </w:p>
          <w:p>
            <w:pPr>
              <w:adjustRightInd w:val="0"/>
              <w:snapToGrid w:val="0"/>
              <w:ind w:firstLine="460"/>
              <w:rPr>
                <w:bCs/>
                <w:spacing w:val="10"/>
                <w:sz w:val="21"/>
                <w:szCs w:val="21"/>
              </w:rPr>
            </w:pPr>
            <w:r>
              <w:rPr>
                <w:bCs/>
                <w:spacing w:val="10"/>
                <w:sz w:val="21"/>
                <w:szCs w:val="21"/>
              </w:rPr>
              <w:t>a优化井场选址，尽量避开永久基本农田。</w:t>
            </w:r>
          </w:p>
          <w:p>
            <w:pPr>
              <w:adjustRightInd w:val="0"/>
              <w:snapToGrid w:val="0"/>
              <w:ind w:firstLine="460"/>
              <w:rPr>
                <w:bCs/>
                <w:spacing w:val="10"/>
                <w:sz w:val="21"/>
                <w:szCs w:val="21"/>
              </w:rPr>
            </w:pPr>
            <w:r>
              <w:rPr>
                <w:bCs/>
                <w:spacing w:val="10"/>
                <w:sz w:val="21"/>
                <w:szCs w:val="21"/>
              </w:rPr>
              <w:t>b合理安排工期。占用农田的施工活动尽量安排在农作物收获期以后进行，以减少农业生产损失。</w:t>
            </w:r>
          </w:p>
          <w:p>
            <w:pPr>
              <w:adjustRightInd w:val="0"/>
              <w:snapToGrid w:val="0"/>
              <w:ind w:firstLine="460"/>
              <w:rPr>
                <w:bCs/>
                <w:spacing w:val="10"/>
                <w:sz w:val="21"/>
                <w:szCs w:val="21"/>
              </w:rPr>
            </w:pPr>
            <w:r>
              <w:rPr>
                <w:bCs/>
                <w:spacing w:val="10"/>
                <w:sz w:val="21"/>
                <w:szCs w:val="21"/>
              </w:rPr>
              <w:t>c建设单位应严格执行国家及地方法律、法规有关永久基本农田征占审批和补偿的规定，在施工前应办理好相关土地使用手续。</w:t>
            </w:r>
          </w:p>
          <w:p>
            <w:pPr>
              <w:adjustRightInd w:val="0"/>
              <w:snapToGrid w:val="0"/>
              <w:ind w:firstLine="460"/>
              <w:rPr>
                <w:bCs/>
                <w:spacing w:val="10"/>
                <w:sz w:val="21"/>
                <w:szCs w:val="21"/>
              </w:rPr>
            </w:pPr>
            <w:r>
              <w:rPr>
                <w:bCs/>
                <w:spacing w:val="10"/>
                <w:sz w:val="21"/>
                <w:szCs w:val="21"/>
              </w:rPr>
              <w:t>d建设在单位在完成土地使用审批手续后应及时施工建设，严禁闲置永久基本农田。</w:t>
            </w:r>
          </w:p>
          <w:p>
            <w:pPr>
              <w:adjustRightInd w:val="0"/>
              <w:snapToGrid w:val="0"/>
              <w:ind w:firstLine="460"/>
              <w:rPr>
                <w:bCs/>
                <w:spacing w:val="10"/>
                <w:sz w:val="21"/>
                <w:szCs w:val="21"/>
              </w:rPr>
            </w:pPr>
            <w:r>
              <w:rPr>
                <w:bCs/>
                <w:spacing w:val="10"/>
                <w:sz w:val="21"/>
                <w:szCs w:val="21"/>
              </w:rPr>
              <w:t>（二）施工期</w:t>
            </w:r>
          </w:p>
          <w:p>
            <w:pPr>
              <w:adjustRightInd w:val="0"/>
              <w:snapToGrid w:val="0"/>
              <w:ind w:firstLine="460"/>
              <w:rPr>
                <w:bCs/>
                <w:spacing w:val="10"/>
                <w:sz w:val="21"/>
                <w:szCs w:val="21"/>
              </w:rPr>
            </w:pPr>
            <w:r>
              <w:rPr>
                <w:bCs/>
                <w:spacing w:val="10"/>
                <w:sz w:val="21"/>
                <w:szCs w:val="21"/>
              </w:rPr>
              <w:t>a占用永久基本农田前要将耕作层进行剥离，单独收集堆放，并采取防护措施。施工结束后用于新开垦耕地或其他耕地的土壤改良。耕作层剥离再利用所需资金列入建设项目概算。</w:t>
            </w:r>
          </w:p>
          <w:p>
            <w:pPr>
              <w:adjustRightInd w:val="0"/>
              <w:snapToGrid w:val="0"/>
              <w:ind w:firstLine="460"/>
              <w:rPr>
                <w:bCs/>
                <w:spacing w:val="10"/>
                <w:sz w:val="21"/>
                <w:szCs w:val="21"/>
              </w:rPr>
            </w:pPr>
            <w:r>
              <w:rPr>
                <w:bCs/>
                <w:spacing w:val="10"/>
                <w:sz w:val="21"/>
                <w:szCs w:val="21"/>
              </w:rPr>
              <w:t>b严格控制好施工作业范围，尽量减少临时占用永久基本农田。</w:t>
            </w:r>
          </w:p>
          <w:p>
            <w:pPr>
              <w:adjustRightInd w:val="0"/>
              <w:snapToGrid w:val="0"/>
              <w:ind w:firstLine="460"/>
              <w:rPr>
                <w:bCs/>
                <w:spacing w:val="10"/>
                <w:sz w:val="21"/>
                <w:szCs w:val="21"/>
              </w:rPr>
            </w:pPr>
            <w:r>
              <w:rPr>
                <w:bCs/>
                <w:spacing w:val="10"/>
                <w:sz w:val="21"/>
                <w:szCs w:val="21"/>
              </w:rPr>
              <w:t>c严格按照《永久基本农田保护条例</w:t>
            </w:r>
            <w:r>
              <w:rPr>
                <w:rFonts w:hint="eastAsia"/>
                <w:bCs/>
                <w:spacing w:val="10"/>
                <w:sz w:val="21"/>
                <w:szCs w:val="21"/>
                <w:lang w:eastAsia="zh-CN"/>
              </w:rPr>
              <w:t>》《</w:t>
            </w:r>
            <w:r>
              <w:rPr>
                <w:bCs/>
                <w:spacing w:val="10"/>
                <w:sz w:val="21"/>
                <w:szCs w:val="21"/>
              </w:rPr>
              <w:t>土地复垦条例》和《土地复垦条例实施办法》等相关规定和要求，严格做好对永久基本农田的保护及恢复措施，土壤应分层开挖、分层堆放、分层回填，确保不降低项目区域永久基本农田地力。同时按要求编制土地复垦方案并报相应主管部门审批。</w:t>
            </w:r>
          </w:p>
          <w:p>
            <w:pPr>
              <w:adjustRightInd w:val="0"/>
              <w:snapToGrid w:val="0"/>
              <w:ind w:firstLine="460"/>
              <w:rPr>
                <w:bCs/>
                <w:spacing w:val="10"/>
                <w:sz w:val="21"/>
                <w:szCs w:val="21"/>
              </w:rPr>
            </w:pPr>
            <w:r>
              <w:rPr>
                <w:bCs/>
                <w:spacing w:val="10"/>
                <w:sz w:val="21"/>
                <w:szCs w:val="21"/>
              </w:rPr>
              <w:t>d妥善处理农田灌溉水利设施。对施工开挖可能破坏的灌溉水利设施，开挖前另建替代管道，避免中断农业灌溉。</w:t>
            </w:r>
          </w:p>
          <w:p>
            <w:pPr>
              <w:adjustRightInd w:val="0"/>
              <w:snapToGrid w:val="0"/>
              <w:ind w:firstLine="460"/>
              <w:rPr>
                <w:bCs/>
                <w:spacing w:val="10"/>
                <w:sz w:val="21"/>
                <w:szCs w:val="21"/>
              </w:rPr>
            </w:pPr>
            <w:r>
              <w:rPr>
                <w:bCs/>
                <w:spacing w:val="10"/>
                <w:sz w:val="21"/>
                <w:szCs w:val="21"/>
              </w:rPr>
              <w:t>e本项目涉及的土石方严禁临时堆置于永久基本农田内。</w:t>
            </w:r>
          </w:p>
          <w:p>
            <w:pPr>
              <w:adjustRightInd w:val="0"/>
              <w:snapToGrid w:val="0"/>
              <w:ind w:firstLine="460"/>
              <w:rPr>
                <w:bCs/>
                <w:spacing w:val="10"/>
                <w:sz w:val="21"/>
                <w:szCs w:val="21"/>
              </w:rPr>
            </w:pPr>
            <w:r>
              <w:rPr>
                <w:bCs/>
                <w:spacing w:val="10"/>
                <w:sz w:val="21"/>
                <w:szCs w:val="21"/>
              </w:rPr>
              <w:t>f施工期间应对施工废弃物实行集中堆放，及时清运处理，严禁随意弃置污染永久基本农田土壤。</w:t>
            </w:r>
          </w:p>
          <w:p>
            <w:pPr>
              <w:adjustRightInd w:val="0"/>
              <w:snapToGrid w:val="0"/>
              <w:ind w:firstLine="460"/>
              <w:rPr>
                <w:bCs/>
                <w:spacing w:val="10"/>
                <w:sz w:val="21"/>
                <w:szCs w:val="21"/>
              </w:rPr>
            </w:pPr>
            <w:r>
              <w:rPr>
                <w:bCs/>
                <w:spacing w:val="10"/>
                <w:sz w:val="21"/>
                <w:szCs w:val="21"/>
              </w:rPr>
              <w:t>g各井场钻井期间针对各井场按照“源头控制、分区防治、污染监控、应急响应”相结合的原则，从污染物的产生、入渗、扩散、事故状态应急响应等各方面进行了击土壤污染防治措施，确保各井场实施不会对当地永久基本农田产生不利影响。</w:t>
            </w:r>
          </w:p>
          <w:p>
            <w:pPr>
              <w:adjustRightInd w:val="0"/>
              <w:snapToGrid w:val="0"/>
              <w:ind w:firstLine="462"/>
              <w:rPr>
                <w:b/>
                <w:bCs/>
                <w:spacing w:val="10"/>
                <w:sz w:val="21"/>
                <w:szCs w:val="21"/>
              </w:rPr>
            </w:pPr>
            <w:r>
              <w:rPr>
                <w:b/>
                <w:bCs/>
                <w:spacing w:val="10"/>
                <w:sz w:val="21"/>
                <w:szCs w:val="21"/>
              </w:rPr>
              <w:t>通过采取以上措施，可有效降低钻前工程施工建设对生态环境的影响，减少水土流失。</w:t>
            </w:r>
          </w:p>
          <w:p>
            <w:pPr>
              <w:adjustRightInd w:val="0"/>
              <w:snapToGrid w:val="0"/>
              <w:ind w:firstLine="199" w:firstLineChars="86"/>
              <w:rPr>
                <w:b/>
                <w:bCs/>
                <w:spacing w:val="10"/>
                <w:sz w:val="21"/>
                <w:szCs w:val="21"/>
              </w:rPr>
            </w:pPr>
            <w:r>
              <w:rPr>
                <w:b/>
                <w:bCs/>
                <w:spacing w:val="10"/>
                <w:sz w:val="21"/>
                <w:szCs w:val="21"/>
              </w:rPr>
              <w:t>2、钻井工程</w:t>
            </w:r>
          </w:p>
          <w:p>
            <w:pPr>
              <w:adjustRightInd w:val="0"/>
              <w:snapToGrid w:val="0"/>
              <w:ind w:firstLine="199" w:firstLineChars="86"/>
              <w:rPr>
                <w:b/>
                <w:bCs/>
                <w:spacing w:val="10"/>
                <w:sz w:val="21"/>
                <w:szCs w:val="21"/>
              </w:rPr>
            </w:pPr>
            <w:r>
              <w:rPr>
                <w:b/>
                <w:bCs/>
                <w:spacing w:val="10"/>
                <w:sz w:val="21"/>
                <w:szCs w:val="21"/>
              </w:rPr>
              <w:t>2.1废气防治措施</w:t>
            </w:r>
          </w:p>
          <w:p>
            <w:pPr>
              <w:adjustRightInd w:val="0"/>
              <w:snapToGrid w:val="0"/>
              <w:ind w:firstLine="460"/>
              <w:rPr>
                <w:bCs/>
                <w:spacing w:val="10"/>
                <w:sz w:val="21"/>
                <w:szCs w:val="21"/>
              </w:rPr>
            </w:pPr>
            <w:r>
              <w:rPr>
                <w:bCs/>
                <w:spacing w:val="10"/>
                <w:sz w:val="21"/>
                <w:szCs w:val="21"/>
              </w:rPr>
              <w:t>（1）柴油机燃烧废气</w:t>
            </w:r>
          </w:p>
          <w:p>
            <w:pPr>
              <w:adjustRightInd w:val="0"/>
              <w:snapToGrid w:val="0"/>
              <w:ind w:firstLine="460"/>
              <w:rPr>
                <w:b/>
                <w:bCs/>
                <w:spacing w:val="10"/>
                <w:sz w:val="21"/>
                <w:szCs w:val="21"/>
              </w:rPr>
            </w:pPr>
            <w:r>
              <w:rPr>
                <w:bCs/>
                <w:spacing w:val="10"/>
                <w:sz w:val="21"/>
                <w:szCs w:val="21"/>
              </w:rPr>
              <w:t>柴油燃烧过程烟尘和NO</w:t>
            </w:r>
            <w:r>
              <w:rPr>
                <w:bCs/>
                <w:spacing w:val="10"/>
                <w:sz w:val="21"/>
                <w:szCs w:val="21"/>
                <w:vertAlign w:val="subscript"/>
              </w:rPr>
              <w:t>X</w:t>
            </w:r>
            <w:r>
              <w:rPr>
                <w:bCs/>
                <w:spacing w:val="10"/>
                <w:sz w:val="21"/>
                <w:szCs w:val="21"/>
              </w:rPr>
              <w:t>经柴油发电机自带排气筒排放，排气筒高度约3m。柴油发电机燃烧废气进入大气中后将很快被稀释，且其影响的持续时间较短，钻井期间的大气污染物将随钻井工程的结束而消除，故对环境空气影响较小。</w:t>
            </w:r>
          </w:p>
          <w:p>
            <w:pPr>
              <w:adjustRightInd w:val="0"/>
              <w:snapToGrid w:val="0"/>
              <w:ind w:firstLine="460"/>
              <w:rPr>
                <w:bCs/>
                <w:spacing w:val="10"/>
                <w:sz w:val="21"/>
                <w:szCs w:val="21"/>
              </w:rPr>
            </w:pPr>
            <w:r>
              <w:rPr>
                <w:bCs/>
                <w:spacing w:val="10"/>
                <w:sz w:val="21"/>
                <w:szCs w:val="21"/>
              </w:rPr>
              <w:t>（2）测试放喷废气</w:t>
            </w:r>
          </w:p>
          <w:p>
            <w:pPr>
              <w:adjustRightInd w:val="0"/>
              <w:snapToGrid w:val="0"/>
              <w:ind w:firstLine="460"/>
              <w:rPr>
                <w:bCs/>
                <w:spacing w:val="10"/>
                <w:sz w:val="21"/>
                <w:szCs w:val="21"/>
              </w:rPr>
            </w:pPr>
            <w:r>
              <w:rPr>
                <w:bCs/>
                <w:spacing w:val="10"/>
                <w:sz w:val="21"/>
                <w:szCs w:val="21"/>
              </w:rPr>
              <w:t>测试放喷的天然气经专用放喷管线经专用放喷管线引至燃烧池后点火燃烧，单井测试放喷时间约1~2天，依据测试气量，间歇放喷，每次持续放喷时间约3h，废气排放属短期排放。项目在放喷前，建设单位会对距离井口500m范围内的居民临时撤离，并建立警戒点进行24小时警戒，严禁居民靠近，以减轻放喷废气对这些居民的影响。同时由于测试放喷时间一般为3小时，属短期排放，不会形成长期环境影响，短期影响也可控制在周边居民健康安全限值以下，污染物排放随测试放喷的结束而停止，不会长期存在，不会影响区域环境空气功能区划。</w:t>
            </w:r>
          </w:p>
          <w:p>
            <w:pPr>
              <w:adjustRightInd w:val="0"/>
              <w:snapToGrid w:val="0"/>
              <w:ind w:firstLine="460"/>
              <w:rPr>
                <w:bCs/>
                <w:spacing w:val="10"/>
                <w:sz w:val="21"/>
                <w:szCs w:val="21"/>
              </w:rPr>
            </w:pPr>
            <w:r>
              <w:rPr>
                <w:bCs/>
                <w:spacing w:val="10"/>
                <w:sz w:val="21"/>
                <w:szCs w:val="21"/>
              </w:rPr>
              <w:t>（3）事故放喷废气</w:t>
            </w:r>
          </w:p>
          <w:p>
            <w:pPr>
              <w:adjustRightInd w:val="0"/>
              <w:snapToGrid w:val="0"/>
              <w:ind w:firstLine="460"/>
              <w:rPr>
                <w:bCs/>
                <w:spacing w:val="10"/>
                <w:sz w:val="21"/>
                <w:szCs w:val="21"/>
              </w:rPr>
            </w:pPr>
            <w:r>
              <w:rPr>
                <w:bCs/>
                <w:spacing w:val="10"/>
                <w:sz w:val="21"/>
                <w:szCs w:val="21"/>
              </w:rPr>
              <w:t>钻井进入目的层后，有可能遇到异常高压气流，如果井内泥浆密度值过低，达不到平衡井内压力要求，就可能发生井喷。此时利用防喷器迅速封闭井口，若井口压力过高，则打开防喷管线阀门泄压，放喷的</w:t>
            </w:r>
            <w:r>
              <w:rPr>
                <w:rFonts w:hint="eastAsia"/>
                <w:bCs/>
                <w:spacing w:val="10"/>
                <w:sz w:val="21"/>
                <w:szCs w:val="21"/>
              </w:rPr>
              <w:t>油气</w:t>
            </w:r>
            <w:r>
              <w:rPr>
                <w:bCs/>
                <w:spacing w:val="10"/>
                <w:sz w:val="21"/>
                <w:szCs w:val="21"/>
              </w:rPr>
              <w:t>立即点火烧掉，事故放喷一般时间较短，约2~4h，属于临时排放。</w:t>
            </w:r>
          </w:p>
          <w:p>
            <w:pPr>
              <w:adjustRightInd w:val="0"/>
              <w:snapToGrid w:val="0"/>
              <w:ind w:firstLine="460"/>
              <w:rPr>
                <w:bCs/>
                <w:spacing w:val="10"/>
                <w:sz w:val="21"/>
                <w:szCs w:val="21"/>
              </w:rPr>
            </w:pPr>
            <w:r>
              <w:rPr>
                <w:bCs/>
                <w:spacing w:val="10"/>
                <w:sz w:val="21"/>
                <w:szCs w:val="21"/>
              </w:rPr>
              <w:t>（4）油基泥浆钻井废气</w:t>
            </w:r>
          </w:p>
          <w:p>
            <w:pPr>
              <w:adjustRightInd w:val="0"/>
              <w:snapToGrid w:val="0"/>
              <w:ind w:firstLine="460"/>
              <w:rPr>
                <w:bCs/>
                <w:spacing w:val="10"/>
                <w:sz w:val="21"/>
                <w:szCs w:val="21"/>
              </w:rPr>
            </w:pPr>
            <w:r>
              <w:rPr>
                <w:bCs/>
                <w:spacing w:val="10"/>
                <w:sz w:val="21"/>
                <w:szCs w:val="21"/>
              </w:rPr>
              <w:t>钻井过程中使用的油基泥浆不在现场配置，均由厂家配置好后分批次拉运至井场，暂存于现场泥浆循环系统，暂存时间较短，故产生挥发性废气（VOCs）量较小；油基岩屑收集在清洁化操作平台的油基岩屑收集罐内，暂存在固废暂存区内的危废暂存间，暂存时间较短，且储存措施较好，故产生挥发性废气（VOCs）量较小。油基泥浆钻井废气随着钻井工程的完工而结束。</w:t>
            </w:r>
          </w:p>
          <w:p>
            <w:pPr>
              <w:adjustRightInd w:val="0"/>
              <w:snapToGrid w:val="0"/>
              <w:ind w:firstLine="462"/>
              <w:rPr>
                <w:b/>
                <w:bCs/>
                <w:spacing w:val="10"/>
                <w:sz w:val="21"/>
                <w:szCs w:val="21"/>
              </w:rPr>
            </w:pPr>
            <w:r>
              <w:rPr>
                <w:b/>
                <w:bCs/>
                <w:spacing w:val="10"/>
                <w:sz w:val="21"/>
                <w:szCs w:val="21"/>
              </w:rPr>
              <w:t>综上所述，新增废气主要为施工废气，同时根据钻井进度，项目钻井周期短，排气时间短，项目仅有施工期的特性，不改变区域的环境空气功能，故项目对所在区域大气环境影响可接受。</w:t>
            </w:r>
          </w:p>
          <w:p>
            <w:pPr>
              <w:adjustRightInd w:val="0"/>
              <w:snapToGrid w:val="0"/>
              <w:ind w:firstLine="462"/>
              <w:rPr>
                <w:b/>
                <w:bCs/>
                <w:spacing w:val="10"/>
                <w:sz w:val="21"/>
                <w:szCs w:val="21"/>
              </w:rPr>
            </w:pPr>
            <w:r>
              <w:rPr>
                <w:b/>
                <w:bCs/>
                <w:spacing w:val="10"/>
                <w:sz w:val="21"/>
                <w:szCs w:val="21"/>
              </w:rPr>
              <w:t>2.2废水防治措施</w:t>
            </w:r>
          </w:p>
          <w:p>
            <w:pPr>
              <w:adjustRightInd w:val="0"/>
              <w:snapToGrid w:val="0"/>
              <w:ind w:firstLine="420"/>
              <w:rPr>
                <w:b/>
                <w:bCs/>
                <w:spacing w:val="10"/>
                <w:sz w:val="21"/>
                <w:szCs w:val="21"/>
              </w:rPr>
            </w:pPr>
            <w:r>
              <w:rPr>
                <w:rFonts w:hint="eastAsia"/>
                <w:bCs/>
                <w:snapToGrid w:val="0"/>
                <w:kern w:val="0"/>
                <w:sz w:val="21"/>
                <w:szCs w:val="21"/>
              </w:rPr>
              <w:t>井场采用清污分流制，井场内非污染区雨水依靠井场设置的地面坡度，就地散排至井场四周设置的排水沟，经隔油池隔油处理后排出场外；井场内污染区设置有挡水墙，</w:t>
            </w:r>
            <w:r>
              <w:rPr>
                <w:rFonts w:hint="eastAsia"/>
                <w:snapToGrid w:val="0"/>
                <w:kern w:val="0"/>
                <w:sz w:val="21"/>
                <w:szCs w:val="21"/>
              </w:rPr>
              <w:t>污染区中的循环系统及泵房基础区域</w:t>
            </w:r>
            <w:r>
              <w:rPr>
                <w:rFonts w:hint="eastAsia" w:hAnsi="宋体"/>
                <w:snapToGrid w:val="0"/>
                <w:kern w:val="0"/>
                <w:sz w:val="21"/>
                <w:szCs w:val="21"/>
              </w:rPr>
              <w:t>设挡雨棚，雨水由挡雨棚汇集后进入场内清水沟，经隔油池后排出场外。仅井架基础、机房区域的雨污水收集</w:t>
            </w:r>
            <w:r>
              <w:rPr>
                <w:rFonts w:hint="eastAsia"/>
                <w:bCs/>
                <w:snapToGrid w:val="0"/>
                <w:kern w:val="0"/>
                <w:sz w:val="21"/>
                <w:szCs w:val="21"/>
              </w:rPr>
              <w:t>截留在集水坑及方井内，利用污水泵泵入废水罐中，以避免进入雨水排水系统。项目实施过程中产生的污废水主要包括钻井废水、洗井废水、压裂返排液及方井雨水。</w:t>
            </w:r>
          </w:p>
          <w:p>
            <w:pPr>
              <w:adjustRightInd w:val="0"/>
              <w:snapToGrid w:val="0"/>
              <w:ind w:firstLine="462"/>
              <w:rPr>
                <w:b/>
                <w:bCs/>
                <w:spacing w:val="10"/>
                <w:sz w:val="21"/>
                <w:szCs w:val="21"/>
              </w:rPr>
            </w:pPr>
            <w:r>
              <w:rPr>
                <w:b/>
                <w:bCs/>
                <w:spacing w:val="10"/>
                <w:sz w:val="21"/>
                <w:szCs w:val="21"/>
              </w:rPr>
              <w:t>2.2.1钻井废水防治措施</w:t>
            </w:r>
          </w:p>
          <w:p>
            <w:pPr>
              <w:adjustRightInd w:val="0"/>
              <w:snapToGrid w:val="0"/>
              <w:ind w:firstLine="420"/>
              <w:rPr>
                <w:b/>
                <w:bCs/>
                <w:spacing w:val="10"/>
                <w:sz w:val="21"/>
                <w:szCs w:val="21"/>
              </w:rPr>
            </w:pPr>
            <w:r>
              <w:rPr>
                <w:rFonts w:hAnsi="宋体"/>
                <w:bCs/>
                <w:snapToGrid w:val="0"/>
                <w:kern w:val="0"/>
                <w:sz w:val="21"/>
                <w:szCs w:val="21"/>
              </w:rPr>
              <w:t>拟建项目钻井作业废水主要包括钻井废水（</w:t>
            </w:r>
            <w:r>
              <w:rPr>
                <w:rFonts w:hint="eastAsia" w:hAnsi="宋体"/>
                <w:bCs/>
                <w:snapToGrid w:val="0"/>
                <w:kern w:val="0"/>
                <w:sz w:val="21"/>
                <w:szCs w:val="21"/>
              </w:rPr>
              <w:t>水基</w:t>
            </w:r>
            <w:r>
              <w:rPr>
                <w:rFonts w:hAnsi="宋体"/>
                <w:bCs/>
                <w:snapToGrid w:val="0"/>
                <w:kern w:val="0"/>
                <w:sz w:val="21"/>
                <w:szCs w:val="21"/>
              </w:rPr>
              <w:t>岩屑及报废泥浆压滤水）、方井雨水</w:t>
            </w:r>
            <w:r>
              <w:rPr>
                <w:rFonts w:hint="eastAsia" w:hAnsi="宋体"/>
                <w:bCs/>
                <w:snapToGrid w:val="0"/>
                <w:kern w:val="0"/>
                <w:sz w:val="21"/>
                <w:szCs w:val="21"/>
              </w:rPr>
              <w:t>、洗井废水和压裂</w:t>
            </w:r>
            <w:r>
              <w:rPr>
                <w:rFonts w:hAnsi="宋体"/>
                <w:bCs/>
                <w:snapToGrid w:val="0"/>
                <w:kern w:val="0"/>
                <w:sz w:val="21"/>
                <w:szCs w:val="21"/>
              </w:rPr>
              <w:t>返排液，其处置方案为：</w:t>
            </w:r>
            <w:r>
              <w:rPr>
                <w:rFonts w:hint="eastAsia" w:hAnsi="宋体"/>
                <w:bCs/>
                <w:snapToGrid w:val="0"/>
                <w:kern w:val="0"/>
                <w:sz w:val="21"/>
                <w:szCs w:val="21"/>
              </w:rPr>
              <w:t>钻井废水、方井雨水优先回用于水基泥浆补水，不可回用部分拉运至四川鑫泓废水处理厂；洗井废水暂存于重叠罐内，全部回用于压裂液配置；压裂返排液进入应急池暂存后优先回用，约</w:t>
            </w:r>
            <w:r>
              <w:rPr>
                <w:rFonts w:hAnsi="宋体"/>
                <w:bCs/>
                <w:snapToGrid w:val="0"/>
                <w:kern w:val="0"/>
                <w:sz w:val="21"/>
                <w:szCs w:val="21"/>
              </w:rPr>
              <w:t>90</w:t>
            </w:r>
            <w:r>
              <w:rPr>
                <w:rFonts w:hint="eastAsia" w:hAnsi="宋体"/>
                <w:bCs/>
                <w:snapToGrid w:val="0"/>
                <w:kern w:val="0"/>
                <w:sz w:val="21"/>
                <w:szCs w:val="21"/>
              </w:rPr>
              <w:t>%优先回用于探矿区内其他钻井工程回用于压裂液配置，剩余不能回用部分拉运至四川鑫泓废水处理厂。</w:t>
            </w:r>
          </w:p>
          <w:p>
            <w:pPr>
              <w:adjustRightInd w:val="0"/>
              <w:snapToGrid w:val="0"/>
              <w:ind w:firstLine="422"/>
              <w:rPr>
                <w:b/>
                <w:bCs/>
                <w:snapToGrid w:val="0"/>
                <w:kern w:val="0"/>
                <w:sz w:val="21"/>
                <w:szCs w:val="21"/>
              </w:rPr>
            </w:pPr>
            <w:r>
              <w:rPr>
                <w:rFonts w:hAnsi="宋体"/>
                <w:b/>
                <w:bCs/>
                <w:snapToGrid w:val="0"/>
                <w:kern w:val="0"/>
                <w:sz w:val="21"/>
                <w:szCs w:val="21"/>
              </w:rPr>
              <w:t>（</w:t>
            </w:r>
            <w:r>
              <w:rPr>
                <w:b/>
                <w:bCs/>
                <w:snapToGrid w:val="0"/>
                <w:kern w:val="0"/>
                <w:sz w:val="21"/>
                <w:szCs w:val="21"/>
              </w:rPr>
              <w:t>1</w:t>
            </w:r>
            <w:r>
              <w:rPr>
                <w:rFonts w:hAnsi="宋体"/>
                <w:b/>
                <w:bCs/>
                <w:snapToGrid w:val="0"/>
                <w:kern w:val="0"/>
                <w:sz w:val="21"/>
                <w:szCs w:val="21"/>
              </w:rPr>
              <w:t>）废水处理、转运的责任单位</w:t>
            </w:r>
          </w:p>
          <w:p>
            <w:pPr>
              <w:adjustRightInd w:val="0"/>
              <w:snapToGrid w:val="0"/>
              <w:ind w:firstLine="420"/>
              <w:rPr>
                <w:b/>
                <w:bCs/>
                <w:spacing w:val="10"/>
                <w:sz w:val="21"/>
                <w:szCs w:val="21"/>
              </w:rPr>
            </w:pPr>
            <w:r>
              <w:rPr>
                <w:rFonts w:hAnsi="宋体"/>
                <w:bCs/>
                <w:snapToGrid w:val="0"/>
                <w:kern w:val="0"/>
                <w:sz w:val="21"/>
                <w:szCs w:val="21"/>
              </w:rPr>
              <w:t>建设单位委托钻探公司对项目进行施工，施工期间产生的废水污染物由</w:t>
            </w:r>
            <w:r>
              <w:rPr>
                <w:rFonts w:hint="eastAsia" w:hAnsi="宋体"/>
                <w:bCs/>
                <w:snapToGrid w:val="0"/>
                <w:kern w:val="0"/>
                <w:sz w:val="21"/>
                <w:szCs w:val="21"/>
              </w:rPr>
              <w:t>钻井</w:t>
            </w:r>
            <w:r>
              <w:rPr>
                <w:rFonts w:hAnsi="宋体"/>
                <w:bCs/>
                <w:snapToGrid w:val="0"/>
                <w:kern w:val="0"/>
                <w:sz w:val="21"/>
                <w:szCs w:val="21"/>
              </w:rPr>
              <w:t>施工单位委托运输及污水处理厂进行收运处置。</w:t>
            </w:r>
            <w:r>
              <w:rPr>
                <w:rFonts w:hint="eastAsia"/>
                <w:bCs/>
                <w:snapToGrid w:val="0"/>
                <w:kern w:val="0"/>
                <w:sz w:val="21"/>
                <w:szCs w:val="21"/>
              </w:rPr>
              <w:t>建设单位应于钻井单位、运输单位及污水处理厂</w:t>
            </w:r>
            <w:r>
              <w:rPr>
                <w:bCs/>
                <w:snapToGrid w:val="0"/>
                <w:kern w:val="0"/>
                <w:sz w:val="21"/>
                <w:szCs w:val="21"/>
              </w:rPr>
              <w:t>之间分级签订正式处理协议，能保证钻井过程中产生的废水及时处理。</w:t>
            </w:r>
            <w:r>
              <w:rPr>
                <w:rFonts w:hAnsi="宋体"/>
                <w:bCs/>
                <w:snapToGrid w:val="0"/>
                <w:kern w:val="0"/>
                <w:sz w:val="21"/>
                <w:szCs w:val="21"/>
              </w:rPr>
              <w:t>废水转运单位及责任主体合同招标指定运输公司</w:t>
            </w:r>
            <w:r>
              <w:rPr>
                <w:rFonts w:hint="eastAsia" w:hAnsi="宋体"/>
                <w:bCs/>
                <w:snapToGrid w:val="0"/>
                <w:kern w:val="0"/>
                <w:sz w:val="21"/>
                <w:szCs w:val="21"/>
              </w:rPr>
              <w:t>；</w:t>
            </w:r>
            <w:r>
              <w:rPr>
                <w:rFonts w:hAnsi="宋体"/>
                <w:bCs/>
                <w:snapToGrid w:val="0"/>
                <w:kern w:val="0"/>
                <w:sz w:val="21"/>
                <w:szCs w:val="21"/>
              </w:rPr>
              <w:t>废水预处理单位及责任主体为钻井工程中标施工单位；废水最终处理单位及责任主体为</w:t>
            </w:r>
            <w:r>
              <w:rPr>
                <w:rFonts w:hint="eastAsia"/>
                <w:snapToGrid w:val="0"/>
                <w:kern w:val="0"/>
                <w:sz w:val="21"/>
                <w:szCs w:val="21"/>
              </w:rPr>
              <w:t>四川鑫泓废水处理厂</w:t>
            </w:r>
            <w:r>
              <w:rPr>
                <w:rFonts w:hAnsi="宋体"/>
                <w:bCs/>
                <w:snapToGrid w:val="0"/>
                <w:kern w:val="0"/>
                <w:sz w:val="21"/>
                <w:szCs w:val="21"/>
              </w:rPr>
              <w:t>。</w:t>
            </w:r>
          </w:p>
          <w:p>
            <w:pPr>
              <w:adjustRightInd w:val="0"/>
              <w:snapToGrid w:val="0"/>
              <w:ind w:firstLine="462"/>
              <w:rPr>
                <w:b/>
                <w:bCs/>
                <w:spacing w:val="10"/>
                <w:sz w:val="21"/>
                <w:szCs w:val="21"/>
              </w:rPr>
            </w:pPr>
            <w:r>
              <w:rPr>
                <w:b/>
                <w:bCs/>
                <w:spacing w:val="10"/>
                <w:sz w:val="21"/>
                <w:szCs w:val="21"/>
              </w:rPr>
              <w:t>（2）废水预处理工艺及效果</w:t>
            </w:r>
          </w:p>
          <w:p>
            <w:pPr>
              <w:adjustRightInd w:val="0"/>
              <w:snapToGrid w:val="0"/>
              <w:ind w:firstLine="420"/>
              <w:rPr>
                <w:bCs/>
                <w:snapToGrid w:val="0"/>
                <w:kern w:val="0"/>
                <w:sz w:val="21"/>
                <w:szCs w:val="21"/>
              </w:rPr>
            </w:pPr>
            <w:r>
              <w:rPr>
                <w:bCs/>
                <w:snapToGrid w:val="0"/>
                <w:kern w:val="0"/>
                <w:sz w:val="21"/>
                <w:szCs w:val="21"/>
              </w:rPr>
              <w:t>A</w:t>
            </w:r>
            <w:r>
              <w:rPr>
                <w:rFonts w:hAnsi="宋体"/>
                <w:bCs/>
                <w:snapToGrid w:val="0"/>
                <w:kern w:val="0"/>
                <w:sz w:val="21"/>
                <w:szCs w:val="21"/>
              </w:rPr>
              <w:t>、预处理工艺</w:t>
            </w:r>
          </w:p>
          <w:p>
            <w:pPr>
              <w:adjustRightInd w:val="0"/>
              <w:snapToGrid w:val="0"/>
              <w:ind w:firstLine="420"/>
              <w:rPr>
                <w:rFonts w:hAnsi="宋体"/>
                <w:bCs/>
                <w:snapToGrid w:val="0"/>
                <w:kern w:val="0"/>
                <w:sz w:val="21"/>
                <w:szCs w:val="21"/>
              </w:rPr>
            </w:pPr>
            <w:r>
              <w:rPr>
                <w:rFonts w:hint="eastAsia" w:hAnsi="宋体"/>
                <w:bCs/>
                <w:snapToGrid w:val="0"/>
                <w:kern w:val="0"/>
                <w:sz w:val="21"/>
                <w:szCs w:val="21"/>
              </w:rPr>
              <w:t>项目废水在井场内进行预处理，工艺采用隔油、混凝、沉淀分离的工艺，该工艺目前在西南地区钻井现场广泛使用，处理后的出水贮于废水收集罐中，在清洁化操作平台废水处理后优先回用于水基泥浆补水，不可回用部分转运至四川鑫泓废水处理厂处理后达标排放至东河。</w:t>
            </w:r>
          </w:p>
          <w:p>
            <w:pPr>
              <w:adjustRightInd w:val="0"/>
              <w:snapToGrid w:val="0"/>
              <w:ind w:firstLine="420"/>
              <w:rPr>
                <w:rFonts w:hAnsi="宋体"/>
                <w:bCs/>
                <w:snapToGrid w:val="0"/>
                <w:kern w:val="0"/>
                <w:sz w:val="21"/>
                <w:szCs w:val="21"/>
              </w:rPr>
            </w:pPr>
            <w:r>
              <w:rPr>
                <w:rFonts w:hint="eastAsia" w:hAnsi="宋体"/>
                <w:bCs/>
                <w:snapToGrid w:val="0"/>
                <w:kern w:val="0"/>
                <w:sz w:val="21"/>
                <w:szCs w:val="21"/>
              </w:rPr>
              <w:t>压裂返排液由井筒排出后直接进入应急池暂存，该废水有大量的返排物质，包括一些高分子物质和盐酸，该体系在酸性条件下呈稳定动态平衡。因此通过加入生石灰（氧化钙），破坏其稳定结构，即可完成中和。压裂作业结束后，约</w:t>
            </w:r>
            <w:r>
              <w:rPr>
                <w:rFonts w:hAnsi="宋体"/>
                <w:bCs/>
                <w:snapToGrid w:val="0"/>
                <w:kern w:val="0"/>
                <w:sz w:val="21"/>
                <w:szCs w:val="21"/>
              </w:rPr>
              <w:t>9</w:t>
            </w:r>
            <w:r>
              <w:rPr>
                <w:rFonts w:hint="eastAsia" w:hAnsi="宋体"/>
                <w:bCs/>
                <w:snapToGrid w:val="0"/>
                <w:kern w:val="0"/>
                <w:sz w:val="21"/>
                <w:szCs w:val="21"/>
              </w:rPr>
              <w:t>0%优先回用于探矿区内其他钻井工程回用于压裂液配置，剩余部分及时转运至四川鑫泓废水处理厂处理。</w:t>
            </w:r>
          </w:p>
          <w:p>
            <w:pPr>
              <w:adjustRightInd w:val="0"/>
              <w:snapToGrid w:val="0"/>
              <w:ind w:firstLine="420"/>
              <w:rPr>
                <w:rFonts w:hAnsi="宋体"/>
                <w:bCs/>
                <w:snapToGrid w:val="0"/>
                <w:kern w:val="0"/>
                <w:sz w:val="21"/>
                <w:szCs w:val="21"/>
              </w:rPr>
            </w:pPr>
            <w:r>
              <w:rPr>
                <w:rFonts w:hint="eastAsia" w:hAnsi="宋体"/>
                <w:bCs/>
                <w:snapToGrid w:val="0"/>
                <w:kern w:val="0"/>
                <w:sz w:val="21"/>
                <w:szCs w:val="21"/>
              </w:rPr>
              <w:t>絮凝沉淀工艺：加入的药剂包括无机盐混凝剂、高分子有机絮凝剂等，对钻井废水中的COD、BOD</w:t>
            </w:r>
            <w:r>
              <w:rPr>
                <w:rFonts w:hint="eastAsia" w:hAnsi="宋体"/>
                <w:bCs/>
                <w:snapToGrid w:val="0"/>
                <w:kern w:val="0"/>
                <w:sz w:val="21"/>
                <w:szCs w:val="21"/>
                <w:vertAlign w:val="subscript"/>
              </w:rPr>
              <w:t>5</w:t>
            </w:r>
            <w:r>
              <w:rPr>
                <w:rFonts w:hint="eastAsia" w:hAnsi="宋体"/>
                <w:bCs/>
                <w:snapToGrid w:val="0"/>
                <w:kern w:val="0"/>
                <w:sz w:val="21"/>
                <w:szCs w:val="21"/>
              </w:rPr>
              <w:t>、石油类、元素磷、色素等物质进行混凝沉降，结成絮凝体、矾花。待絮凝体大到一定体积后即在重力作用下脱离水相沉淀，进而从污水中析出凝聚状浓缩性污泥，实现泥水分离。</w:t>
            </w:r>
            <w:r>
              <w:rPr>
                <w:rFonts w:hAnsi="宋体"/>
                <w:bCs/>
                <w:snapToGrid w:val="0"/>
                <w:kern w:val="0"/>
                <w:sz w:val="21"/>
                <w:szCs w:val="21"/>
              </w:rPr>
              <w:t>钻井废水井场预处理流程见图</w:t>
            </w:r>
            <w:r>
              <w:rPr>
                <w:bCs/>
                <w:snapToGrid w:val="0"/>
                <w:kern w:val="0"/>
                <w:sz w:val="21"/>
                <w:szCs w:val="21"/>
              </w:rPr>
              <w:t>5-1</w:t>
            </w:r>
            <w:r>
              <w:rPr>
                <w:rFonts w:hAnsi="宋体"/>
                <w:bCs/>
                <w:snapToGrid w:val="0"/>
                <w:kern w:val="0"/>
                <w:sz w:val="21"/>
                <w:szCs w:val="21"/>
              </w:rPr>
              <w:t>。</w:t>
            </w:r>
          </w:p>
          <w:p>
            <w:pPr>
              <w:adjustRightInd w:val="0"/>
              <w:snapToGrid w:val="0"/>
              <w:ind w:firstLine="420"/>
              <w:rPr>
                <w:rFonts w:hAnsi="宋体"/>
                <w:bCs/>
                <w:snapToGrid w:val="0"/>
                <w:kern w:val="0"/>
                <w:sz w:val="21"/>
                <w:szCs w:val="21"/>
              </w:rPr>
            </w:pPr>
          </w:p>
          <w:p>
            <w:pPr>
              <w:adjustRightInd w:val="0"/>
              <w:snapToGrid w:val="0"/>
              <w:ind w:firstLine="420"/>
              <w:rPr>
                <w:rFonts w:hAnsi="宋体"/>
                <w:bCs/>
                <w:snapToGrid w:val="0"/>
                <w:kern w:val="0"/>
                <w:sz w:val="21"/>
                <w:szCs w:val="21"/>
              </w:rPr>
            </w:pPr>
          </w:p>
          <w:p>
            <w:pPr>
              <w:adjustRightInd w:val="0"/>
              <w:snapToGrid w:val="0"/>
              <w:ind w:firstLine="0" w:firstLineChars="0"/>
              <w:rPr>
                <w:rFonts w:hAnsi="宋体"/>
                <w:bCs/>
                <w:snapToGrid w:val="0"/>
                <w:kern w:val="0"/>
                <w:sz w:val="21"/>
                <w:szCs w:val="21"/>
              </w:rPr>
            </w:pPr>
          </w:p>
          <w:p>
            <w:pPr>
              <w:adjustRightInd w:val="0"/>
              <w:snapToGrid w:val="0"/>
              <w:ind w:firstLine="0" w:firstLineChars="0"/>
              <w:rPr>
                <w:rFonts w:hAnsi="宋体"/>
                <w:bCs/>
                <w:snapToGrid w:val="0"/>
                <w:kern w:val="0"/>
                <w:sz w:val="21"/>
                <w:szCs w:val="21"/>
              </w:rPr>
            </w:pPr>
          </w:p>
          <w:p>
            <w:pPr>
              <w:adjustRightInd w:val="0"/>
              <w:snapToGrid w:val="0"/>
              <w:ind w:firstLine="0" w:firstLineChars="0"/>
              <w:rPr>
                <w:rFonts w:hAnsi="宋体"/>
                <w:bCs/>
                <w:snapToGrid w:val="0"/>
                <w:kern w:val="0"/>
                <w:sz w:val="21"/>
                <w:szCs w:val="21"/>
              </w:rPr>
            </w:pPr>
          </w:p>
          <w:p>
            <w:pPr>
              <w:adjustRightInd w:val="0"/>
              <w:snapToGrid w:val="0"/>
              <w:ind w:firstLine="0" w:firstLineChars="0"/>
              <w:rPr>
                <w:rFonts w:hAnsi="宋体"/>
                <w:bCs/>
                <w:snapToGrid w:val="0"/>
                <w:kern w:val="0"/>
                <w:sz w:val="21"/>
                <w:szCs w:val="21"/>
              </w:rPr>
            </w:pPr>
          </w:p>
          <w:p>
            <w:pPr>
              <w:adjustRightInd w:val="0"/>
              <w:snapToGrid w:val="0"/>
              <w:ind w:firstLine="0" w:firstLineChars="0"/>
              <w:rPr>
                <w:rFonts w:hAnsi="宋体"/>
                <w:bCs/>
                <w:snapToGrid w:val="0"/>
                <w:kern w:val="0"/>
                <w:sz w:val="21"/>
                <w:szCs w:val="21"/>
              </w:rPr>
            </w:pPr>
          </w:p>
          <w:p>
            <w:pPr>
              <w:adjustRightInd w:val="0"/>
              <w:snapToGrid w:val="0"/>
              <w:ind w:firstLine="0" w:firstLineChars="0"/>
              <w:rPr>
                <w:rFonts w:hint="eastAsia" w:hAnsi="宋体"/>
                <w:bCs/>
                <w:snapToGrid w:val="0"/>
                <w:kern w:val="0"/>
                <w:sz w:val="21"/>
                <w:szCs w:val="21"/>
              </w:rPr>
            </w:pPr>
          </w:p>
          <w:p>
            <w:pPr>
              <w:adjustRightInd w:val="0"/>
              <w:snapToGrid w:val="0"/>
              <w:ind w:firstLine="420"/>
              <w:rPr>
                <w:bCs/>
                <w:snapToGrid w:val="0"/>
                <w:kern w:val="0"/>
                <w:sz w:val="21"/>
                <w:szCs w:val="21"/>
              </w:rPr>
            </w:pPr>
          </w:p>
          <w:p>
            <w:pPr>
              <w:adjustRightInd w:val="0"/>
              <w:snapToGrid w:val="0"/>
              <w:ind w:firstLine="0" w:firstLineChars="0"/>
              <w:jc w:val="center"/>
              <w:rPr>
                <w:snapToGrid w:val="0"/>
                <w:kern w:val="0"/>
                <w:sz w:val="21"/>
                <w:szCs w:val="21"/>
              </w:rPr>
            </w:pPr>
            <w:r>
              <w:rPr>
                <w:sz w:val="21"/>
                <w:szCs w:val="21"/>
              </w:rPr>
              <w:object>
                <v:shape id="_x0000_i1029" o:spt="75" type="#_x0000_t75" style="height:201.4pt;width:338.1pt;" o:ole="t" filled="f" o:preferrelative="t" stroked="f" coordsize="21600,21600">
                  <v:path/>
                  <v:fill on="f" focussize="0,0"/>
                  <v:stroke on="f" joinstyle="miter"/>
                  <v:imagedata r:id="rId32" o:title=""/>
                  <o:lock v:ext="edit" aspectratio="t"/>
                  <w10:wrap type="none"/>
                  <w10:anchorlock/>
                </v:shape>
                <o:OLEObject Type="Embed" ProgID="Visio.Drawing.11" ShapeID="_x0000_i1029" DrawAspect="Content" ObjectID="_1468075729" r:id="rId31">
                  <o:LockedField>false</o:LockedField>
                </o:OLEObject>
              </w:object>
            </w:r>
          </w:p>
          <w:p>
            <w:pPr>
              <w:adjustRightInd w:val="0"/>
              <w:snapToGrid w:val="0"/>
              <w:ind w:firstLine="0" w:firstLineChars="0"/>
              <w:jc w:val="center"/>
              <w:rPr>
                <w:b/>
                <w:bCs/>
                <w:snapToGrid w:val="0"/>
                <w:kern w:val="0"/>
                <w:sz w:val="21"/>
                <w:szCs w:val="21"/>
              </w:rPr>
            </w:pPr>
            <w:r>
              <w:rPr>
                <w:rFonts w:hint="eastAsia"/>
                <w:b/>
                <w:bCs/>
                <w:snapToGrid w:val="0"/>
                <w:kern w:val="0"/>
                <w:sz w:val="21"/>
                <w:szCs w:val="21"/>
              </w:rPr>
              <w:t>图5-1  钻井废水预处理流程示意图</w:t>
            </w:r>
          </w:p>
          <w:p>
            <w:pPr>
              <w:adjustRightInd w:val="0"/>
              <w:snapToGrid w:val="0"/>
              <w:ind w:firstLine="420"/>
              <w:rPr>
                <w:bCs/>
                <w:snapToGrid w:val="0"/>
                <w:kern w:val="0"/>
                <w:sz w:val="21"/>
                <w:szCs w:val="21"/>
              </w:rPr>
            </w:pPr>
            <w:r>
              <w:rPr>
                <w:bCs/>
                <w:snapToGrid w:val="0"/>
                <w:kern w:val="0"/>
                <w:sz w:val="21"/>
                <w:szCs w:val="21"/>
              </w:rPr>
              <w:t>B</w:t>
            </w:r>
            <w:r>
              <w:rPr>
                <w:rFonts w:hAnsi="宋体"/>
                <w:bCs/>
                <w:snapToGrid w:val="0"/>
                <w:kern w:val="0"/>
                <w:sz w:val="21"/>
                <w:szCs w:val="21"/>
              </w:rPr>
              <w:t>、预处理能力</w:t>
            </w:r>
          </w:p>
          <w:p>
            <w:pPr>
              <w:adjustRightInd w:val="0"/>
              <w:snapToGrid w:val="0"/>
              <w:ind w:firstLine="420"/>
              <w:rPr>
                <w:bCs/>
                <w:sz w:val="21"/>
                <w:szCs w:val="21"/>
              </w:rPr>
            </w:pPr>
            <w:r>
              <w:rPr>
                <w:rFonts w:hint="eastAsia" w:hAnsi="宋体"/>
                <w:bCs/>
                <w:snapToGrid w:val="0"/>
                <w:kern w:val="0"/>
                <w:sz w:val="21"/>
                <w:szCs w:val="21"/>
              </w:rPr>
              <w:t>平安</w:t>
            </w:r>
            <w:r>
              <w:rPr>
                <w:rFonts w:hAnsi="宋体"/>
                <w:bCs/>
                <w:snapToGrid w:val="0"/>
                <w:kern w:val="0"/>
                <w:sz w:val="21"/>
                <w:szCs w:val="21"/>
              </w:rPr>
              <w:t>7井</w:t>
            </w:r>
            <w:r>
              <w:rPr>
                <w:rFonts w:hint="eastAsia" w:hAnsi="宋体"/>
                <w:bCs/>
                <w:snapToGrid w:val="0"/>
                <w:kern w:val="0"/>
                <w:sz w:val="21"/>
                <w:szCs w:val="21"/>
              </w:rPr>
              <w:t>钻井</w:t>
            </w:r>
            <w:r>
              <w:rPr>
                <w:rFonts w:hAnsi="宋体"/>
                <w:bCs/>
                <w:snapToGrid w:val="0"/>
                <w:kern w:val="0"/>
                <w:sz w:val="21"/>
                <w:szCs w:val="21"/>
              </w:rPr>
              <w:t>作业废水预处理设施设计处理能力为</w:t>
            </w:r>
            <w:r>
              <w:rPr>
                <w:bCs/>
                <w:snapToGrid w:val="0"/>
                <w:kern w:val="0"/>
                <w:sz w:val="21"/>
                <w:szCs w:val="21"/>
              </w:rPr>
              <w:t>40m</w:t>
            </w:r>
            <w:r>
              <w:rPr>
                <w:bCs/>
                <w:snapToGrid w:val="0"/>
                <w:kern w:val="0"/>
                <w:sz w:val="21"/>
                <w:szCs w:val="21"/>
                <w:vertAlign w:val="superscript"/>
              </w:rPr>
              <w:t>3</w:t>
            </w:r>
            <w:r>
              <w:rPr>
                <w:bCs/>
                <w:snapToGrid w:val="0"/>
                <w:kern w:val="0"/>
                <w:sz w:val="21"/>
                <w:szCs w:val="21"/>
              </w:rPr>
              <w:t>/d</w:t>
            </w:r>
            <w:r>
              <w:rPr>
                <w:rFonts w:hAnsi="宋体"/>
                <w:bCs/>
                <w:snapToGrid w:val="0"/>
                <w:kern w:val="0"/>
                <w:sz w:val="21"/>
                <w:szCs w:val="21"/>
              </w:rPr>
              <w:t>，项目钻井周期约3</w:t>
            </w:r>
            <w:r>
              <w:rPr>
                <w:rFonts w:hint="eastAsia" w:hAnsi="宋体"/>
                <w:bCs/>
                <w:snapToGrid w:val="0"/>
                <w:kern w:val="0"/>
                <w:sz w:val="21"/>
                <w:szCs w:val="21"/>
              </w:rPr>
              <w:t>个月，累计可处理钻井废水</w:t>
            </w:r>
            <w:r>
              <w:rPr>
                <w:rFonts w:hAnsi="宋体"/>
                <w:bCs/>
                <w:snapToGrid w:val="0"/>
                <w:kern w:val="0"/>
                <w:sz w:val="21"/>
                <w:szCs w:val="21"/>
              </w:rPr>
              <w:t>3600m</w:t>
            </w:r>
            <w:r>
              <w:rPr>
                <w:rFonts w:hAnsi="宋体"/>
                <w:bCs/>
                <w:snapToGrid w:val="0"/>
                <w:kern w:val="0"/>
                <w:sz w:val="21"/>
                <w:szCs w:val="21"/>
                <w:vertAlign w:val="superscript"/>
              </w:rPr>
              <w:t>3</w:t>
            </w:r>
            <w:r>
              <w:rPr>
                <w:rFonts w:hint="eastAsia" w:hAnsi="宋体"/>
                <w:bCs/>
                <w:snapToGrid w:val="0"/>
                <w:kern w:val="0"/>
                <w:sz w:val="21"/>
                <w:szCs w:val="21"/>
              </w:rPr>
              <w:t>，</w:t>
            </w:r>
            <w:r>
              <w:rPr>
                <w:rFonts w:hAnsi="宋体"/>
                <w:bCs/>
                <w:snapToGrid w:val="0"/>
                <w:kern w:val="0"/>
                <w:sz w:val="21"/>
                <w:szCs w:val="21"/>
              </w:rPr>
              <w:t>项目钻井过程产生的需要进行预处理的废水量总计约</w:t>
            </w:r>
            <w:r>
              <w:rPr>
                <w:bCs/>
                <w:snapToGrid w:val="0"/>
                <w:kern w:val="0"/>
                <w:sz w:val="21"/>
                <w:szCs w:val="21"/>
              </w:rPr>
              <w:t>585.5</w:t>
            </w:r>
            <w:r>
              <w:rPr>
                <w:rFonts w:hAnsi="宋体"/>
                <w:bCs/>
                <w:snapToGrid w:val="0"/>
                <w:kern w:val="0"/>
                <w:sz w:val="21"/>
                <w:szCs w:val="21"/>
              </w:rPr>
              <w:t>m</w:t>
            </w:r>
            <w:r>
              <w:rPr>
                <w:rFonts w:hAnsi="宋体"/>
                <w:bCs/>
                <w:snapToGrid w:val="0"/>
                <w:kern w:val="0"/>
                <w:sz w:val="21"/>
                <w:szCs w:val="21"/>
                <w:vertAlign w:val="superscript"/>
              </w:rPr>
              <w:t>3</w:t>
            </w:r>
            <w:r>
              <w:rPr>
                <w:rFonts w:hint="eastAsia" w:hAnsi="宋体"/>
                <w:bCs/>
                <w:snapToGrid w:val="0"/>
                <w:kern w:val="0"/>
                <w:sz w:val="21"/>
                <w:szCs w:val="21"/>
              </w:rPr>
              <w:t>，</w:t>
            </w:r>
            <w:r>
              <w:rPr>
                <w:rFonts w:hAnsi="宋体"/>
                <w:bCs/>
                <w:snapToGrid w:val="0"/>
                <w:kern w:val="0"/>
                <w:sz w:val="21"/>
                <w:szCs w:val="21"/>
              </w:rPr>
              <w:t>远低于设计预处理能力</w:t>
            </w:r>
            <w:r>
              <w:rPr>
                <w:rFonts w:hint="eastAsia" w:hAnsi="宋体"/>
                <w:bCs/>
                <w:snapToGrid w:val="0"/>
                <w:kern w:val="0"/>
                <w:sz w:val="21"/>
                <w:szCs w:val="21"/>
              </w:rPr>
              <w:t>。</w:t>
            </w:r>
            <w:r>
              <w:rPr>
                <w:rFonts w:hAnsi="宋体"/>
                <w:bCs/>
                <w:snapToGrid w:val="0"/>
                <w:kern w:val="0"/>
                <w:sz w:val="21"/>
                <w:szCs w:val="21"/>
              </w:rPr>
              <w:t>因此</w:t>
            </w:r>
            <w:r>
              <w:rPr>
                <w:rFonts w:hint="eastAsia" w:hAnsi="宋体"/>
                <w:bCs/>
                <w:snapToGrid w:val="0"/>
                <w:kern w:val="0"/>
                <w:sz w:val="21"/>
                <w:szCs w:val="21"/>
              </w:rPr>
              <w:t>，</w:t>
            </w:r>
            <w:r>
              <w:rPr>
                <w:rFonts w:hAnsi="宋体"/>
                <w:bCs/>
                <w:snapToGrid w:val="0"/>
                <w:kern w:val="0"/>
                <w:sz w:val="21"/>
                <w:szCs w:val="21"/>
              </w:rPr>
              <w:t>项目钻井废水预处理设施处理能力设计可行</w:t>
            </w:r>
            <w:r>
              <w:rPr>
                <w:rFonts w:hint="eastAsia" w:hAnsi="宋体"/>
                <w:bCs/>
                <w:snapToGrid w:val="0"/>
                <w:kern w:val="0"/>
                <w:sz w:val="21"/>
                <w:szCs w:val="21"/>
              </w:rPr>
              <w:t>。</w:t>
            </w:r>
          </w:p>
          <w:p>
            <w:pPr>
              <w:adjustRightInd w:val="0"/>
              <w:snapToGrid w:val="0"/>
              <w:ind w:firstLine="422"/>
              <w:rPr>
                <w:b/>
                <w:bCs/>
                <w:snapToGrid w:val="0"/>
                <w:kern w:val="0"/>
                <w:sz w:val="21"/>
                <w:szCs w:val="21"/>
              </w:rPr>
            </w:pPr>
            <w:r>
              <w:rPr>
                <w:rFonts w:hAnsi="宋体"/>
                <w:b/>
                <w:bCs/>
                <w:snapToGrid w:val="0"/>
                <w:kern w:val="0"/>
                <w:sz w:val="21"/>
                <w:szCs w:val="21"/>
              </w:rPr>
              <w:t>（</w:t>
            </w:r>
            <w:r>
              <w:rPr>
                <w:b/>
                <w:bCs/>
                <w:snapToGrid w:val="0"/>
                <w:kern w:val="0"/>
                <w:sz w:val="21"/>
                <w:szCs w:val="21"/>
              </w:rPr>
              <w:t>3</w:t>
            </w:r>
            <w:r>
              <w:rPr>
                <w:rFonts w:hAnsi="宋体"/>
                <w:b/>
                <w:bCs/>
                <w:snapToGrid w:val="0"/>
                <w:kern w:val="0"/>
                <w:sz w:val="21"/>
                <w:szCs w:val="21"/>
              </w:rPr>
              <w:t>）</w:t>
            </w:r>
            <w:r>
              <w:rPr>
                <w:rFonts w:hint="eastAsia"/>
                <w:b/>
                <w:snapToGrid w:val="0"/>
                <w:kern w:val="0"/>
                <w:sz w:val="21"/>
                <w:szCs w:val="21"/>
              </w:rPr>
              <w:t>四川鑫泓废水处理厂</w:t>
            </w:r>
            <w:r>
              <w:rPr>
                <w:rFonts w:hAnsi="宋体"/>
                <w:b/>
                <w:bCs/>
                <w:snapToGrid w:val="0"/>
                <w:kern w:val="0"/>
                <w:sz w:val="21"/>
                <w:szCs w:val="21"/>
              </w:rPr>
              <w:t>处理能力可行性分析</w:t>
            </w:r>
          </w:p>
          <w:p>
            <w:pPr>
              <w:ind w:firstLine="422"/>
              <w:rPr>
                <w:b/>
                <w:bCs/>
                <w:snapToGrid w:val="0"/>
                <w:kern w:val="0"/>
                <w:sz w:val="21"/>
                <w:szCs w:val="21"/>
              </w:rPr>
            </w:pPr>
            <w:r>
              <w:rPr>
                <w:b/>
                <w:bCs/>
                <w:snapToGrid w:val="0"/>
                <w:kern w:val="0"/>
                <w:sz w:val="21"/>
                <w:szCs w:val="21"/>
              </w:rPr>
              <w:t>1）处理能力</w:t>
            </w:r>
          </w:p>
          <w:p>
            <w:pPr>
              <w:ind w:firstLine="420"/>
              <w:rPr>
                <w:b/>
                <w:bCs/>
                <w:snapToGrid w:val="0"/>
                <w:kern w:val="0"/>
                <w:sz w:val="21"/>
                <w:szCs w:val="21"/>
              </w:rPr>
            </w:pPr>
            <w:r>
              <w:rPr>
                <w:rFonts w:hint="eastAsia"/>
                <w:bCs/>
                <w:snapToGrid w:val="0"/>
                <w:kern w:val="0"/>
                <w:sz w:val="21"/>
                <w:szCs w:val="21"/>
              </w:rPr>
              <w:t>四川鑫泓废水处理厂位于苍溪县桥溪乡金龙村一组双滩子，四川鑫泓钻井废水处理有限公司投资修建，设计处理能力240m</w:t>
            </w:r>
            <w:r>
              <w:rPr>
                <w:rFonts w:hint="eastAsia"/>
                <w:bCs/>
                <w:snapToGrid w:val="0"/>
                <w:kern w:val="0"/>
                <w:sz w:val="21"/>
                <w:szCs w:val="21"/>
                <w:vertAlign w:val="superscript"/>
              </w:rPr>
              <w:t>3</w:t>
            </w:r>
            <w:r>
              <w:rPr>
                <w:rFonts w:hint="eastAsia"/>
                <w:bCs/>
                <w:snapToGrid w:val="0"/>
                <w:kern w:val="0"/>
                <w:sz w:val="21"/>
                <w:szCs w:val="21"/>
              </w:rPr>
              <w:t>/d，处理废水类型为钻井废水和酸化压裂废水。该污水处理厂于2011年取得了环评批复“广环办函〔2011〕227号”，并于2012年取得了验收批复“广环验〔2012〕05号”，于2019年取得了《排污许可证》，具备钻井废水及酸化压裂废水以的处理能力及资质，目前该污水处理厂运行正常。四川鑫泓废水处理厂目前日处理废水量约150m</w:t>
            </w:r>
            <w:r>
              <w:rPr>
                <w:bCs/>
                <w:snapToGrid w:val="0"/>
                <w:kern w:val="0"/>
                <w:sz w:val="21"/>
                <w:szCs w:val="21"/>
                <w:vertAlign w:val="superscript"/>
              </w:rPr>
              <w:t>3</w:t>
            </w:r>
            <w:r>
              <w:rPr>
                <w:rFonts w:hint="eastAsia"/>
                <w:bCs/>
                <w:snapToGrid w:val="0"/>
                <w:kern w:val="0"/>
                <w:sz w:val="21"/>
                <w:szCs w:val="21"/>
              </w:rPr>
              <w:t>/d，具有90m</w:t>
            </w:r>
            <w:r>
              <w:rPr>
                <w:bCs/>
                <w:snapToGrid w:val="0"/>
                <w:kern w:val="0"/>
                <w:sz w:val="21"/>
                <w:szCs w:val="21"/>
                <w:vertAlign w:val="superscript"/>
              </w:rPr>
              <w:t>3</w:t>
            </w:r>
            <w:r>
              <w:rPr>
                <w:rFonts w:hint="eastAsia"/>
                <w:bCs/>
                <w:snapToGrid w:val="0"/>
                <w:kern w:val="0"/>
                <w:sz w:val="21"/>
                <w:szCs w:val="21"/>
              </w:rPr>
              <w:t>/d的剩余处理能力，本项目需要转运处理量最大50m</w:t>
            </w:r>
            <w:r>
              <w:rPr>
                <w:bCs/>
                <w:snapToGrid w:val="0"/>
                <w:kern w:val="0"/>
                <w:sz w:val="21"/>
                <w:szCs w:val="21"/>
                <w:vertAlign w:val="superscript"/>
              </w:rPr>
              <w:t>3/</w:t>
            </w:r>
            <w:r>
              <w:rPr>
                <w:rFonts w:hint="eastAsia"/>
                <w:bCs/>
                <w:snapToGrid w:val="0"/>
                <w:kern w:val="0"/>
                <w:sz w:val="21"/>
                <w:szCs w:val="21"/>
              </w:rPr>
              <w:t>d，因此，从处理能力角度考虑，四川鑫泓废水处理厂能够接纳本项目产生的废水。</w:t>
            </w:r>
          </w:p>
          <w:p>
            <w:pPr>
              <w:ind w:firstLine="422"/>
              <w:rPr>
                <w:b/>
                <w:bCs/>
                <w:snapToGrid w:val="0"/>
                <w:kern w:val="0"/>
                <w:sz w:val="21"/>
                <w:szCs w:val="21"/>
              </w:rPr>
            </w:pPr>
            <w:r>
              <w:rPr>
                <w:b/>
                <w:bCs/>
                <w:snapToGrid w:val="0"/>
                <w:kern w:val="0"/>
                <w:sz w:val="21"/>
                <w:szCs w:val="21"/>
              </w:rPr>
              <w:t>2）工艺原理</w:t>
            </w:r>
          </w:p>
          <w:p>
            <w:pPr>
              <w:ind w:firstLine="420"/>
              <w:outlineLvl w:val="0"/>
              <w:rPr>
                <w:rFonts w:hAnsi="宋体"/>
                <w:bCs/>
                <w:snapToGrid w:val="0"/>
                <w:kern w:val="0"/>
                <w:sz w:val="21"/>
                <w:szCs w:val="21"/>
              </w:rPr>
            </w:pPr>
            <w:r>
              <w:rPr>
                <w:rFonts w:hint="eastAsia" w:hAnsi="宋体"/>
                <w:bCs/>
                <w:snapToGrid w:val="0"/>
                <w:kern w:val="0"/>
                <w:sz w:val="21"/>
                <w:szCs w:val="21"/>
              </w:rPr>
              <w:t>鑫泓钻井废水处理厂采用化学法固液分离反渗透装置（UF超滤+R/O装置）的工艺路线。化学法固液分离又叫混凝沉淀法，是通过向水体中投加混凝处理剂，在合适的处理条件下形成絮凝体和水相的非均相混合物，利用重力的作用，实现絮凝体和水相的分离达到污染物去除的目的。混凝剂投加到水体中后，伴随着非常复杂的物理化学过程，主要存在压缩双电层、沉淀物网捕、吸附架桥、电中和等混凝机理。包括加药、混合、絮凝、沉淀、分离、污泥脱水等工艺过程。</w:t>
            </w:r>
          </w:p>
          <w:p>
            <w:pPr>
              <w:ind w:firstLine="420"/>
              <w:outlineLvl w:val="0"/>
              <w:rPr>
                <w:rFonts w:hAnsi="宋体"/>
                <w:bCs/>
                <w:snapToGrid w:val="0"/>
                <w:kern w:val="0"/>
                <w:sz w:val="21"/>
                <w:szCs w:val="21"/>
              </w:rPr>
            </w:pPr>
            <w:r>
              <w:rPr>
                <w:rFonts w:hint="eastAsia" w:hAnsi="宋体"/>
                <w:bCs/>
                <w:snapToGrid w:val="0"/>
                <w:kern w:val="0"/>
                <w:sz w:val="21"/>
                <w:szCs w:val="21"/>
              </w:rPr>
              <w:t>鑫泓污水处理厂通过对钻井废水、</w:t>
            </w:r>
            <w:r>
              <w:rPr>
                <w:rFonts w:hint="eastAsia" w:hAnsi="宋体"/>
                <w:snapToGrid w:val="0"/>
                <w:kern w:val="0"/>
                <w:sz w:val="21"/>
                <w:szCs w:val="21"/>
              </w:rPr>
              <w:t>压裂</w:t>
            </w:r>
            <w:r>
              <w:rPr>
                <w:rFonts w:hint="eastAsia" w:hAnsi="宋体"/>
                <w:bCs/>
                <w:snapToGrid w:val="0"/>
                <w:kern w:val="0"/>
                <w:sz w:val="21"/>
                <w:szCs w:val="21"/>
              </w:rPr>
              <w:t>废水的实验研究，选择聚合氯化铝（PAC）、聚丙烯酰胺作为混凝剂。反渗透是膜分离的一种方法，膜分离是利用膜对混合物中不同组分的选择渗透作用的差异，以外界能量或化学位差为推动力，对双组分或多组分混合的气体或液体进行分离、分级提纯和富集的方法。截留过程的推动力主要是浓度梯度、电势梯度及压力梯度，可以有效的去除水中的溶解盐、胶体、细菌、病毒、细菌内毒素和大部分有机物等杂质。处理效率可达98%以上。反渗透装置主要装置由砂滤器、碳滤器、保安过滤器（又名精密过滤器）、UF超滤膜组件、R/O装置组合而成。</w:t>
            </w:r>
          </w:p>
          <w:p>
            <w:pPr>
              <w:ind w:firstLine="420"/>
              <w:outlineLvl w:val="0"/>
              <w:rPr>
                <w:bCs/>
                <w:snapToGrid w:val="0"/>
                <w:kern w:val="0"/>
                <w:sz w:val="21"/>
                <w:szCs w:val="21"/>
              </w:rPr>
            </w:pPr>
            <w:r>
              <w:rPr>
                <w:rFonts w:hint="eastAsia" w:hAnsi="宋体"/>
                <w:bCs/>
                <w:snapToGrid w:val="0"/>
                <w:kern w:val="0"/>
                <w:sz w:val="21"/>
                <w:szCs w:val="21"/>
              </w:rPr>
              <w:t>本项目作业废水主要为钻井废水和压裂返排液。拉运至污水处理厂的钻井废水和压裂返排液先暂存于废水储存池中，经调节池进行均质均量调节后，由化学法固液分离、反渗透装置（UF超滤+R/O装置）处理后，清水进入清水池后外排东河，膜前浓水返回调节池循环处理。污水处理厂设置7个废水储存池（合计容积1800m</w:t>
            </w:r>
            <w:r>
              <w:rPr>
                <w:rFonts w:hint="eastAsia" w:hAnsi="宋体"/>
                <w:bCs/>
                <w:snapToGrid w:val="0"/>
                <w:kern w:val="0"/>
                <w:sz w:val="21"/>
                <w:szCs w:val="21"/>
                <w:vertAlign w:val="superscript"/>
              </w:rPr>
              <w:t>3</w:t>
            </w:r>
            <w:r>
              <w:rPr>
                <w:rFonts w:hint="eastAsia" w:hAnsi="宋体"/>
                <w:bCs/>
                <w:snapToGrid w:val="0"/>
                <w:kern w:val="0"/>
                <w:sz w:val="21"/>
                <w:szCs w:val="21"/>
              </w:rPr>
              <w:t>），7个废水储存池功能根据当前来水类型水量的大小灵活调整。压裂返排液、钻井废水共用一套处理设备和工艺，根据废水储存池废水量切换处理。鑫泓钻井废水处理厂钻井废水处理流程见下图。</w:t>
            </w:r>
          </w:p>
          <w:p>
            <w:pPr>
              <w:ind w:firstLine="422"/>
              <w:jc w:val="center"/>
              <w:outlineLvl w:val="0"/>
              <w:rPr>
                <w:b/>
                <w:bCs/>
                <w:snapToGrid w:val="0"/>
                <w:kern w:val="0"/>
                <w:sz w:val="21"/>
                <w:szCs w:val="21"/>
              </w:rPr>
            </w:pPr>
            <w:r>
              <w:rPr>
                <w:b/>
                <w:bCs/>
                <w:snapToGrid w:val="0"/>
                <w:kern w:val="0"/>
                <w:sz w:val="21"/>
                <w:szCs w:val="21"/>
              </w:rPr>
              <w:object>
                <v:shape id="_x0000_i1030" o:spt="75" type="#_x0000_t75" style="height:172.15pt;width:410.1pt;" o:ole="t" filled="f" o:preferrelative="t" stroked="f" coordsize="21600,21600">
                  <v:path/>
                  <v:fill on="f" focussize="0,0"/>
                  <v:stroke on="f" joinstyle="miter"/>
                  <v:imagedata r:id="rId34" o:title=""/>
                  <o:lock v:ext="edit" aspectratio="t"/>
                  <w10:wrap type="none"/>
                  <w10:anchorlock/>
                </v:shape>
                <o:OLEObject Type="Embed" ProgID="Visio.Drawing.15" ShapeID="_x0000_i1030" DrawAspect="Content" ObjectID="_1468075730" r:id="rId33">
                  <o:LockedField>false</o:LockedField>
                </o:OLEObject>
              </w:object>
            </w:r>
          </w:p>
          <w:p>
            <w:pPr>
              <w:spacing w:line="240" w:lineRule="auto"/>
              <w:ind w:firstLine="0" w:firstLineChars="0"/>
              <w:jc w:val="center"/>
              <w:rPr>
                <w:b/>
                <w:bCs/>
                <w:snapToGrid w:val="0"/>
                <w:kern w:val="0"/>
                <w:sz w:val="21"/>
                <w:szCs w:val="21"/>
              </w:rPr>
            </w:pPr>
            <w:r>
              <w:rPr>
                <w:rFonts w:hint="eastAsia"/>
                <w:b/>
                <w:bCs/>
                <w:snapToGrid w:val="0"/>
                <w:kern w:val="0"/>
                <w:sz w:val="21"/>
                <w:szCs w:val="21"/>
              </w:rPr>
              <w:t>图5-2</w:t>
            </w:r>
            <w:r>
              <w:rPr>
                <w:b/>
                <w:bCs/>
                <w:snapToGrid w:val="0"/>
                <w:kern w:val="0"/>
                <w:sz w:val="21"/>
                <w:szCs w:val="21"/>
              </w:rPr>
              <w:t xml:space="preserve">  </w:t>
            </w:r>
            <w:r>
              <w:rPr>
                <w:rFonts w:hint="eastAsia"/>
                <w:b/>
                <w:bCs/>
                <w:snapToGrid w:val="0"/>
                <w:kern w:val="0"/>
                <w:sz w:val="21"/>
                <w:szCs w:val="21"/>
              </w:rPr>
              <w:t>四川鑫泓废水处理厂废水处理工艺流程示意图</w:t>
            </w:r>
          </w:p>
          <w:p>
            <w:pPr>
              <w:adjustRightInd w:val="0"/>
              <w:snapToGrid w:val="0"/>
              <w:ind w:firstLine="420"/>
              <w:rPr>
                <w:snapToGrid w:val="0"/>
                <w:kern w:val="0"/>
                <w:sz w:val="21"/>
                <w:szCs w:val="21"/>
              </w:rPr>
            </w:pPr>
            <w:r>
              <w:rPr>
                <w:rFonts w:hAnsi="宋体"/>
                <w:bCs/>
                <w:snapToGrid w:val="0"/>
                <w:kern w:val="0"/>
                <w:sz w:val="21"/>
                <w:szCs w:val="21"/>
              </w:rPr>
              <w:t>根据</w:t>
            </w:r>
            <w:r>
              <w:rPr>
                <w:rFonts w:hint="eastAsia" w:hAnsi="宋体"/>
                <w:bCs/>
                <w:snapToGrid w:val="0"/>
                <w:kern w:val="0"/>
                <w:sz w:val="21"/>
                <w:szCs w:val="21"/>
              </w:rPr>
              <w:t>苍溪县</w:t>
            </w:r>
            <w:r>
              <w:rPr>
                <w:rFonts w:hAnsi="宋体"/>
                <w:bCs/>
                <w:snapToGrid w:val="0"/>
                <w:kern w:val="0"/>
                <w:sz w:val="21"/>
                <w:szCs w:val="21"/>
              </w:rPr>
              <w:t>环境监测站于</w:t>
            </w:r>
            <w:r>
              <w:rPr>
                <w:bCs/>
                <w:snapToGrid w:val="0"/>
                <w:kern w:val="0"/>
                <w:sz w:val="21"/>
                <w:szCs w:val="21"/>
              </w:rPr>
              <w:t>2019</w:t>
            </w:r>
            <w:r>
              <w:rPr>
                <w:rFonts w:hAnsi="宋体"/>
                <w:bCs/>
                <w:snapToGrid w:val="0"/>
                <w:kern w:val="0"/>
                <w:sz w:val="21"/>
                <w:szCs w:val="21"/>
              </w:rPr>
              <w:t>年</w:t>
            </w:r>
            <w:r>
              <w:rPr>
                <w:bCs/>
                <w:snapToGrid w:val="0"/>
                <w:kern w:val="0"/>
                <w:sz w:val="21"/>
                <w:szCs w:val="21"/>
              </w:rPr>
              <w:t>8</w:t>
            </w:r>
            <w:r>
              <w:rPr>
                <w:rFonts w:hAnsi="宋体"/>
                <w:bCs/>
                <w:snapToGrid w:val="0"/>
                <w:kern w:val="0"/>
                <w:sz w:val="21"/>
                <w:szCs w:val="21"/>
              </w:rPr>
              <w:t>月</w:t>
            </w:r>
            <w:r>
              <w:rPr>
                <w:bCs/>
                <w:snapToGrid w:val="0"/>
                <w:kern w:val="0"/>
                <w:sz w:val="21"/>
                <w:szCs w:val="21"/>
              </w:rPr>
              <w:t>12</w:t>
            </w:r>
            <w:r>
              <w:rPr>
                <w:rFonts w:hAnsi="宋体"/>
                <w:bCs/>
                <w:snapToGrid w:val="0"/>
                <w:kern w:val="0"/>
                <w:sz w:val="21"/>
                <w:szCs w:val="21"/>
              </w:rPr>
              <w:t>日对</w:t>
            </w:r>
            <w:r>
              <w:rPr>
                <w:rFonts w:hint="eastAsia" w:hAnsi="宋体"/>
                <w:bCs/>
                <w:snapToGrid w:val="0"/>
                <w:kern w:val="0"/>
                <w:sz w:val="21"/>
                <w:szCs w:val="21"/>
              </w:rPr>
              <w:t>四川鑫泓废水处理厂</w:t>
            </w:r>
            <w:r>
              <w:rPr>
                <w:rFonts w:hAnsi="宋体"/>
                <w:bCs/>
                <w:snapToGrid w:val="0"/>
                <w:kern w:val="0"/>
                <w:sz w:val="21"/>
                <w:szCs w:val="21"/>
              </w:rPr>
              <w:t>进行了监测，并出具了检验检测报告（</w:t>
            </w:r>
            <w:r>
              <w:rPr>
                <w:rFonts w:hint="eastAsia" w:hAnsi="宋体"/>
                <w:bCs/>
                <w:snapToGrid w:val="0"/>
                <w:kern w:val="0"/>
                <w:sz w:val="21"/>
                <w:szCs w:val="21"/>
              </w:rPr>
              <w:t>苍环监字(2019）第071号</w:t>
            </w:r>
            <w:r>
              <w:rPr>
                <w:rFonts w:hAnsi="宋体"/>
                <w:bCs/>
                <w:snapToGrid w:val="0"/>
                <w:kern w:val="0"/>
                <w:sz w:val="21"/>
                <w:szCs w:val="21"/>
              </w:rPr>
              <w:t>）（监测报告见附件），监测结果见表。</w:t>
            </w:r>
          </w:p>
          <w:p>
            <w:pPr>
              <w:ind w:firstLine="0" w:firstLineChars="0"/>
              <w:jc w:val="center"/>
              <w:rPr>
                <w:rFonts w:hAnsi="宋体"/>
                <w:b/>
                <w:bCs/>
                <w:snapToGrid w:val="0"/>
                <w:kern w:val="0"/>
                <w:sz w:val="21"/>
                <w:szCs w:val="21"/>
              </w:rPr>
            </w:pPr>
            <w:r>
              <w:rPr>
                <w:rFonts w:hint="eastAsia" w:hAnsi="宋体"/>
                <w:b/>
                <w:bCs/>
                <w:snapToGrid w:val="0"/>
                <w:kern w:val="0"/>
                <w:sz w:val="21"/>
                <w:szCs w:val="21"/>
              </w:rPr>
              <w:t>表</w:t>
            </w:r>
            <w:r>
              <w:rPr>
                <w:rFonts w:hAnsi="宋体"/>
                <w:b/>
                <w:bCs/>
                <w:snapToGrid w:val="0"/>
                <w:kern w:val="0"/>
                <w:sz w:val="21"/>
                <w:szCs w:val="21"/>
              </w:rPr>
              <w:t>5-</w:t>
            </w:r>
            <w:r>
              <w:rPr>
                <w:rFonts w:hint="eastAsia" w:hAnsi="宋体"/>
                <w:b/>
                <w:bCs/>
                <w:snapToGrid w:val="0"/>
                <w:kern w:val="0"/>
                <w:sz w:val="21"/>
                <w:szCs w:val="21"/>
              </w:rPr>
              <w:t>1</w:t>
            </w:r>
            <w:r>
              <w:rPr>
                <w:rFonts w:hAnsi="宋体"/>
                <w:b/>
                <w:bCs/>
                <w:snapToGrid w:val="0"/>
                <w:kern w:val="0"/>
                <w:sz w:val="21"/>
                <w:szCs w:val="21"/>
              </w:rPr>
              <w:t xml:space="preserve">  </w:t>
            </w:r>
            <w:r>
              <w:rPr>
                <w:rFonts w:hint="eastAsia" w:hAnsi="宋体"/>
                <w:b/>
                <w:bCs/>
                <w:snapToGrid w:val="0"/>
                <w:kern w:val="0"/>
                <w:sz w:val="21"/>
                <w:szCs w:val="21"/>
              </w:rPr>
              <w:t>四川鑫泓废水处理厂出水监测结果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959"/>
              <w:gridCol w:w="958"/>
              <w:gridCol w:w="958"/>
              <w:gridCol w:w="1065"/>
              <w:gridCol w:w="958"/>
              <w:gridCol w:w="1003"/>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outlineLvl w:val="0"/>
                    <w:rPr>
                      <w:rFonts w:hAnsi="宋体"/>
                      <w:b/>
                      <w:bCs/>
                      <w:snapToGrid w:val="0"/>
                      <w:kern w:val="0"/>
                      <w:sz w:val="21"/>
                      <w:szCs w:val="21"/>
                    </w:rPr>
                  </w:pPr>
                  <w:r>
                    <w:rPr>
                      <w:rFonts w:hint="eastAsia" w:hAnsi="宋体"/>
                      <w:b/>
                      <w:bCs/>
                      <w:snapToGrid w:val="0"/>
                      <w:kern w:val="0"/>
                      <w:sz w:val="21"/>
                      <w:szCs w:val="21"/>
                    </w:rPr>
                    <w:t>检测项目</w:t>
                  </w:r>
                </w:p>
              </w:tc>
              <w:tc>
                <w:tcPr>
                  <w:tcW w:w="2344" w:type="pct"/>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废水处理设施出口</w:t>
                  </w:r>
                </w:p>
              </w:tc>
              <w:tc>
                <w:tcPr>
                  <w:tcW w:w="577"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单位</w:t>
                  </w:r>
                </w:p>
              </w:tc>
              <w:tc>
                <w:tcPr>
                  <w:tcW w:w="604"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执行标准</w:t>
                  </w:r>
                </w:p>
              </w:tc>
              <w:tc>
                <w:tcPr>
                  <w:tcW w:w="601"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第一次</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第二次</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第三次</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
                      <w:bCs/>
                      <w:snapToGrid w:val="0"/>
                      <w:kern w:val="0"/>
                      <w:sz w:val="21"/>
                      <w:szCs w:val="21"/>
                    </w:rPr>
                  </w:pPr>
                  <w:r>
                    <w:rPr>
                      <w:rFonts w:hint="eastAsia" w:hAnsi="宋体"/>
                      <w:b/>
                      <w:bCs/>
                      <w:snapToGrid w:val="0"/>
                      <w:kern w:val="0"/>
                      <w:sz w:val="21"/>
                      <w:szCs w:val="21"/>
                    </w:rPr>
                    <w:t>平均值</w:t>
                  </w:r>
                </w:p>
              </w:tc>
              <w:tc>
                <w:tcPr>
                  <w:tcW w:w="577"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p>
              </w:tc>
              <w:tc>
                <w:tcPr>
                  <w:tcW w:w="604"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p>
              </w:tc>
              <w:tc>
                <w:tcPr>
                  <w:tcW w:w="601"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pH</w:t>
                  </w: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r>
                    <w:rPr>
                      <w:rFonts w:hAnsi="宋体"/>
                      <w:bCs/>
                      <w:snapToGrid w:val="0"/>
                      <w:kern w:val="0"/>
                      <w:sz w:val="21"/>
                      <w:szCs w:val="21"/>
                    </w:rPr>
                    <w:t>.67</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r>
                    <w:rPr>
                      <w:rFonts w:hAnsi="宋体"/>
                      <w:bCs/>
                      <w:snapToGrid w:val="0"/>
                      <w:kern w:val="0"/>
                      <w:sz w:val="21"/>
                      <w:szCs w:val="21"/>
                    </w:rPr>
                    <w:t>.62</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r>
                    <w:rPr>
                      <w:rFonts w:hAnsi="宋体"/>
                      <w:bCs/>
                      <w:snapToGrid w:val="0"/>
                      <w:kern w:val="0"/>
                      <w:sz w:val="21"/>
                      <w:szCs w:val="21"/>
                    </w:rPr>
                    <w:t>.65</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r>
                    <w:rPr>
                      <w:rFonts w:hAnsi="宋体"/>
                      <w:bCs/>
                      <w:snapToGrid w:val="0"/>
                      <w:kern w:val="0"/>
                      <w:sz w:val="21"/>
                      <w:szCs w:val="21"/>
                    </w:rPr>
                    <w:t>.62</w:t>
                  </w:r>
                  <w:r>
                    <w:rPr>
                      <w:rFonts w:hint="eastAsia" w:hAnsi="宋体"/>
                      <w:bCs/>
                      <w:snapToGrid w:val="0"/>
                      <w:kern w:val="0"/>
                      <w:sz w:val="21"/>
                      <w:szCs w:val="21"/>
                    </w:rPr>
                    <w:t>~</w:t>
                  </w:r>
                  <w:r>
                    <w:rPr>
                      <w:rFonts w:hAnsi="宋体"/>
                      <w:bCs/>
                      <w:snapToGrid w:val="0"/>
                      <w:kern w:val="0"/>
                      <w:sz w:val="21"/>
                      <w:szCs w:val="21"/>
                    </w:rPr>
                    <w:t>8.67</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无量纲</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hAnsi="宋体" w:cs="宋体"/>
                      <w:bCs/>
                      <w:snapToGrid w:val="0"/>
                      <w:kern w:val="0"/>
                      <w:sz w:val="21"/>
                      <w:szCs w:val="21"/>
                    </w:rPr>
                    <w:t>6~9</w:t>
                  </w:r>
                </w:p>
              </w:tc>
              <w:tc>
                <w:tcPr>
                  <w:tcW w:w="6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悬浮物</w:t>
                  </w: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7</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8</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w:t>
                  </w:r>
                  <w:r>
                    <w:rPr>
                      <w:rFonts w:hAnsi="宋体" w:cs="宋体"/>
                      <w:bCs/>
                      <w:snapToGrid w:val="0"/>
                      <w:kern w:val="0"/>
                      <w:sz w:val="21"/>
                      <w:szCs w:val="21"/>
                    </w:rPr>
                    <w:t>70</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化学需氧量</w:t>
                  </w: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2</w:t>
                  </w:r>
                  <w:r>
                    <w:rPr>
                      <w:rFonts w:hAnsi="宋体"/>
                      <w:bCs/>
                      <w:snapToGrid w:val="0"/>
                      <w:kern w:val="0"/>
                      <w:sz w:val="21"/>
                      <w:szCs w:val="21"/>
                    </w:rPr>
                    <w:t>1</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1</w:t>
                  </w:r>
                  <w:r>
                    <w:rPr>
                      <w:rFonts w:hAnsi="宋体"/>
                      <w:bCs/>
                      <w:snapToGrid w:val="0"/>
                      <w:kern w:val="0"/>
                      <w:sz w:val="21"/>
                      <w:szCs w:val="21"/>
                    </w:rPr>
                    <w:t>9</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2</w:t>
                  </w:r>
                  <w:r>
                    <w:rPr>
                      <w:rFonts w:hAnsi="宋体"/>
                      <w:bCs/>
                      <w:snapToGrid w:val="0"/>
                      <w:kern w:val="0"/>
                      <w:sz w:val="21"/>
                      <w:szCs w:val="21"/>
                    </w:rPr>
                    <w:t>2</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2</w:t>
                  </w:r>
                  <w:r>
                    <w:rPr>
                      <w:rFonts w:hAnsi="宋体"/>
                      <w:bCs/>
                      <w:snapToGrid w:val="0"/>
                      <w:kern w:val="0"/>
                      <w:sz w:val="21"/>
                      <w:szCs w:val="21"/>
                    </w:rPr>
                    <w:t>1</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≤100</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氨氮</w:t>
                  </w: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1</w:t>
                  </w:r>
                  <w:r>
                    <w:rPr>
                      <w:rFonts w:hAnsi="宋体"/>
                      <w:bCs/>
                      <w:snapToGrid w:val="0"/>
                      <w:kern w:val="0"/>
                      <w:sz w:val="21"/>
                      <w:szCs w:val="21"/>
                    </w:rPr>
                    <w:t>.17</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1</w:t>
                  </w:r>
                  <w:r>
                    <w:rPr>
                      <w:rFonts w:hAnsi="宋体"/>
                      <w:bCs/>
                      <w:snapToGrid w:val="0"/>
                      <w:kern w:val="0"/>
                      <w:sz w:val="21"/>
                      <w:szCs w:val="21"/>
                    </w:rPr>
                    <w:t>.08</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1</w:t>
                  </w:r>
                  <w:r>
                    <w:rPr>
                      <w:rFonts w:hAnsi="宋体"/>
                      <w:bCs/>
                      <w:snapToGrid w:val="0"/>
                      <w:kern w:val="0"/>
                      <w:sz w:val="21"/>
                      <w:szCs w:val="21"/>
                    </w:rPr>
                    <w:t>.20</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1</w:t>
                  </w:r>
                  <w:r>
                    <w:rPr>
                      <w:rFonts w:hAnsi="宋体"/>
                      <w:bCs/>
                      <w:snapToGrid w:val="0"/>
                      <w:kern w:val="0"/>
                      <w:sz w:val="21"/>
                      <w:szCs w:val="21"/>
                    </w:rPr>
                    <w:t>.15</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≤15</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五日生化需氧量</w:t>
                  </w:r>
                </w:p>
              </w:tc>
              <w:tc>
                <w:tcPr>
                  <w:tcW w:w="57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5</w:t>
                  </w:r>
                  <w:r>
                    <w:rPr>
                      <w:rFonts w:hAnsi="宋体"/>
                      <w:bCs/>
                      <w:snapToGrid w:val="0"/>
                      <w:kern w:val="0"/>
                      <w:sz w:val="21"/>
                      <w:szCs w:val="21"/>
                    </w:rPr>
                    <w:t>.5</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4</w:t>
                  </w:r>
                  <w:r>
                    <w:rPr>
                      <w:rFonts w:hAnsi="宋体"/>
                      <w:bCs/>
                      <w:snapToGrid w:val="0"/>
                      <w:kern w:val="0"/>
                      <w:sz w:val="21"/>
                      <w:szCs w:val="21"/>
                    </w:rPr>
                    <w:t>.9</w:t>
                  </w:r>
                </w:p>
              </w:tc>
              <w:tc>
                <w:tcPr>
                  <w:tcW w:w="5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5</w:t>
                  </w:r>
                  <w:r>
                    <w:rPr>
                      <w:rFonts w:hAnsi="宋体"/>
                      <w:bCs/>
                      <w:snapToGrid w:val="0"/>
                      <w:kern w:val="0"/>
                      <w:sz w:val="21"/>
                      <w:szCs w:val="21"/>
                    </w:rPr>
                    <w:t>.8</w:t>
                  </w:r>
                </w:p>
              </w:tc>
              <w:tc>
                <w:tcPr>
                  <w:tcW w:w="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5</w:t>
                  </w:r>
                  <w:r>
                    <w:rPr>
                      <w:rFonts w:hAnsi="宋体"/>
                      <w:bCs/>
                      <w:snapToGrid w:val="0"/>
                      <w:kern w:val="0"/>
                      <w:sz w:val="21"/>
                      <w:szCs w:val="21"/>
                    </w:rPr>
                    <w:t>.4</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≤20</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六价铬</w:t>
                  </w:r>
                </w:p>
              </w:tc>
              <w:tc>
                <w:tcPr>
                  <w:tcW w:w="578"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612"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w:t>
                  </w:r>
                  <w:r>
                    <w:rPr>
                      <w:rFonts w:hint="eastAsia" w:hAnsi="宋体" w:cs="宋体"/>
                      <w:bCs/>
                      <w:snapToGrid w:val="0"/>
                      <w:kern w:val="0"/>
                      <w:sz w:val="21"/>
                      <w:szCs w:val="21"/>
                    </w:rPr>
                    <w:t>0</w:t>
                  </w:r>
                  <w:r>
                    <w:rPr>
                      <w:rFonts w:hAnsi="宋体" w:cs="宋体"/>
                      <w:bCs/>
                      <w:snapToGrid w:val="0"/>
                      <w:kern w:val="0"/>
                      <w:sz w:val="21"/>
                      <w:szCs w:val="21"/>
                    </w:rPr>
                    <w:t>.5</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挥发分</w:t>
                  </w:r>
                </w:p>
              </w:tc>
              <w:tc>
                <w:tcPr>
                  <w:tcW w:w="578"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612"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cs="宋体"/>
                      <w:bCs/>
                      <w:snapToGrid w:val="0"/>
                      <w:kern w:val="0"/>
                      <w:sz w:val="21"/>
                      <w:szCs w:val="21"/>
                    </w:rPr>
                  </w:pPr>
                  <w:r>
                    <w:rPr>
                      <w:rFonts w:cs="宋体"/>
                      <w:bCs/>
                      <w:snapToGrid w:val="0"/>
                      <w:kern w:val="0"/>
                      <w:sz w:val="21"/>
                      <w:szCs w:val="21"/>
                    </w:rPr>
                    <w:t>≤0.5</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硫化物</w:t>
                  </w:r>
                </w:p>
              </w:tc>
              <w:tc>
                <w:tcPr>
                  <w:tcW w:w="578"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612"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int="eastAsia" w:hAnsi="宋体"/>
                      <w:bCs/>
                      <w:snapToGrid w:val="0"/>
                      <w:kern w:val="0"/>
                      <w:sz w:val="21"/>
                      <w:szCs w:val="21"/>
                    </w:rPr>
                    <w:t>未检出</w:t>
                  </w:r>
                </w:p>
              </w:tc>
              <w:tc>
                <w:tcPr>
                  <w:tcW w:w="577"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hAnsi="宋体"/>
                      <w:bCs/>
                      <w:snapToGrid w:val="0"/>
                      <w:kern w:val="0"/>
                      <w:sz w:val="21"/>
                      <w:szCs w:val="21"/>
                    </w:rPr>
                  </w:pPr>
                  <w:r>
                    <w:rPr>
                      <w:rFonts w:hAnsi="宋体"/>
                      <w:bCs/>
                      <w:snapToGrid w:val="0"/>
                      <w:kern w:val="0"/>
                      <w:sz w:val="21"/>
                      <w:szCs w:val="21"/>
                    </w:rPr>
                    <w:t>mg/L</w:t>
                  </w:r>
                </w:p>
              </w:tc>
              <w:tc>
                <w:tcPr>
                  <w:tcW w:w="60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宋体"/>
                      <w:bCs/>
                      <w:snapToGrid w:val="0"/>
                      <w:kern w:val="0"/>
                      <w:sz w:val="21"/>
                      <w:szCs w:val="21"/>
                    </w:rPr>
                  </w:pPr>
                  <w:r>
                    <w:rPr>
                      <w:rFonts w:cs="宋体"/>
                      <w:bCs/>
                      <w:snapToGrid w:val="0"/>
                      <w:kern w:val="0"/>
                      <w:sz w:val="21"/>
                      <w:szCs w:val="21"/>
                    </w:rPr>
                    <w:t>≤</w:t>
                  </w:r>
                  <w:r>
                    <w:rPr>
                      <w:rFonts w:hint="eastAsia" w:cs="宋体"/>
                      <w:bCs/>
                      <w:snapToGrid w:val="0"/>
                      <w:kern w:val="0"/>
                      <w:sz w:val="21"/>
                      <w:szCs w:val="21"/>
                    </w:rPr>
                    <w:t>1</w:t>
                  </w:r>
                  <w:r>
                    <w:rPr>
                      <w:rFonts w:cs="宋体"/>
                      <w:bCs/>
                      <w:snapToGrid w:val="0"/>
                      <w:kern w:val="0"/>
                      <w:sz w:val="21"/>
                      <w:szCs w:val="21"/>
                    </w:rPr>
                    <w:t>.0</w:t>
                  </w:r>
                </w:p>
              </w:tc>
              <w:tc>
                <w:tcPr>
                  <w:tcW w:w="601" w:type="pct"/>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rFonts w:cs="宋体"/>
                      <w:bCs/>
                      <w:snapToGrid w:val="0"/>
                      <w:kern w:val="0"/>
                      <w:sz w:val="21"/>
                      <w:szCs w:val="21"/>
                    </w:rPr>
                  </w:pPr>
                  <w:r>
                    <w:rPr>
                      <w:rFonts w:hAnsi="宋体" w:cs="宋体"/>
                      <w:bCs/>
                      <w:snapToGrid w:val="0"/>
                      <w:kern w:val="0"/>
                      <w:sz w:val="21"/>
                      <w:szCs w:val="21"/>
                    </w:rPr>
                    <w:t>达标</w:t>
                  </w:r>
                </w:p>
              </w:tc>
            </w:tr>
          </w:tbl>
          <w:p>
            <w:pPr>
              <w:adjustRightInd w:val="0"/>
              <w:snapToGrid w:val="0"/>
              <w:ind w:firstLine="420"/>
              <w:rPr>
                <w:bCs/>
                <w:snapToGrid w:val="0"/>
                <w:kern w:val="0"/>
                <w:sz w:val="21"/>
                <w:szCs w:val="21"/>
              </w:rPr>
            </w:pPr>
            <w:r>
              <w:rPr>
                <w:rFonts w:hAnsi="宋体"/>
                <w:bCs/>
                <w:snapToGrid w:val="0"/>
                <w:kern w:val="0"/>
                <w:sz w:val="21"/>
                <w:szCs w:val="21"/>
              </w:rPr>
              <w:t>监测表明：出水水质中各项监测指标均能达到《污水综合排放标准》（</w:t>
            </w:r>
            <w:r>
              <w:rPr>
                <w:bCs/>
                <w:snapToGrid w:val="0"/>
                <w:kern w:val="0"/>
                <w:sz w:val="21"/>
                <w:szCs w:val="21"/>
              </w:rPr>
              <w:t>GB8978-1996</w:t>
            </w:r>
            <w:r>
              <w:rPr>
                <w:rFonts w:hAnsi="宋体"/>
                <w:bCs/>
                <w:snapToGrid w:val="0"/>
                <w:kern w:val="0"/>
                <w:sz w:val="21"/>
                <w:szCs w:val="21"/>
              </w:rPr>
              <w:t>）一级标准要求，则该工艺从技术上是可行的。</w:t>
            </w:r>
          </w:p>
          <w:p>
            <w:pPr>
              <w:adjustRightInd w:val="0"/>
              <w:snapToGrid w:val="0"/>
              <w:ind w:firstLine="420"/>
              <w:rPr>
                <w:rFonts w:hAnsi="宋体"/>
                <w:bCs/>
                <w:snapToGrid w:val="0"/>
                <w:kern w:val="0"/>
                <w:sz w:val="21"/>
                <w:szCs w:val="21"/>
              </w:rPr>
            </w:pPr>
            <w:r>
              <w:rPr>
                <w:rFonts w:hAnsi="宋体"/>
                <w:bCs/>
                <w:snapToGrid w:val="0"/>
                <w:kern w:val="0"/>
                <w:sz w:val="21"/>
                <w:szCs w:val="21"/>
              </w:rPr>
              <w:t>综上，从</w:t>
            </w:r>
            <w:r>
              <w:rPr>
                <w:rFonts w:hint="eastAsia" w:hAnsi="宋体"/>
                <w:bCs/>
                <w:snapToGrid w:val="0"/>
                <w:kern w:val="0"/>
                <w:sz w:val="21"/>
                <w:szCs w:val="21"/>
              </w:rPr>
              <w:t>四川鑫泓废水处理厂剩余处理能力、处理工艺及废水稳定达标排放等角度考虑，</w:t>
            </w:r>
            <w:r>
              <w:rPr>
                <w:rFonts w:hAnsi="宋体"/>
                <w:bCs/>
                <w:snapToGrid w:val="0"/>
                <w:kern w:val="0"/>
                <w:sz w:val="21"/>
                <w:szCs w:val="21"/>
              </w:rPr>
              <w:t>项目废水依托</w:t>
            </w:r>
            <w:r>
              <w:rPr>
                <w:rFonts w:hint="eastAsia" w:hAnsi="宋体"/>
                <w:bCs/>
                <w:snapToGrid w:val="0"/>
                <w:kern w:val="0"/>
                <w:sz w:val="21"/>
                <w:szCs w:val="21"/>
              </w:rPr>
              <w:t>四川鑫泓废水处理厂是</w:t>
            </w:r>
            <w:r>
              <w:rPr>
                <w:rFonts w:hAnsi="宋体"/>
                <w:bCs/>
                <w:snapToGrid w:val="0"/>
                <w:kern w:val="0"/>
                <w:sz w:val="21"/>
                <w:szCs w:val="21"/>
              </w:rPr>
              <w:t>可行的。</w:t>
            </w:r>
            <w:r>
              <w:rPr>
                <w:rFonts w:hint="eastAsia" w:hAnsi="宋体"/>
                <w:bCs/>
                <w:snapToGrid w:val="0"/>
                <w:kern w:val="0"/>
                <w:sz w:val="21"/>
                <w:szCs w:val="21"/>
              </w:rPr>
              <w:t>如果四川鑫泓废水处理厂无法处理本项目的废水，则外运至其他有处理资质和处理能力的单位作达标处理。</w:t>
            </w:r>
          </w:p>
          <w:p>
            <w:pPr>
              <w:adjustRightInd w:val="0"/>
              <w:snapToGrid w:val="0"/>
              <w:ind w:firstLine="422"/>
              <w:rPr>
                <w:rFonts w:hAnsi="宋体"/>
                <w:bCs/>
                <w:snapToGrid w:val="0"/>
                <w:kern w:val="0"/>
                <w:sz w:val="21"/>
                <w:szCs w:val="21"/>
              </w:rPr>
            </w:pPr>
            <w:r>
              <w:rPr>
                <w:rFonts w:hAnsi="宋体"/>
                <w:b/>
                <w:bCs/>
                <w:snapToGrid w:val="0"/>
                <w:kern w:val="0"/>
                <w:sz w:val="21"/>
                <w:szCs w:val="21"/>
              </w:rPr>
              <w:t>（</w:t>
            </w:r>
            <w:r>
              <w:rPr>
                <w:b/>
                <w:bCs/>
                <w:snapToGrid w:val="0"/>
                <w:kern w:val="0"/>
                <w:sz w:val="21"/>
                <w:szCs w:val="21"/>
              </w:rPr>
              <w:t>4</w:t>
            </w:r>
            <w:r>
              <w:rPr>
                <w:rFonts w:hAnsi="宋体"/>
                <w:b/>
                <w:bCs/>
                <w:snapToGrid w:val="0"/>
                <w:kern w:val="0"/>
                <w:sz w:val="21"/>
                <w:szCs w:val="21"/>
              </w:rPr>
              <w:t>）废水收集、储存管理及可行性分析</w:t>
            </w:r>
          </w:p>
          <w:p>
            <w:pPr>
              <w:adjustRightInd w:val="0"/>
              <w:snapToGrid w:val="0"/>
              <w:ind w:firstLine="420"/>
              <w:rPr>
                <w:bCs/>
                <w:snapToGrid w:val="0"/>
                <w:kern w:val="0"/>
                <w:sz w:val="21"/>
                <w:szCs w:val="21"/>
              </w:rPr>
            </w:pPr>
            <w:r>
              <w:rPr>
                <w:bCs/>
                <w:snapToGrid w:val="0"/>
                <w:kern w:val="0"/>
                <w:sz w:val="21"/>
                <w:szCs w:val="21"/>
              </w:rPr>
              <w:t>A</w:t>
            </w:r>
            <w:r>
              <w:rPr>
                <w:rFonts w:hAnsi="宋体"/>
                <w:bCs/>
                <w:snapToGrid w:val="0"/>
                <w:kern w:val="0"/>
                <w:sz w:val="21"/>
                <w:szCs w:val="21"/>
              </w:rPr>
              <w:t>、废水收集措施</w:t>
            </w:r>
          </w:p>
          <w:p>
            <w:pPr>
              <w:adjustRightInd w:val="0"/>
              <w:snapToGrid w:val="0"/>
              <w:ind w:firstLine="420"/>
              <w:rPr>
                <w:bCs/>
                <w:snapToGrid w:val="0"/>
                <w:kern w:val="0"/>
                <w:sz w:val="21"/>
                <w:szCs w:val="21"/>
              </w:rPr>
            </w:pPr>
            <w:r>
              <w:rPr>
                <w:rFonts w:hAnsi="宋体"/>
                <w:bCs/>
                <w:snapToGrid w:val="0"/>
                <w:kern w:val="0"/>
                <w:sz w:val="21"/>
                <w:szCs w:val="21"/>
              </w:rPr>
              <w:t>清洁化操作区域共设置</w:t>
            </w:r>
            <w:r>
              <w:rPr>
                <w:bCs/>
                <w:snapToGrid w:val="0"/>
                <w:kern w:val="0"/>
                <w:sz w:val="21"/>
                <w:szCs w:val="21"/>
              </w:rPr>
              <w:t>4</w:t>
            </w:r>
            <w:r>
              <w:rPr>
                <w:rFonts w:hAnsi="宋体"/>
                <w:bCs/>
                <w:snapToGrid w:val="0"/>
                <w:kern w:val="0"/>
                <w:sz w:val="21"/>
                <w:szCs w:val="21"/>
              </w:rPr>
              <w:t>个</w:t>
            </w:r>
            <w:r>
              <w:rPr>
                <w:bCs/>
                <w:snapToGrid w:val="0"/>
                <w:kern w:val="0"/>
                <w:sz w:val="21"/>
                <w:szCs w:val="21"/>
              </w:rPr>
              <w:t>40m</w:t>
            </w:r>
            <w:r>
              <w:rPr>
                <w:bCs/>
                <w:snapToGrid w:val="0"/>
                <w:kern w:val="0"/>
                <w:sz w:val="21"/>
                <w:szCs w:val="21"/>
                <w:vertAlign w:val="superscript"/>
              </w:rPr>
              <w:t>3</w:t>
            </w:r>
            <w:r>
              <w:rPr>
                <w:rFonts w:hAnsi="宋体"/>
                <w:bCs/>
                <w:snapToGrid w:val="0"/>
                <w:kern w:val="0"/>
                <w:sz w:val="21"/>
                <w:szCs w:val="21"/>
              </w:rPr>
              <w:t>的废水罐，废水罐总容积</w:t>
            </w:r>
            <w:r>
              <w:rPr>
                <w:bCs/>
                <w:snapToGrid w:val="0"/>
                <w:kern w:val="0"/>
                <w:sz w:val="21"/>
                <w:szCs w:val="21"/>
              </w:rPr>
              <w:t>160m</w:t>
            </w:r>
            <w:r>
              <w:rPr>
                <w:bCs/>
                <w:snapToGrid w:val="0"/>
                <w:kern w:val="0"/>
                <w:sz w:val="21"/>
                <w:szCs w:val="21"/>
                <w:vertAlign w:val="superscript"/>
              </w:rPr>
              <w:t>3</w:t>
            </w:r>
            <w:r>
              <w:rPr>
                <w:rFonts w:hAnsi="宋体"/>
                <w:bCs/>
                <w:snapToGrid w:val="0"/>
                <w:kern w:val="0"/>
                <w:sz w:val="21"/>
                <w:szCs w:val="21"/>
              </w:rPr>
              <w:t>，钻井废水及方井雨水及时转运，使其储存量不超过储存总容积</w:t>
            </w:r>
            <w:r>
              <w:rPr>
                <w:bCs/>
                <w:snapToGrid w:val="0"/>
                <w:kern w:val="0"/>
                <w:sz w:val="21"/>
                <w:szCs w:val="21"/>
              </w:rPr>
              <w:t>160m</w:t>
            </w:r>
            <w:r>
              <w:rPr>
                <w:bCs/>
                <w:snapToGrid w:val="0"/>
                <w:kern w:val="0"/>
                <w:sz w:val="21"/>
                <w:szCs w:val="21"/>
                <w:vertAlign w:val="superscript"/>
              </w:rPr>
              <w:t>3</w:t>
            </w:r>
            <w:r>
              <w:rPr>
                <w:rFonts w:hAnsi="宋体"/>
                <w:bCs/>
                <w:snapToGrid w:val="0"/>
                <w:kern w:val="0"/>
                <w:sz w:val="21"/>
                <w:szCs w:val="21"/>
              </w:rPr>
              <w:t>。洗井废水产生量约</w:t>
            </w:r>
            <w:r>
              <w:rPr>
                <w:snapToGrid w:val="0"/>
                <w:kern w:val="0"/>
                <w:sz w:val="21"/>
                <w:szCs w:val="21"/>
              </w:rPr>
              <w:t>180</w:t>
            </w:r>
            <w:r>
              <w:rPr>
                <w:bCs/>
                <w:snapToGrid w:val="0"/>
                <w:kern w:val="0"/>
                <w:sz w:val="21"/>
                <w:szCs w:val="21"/>
              </w:rPr>
              <w:t>m</w:t>
            </w:r>
            <w:r>
              <w:rPr>
                <w:bCs/>
                <w:snapToGrid w:val="0"/>
                <w:kern w:val="0"/>
                <w:sz w:val="21"/>
                <w:szCs w:val="21"/>
                <w:vertAlign w:val="superscript"/>
              </w:rPr>
              <w:t>3</w:t>
            </w:r>
            <w:r>
              <w:rPr>
                <w:rFonts w:hint="eastAsia"/>
                <w:bCs/>
                <w:snapToGrid w:val="0"/>
                <w:kern w:val="0"/>
                <w:sz w:val="21"/>
                <w:szCs w:val="21"/>
              </w:rPr>
              <w:t>，洗井废水进入重叠罐后回用于压裂液配置</w:t>
            </w:r>
            <w:r>
              <w:rPr>
                <w:rFonts w:hint="eastAsia" w:hAnsi="宋体"/>
                <w:bCs/>
                <w:snapToGrid w:val="0"/>
                <w:kern w:val="0"/>
                <w:sz w:val="21"/>
                <w:szCs w:val="21"/>
              </w:rPr>
              <w:t>；压裂</w:t>
            </w:r>
            <w:r>
              <w:rPr>
                <w:rFonts w:hAnsi="宋体"/>
                <w:bCs/>
                <w:snapToGrid w:val="0"/>
                <w:kern w:val="0"/>
                <w:sz w:val="21"/>
                <w:szCs w:val="21"/>
              </w:rPr>
              <w:t>返排液</w:t>
            </w:r>
            <w:r>
              <w:rPr>
                <w:bCs/>
                <w:sz w:val="21"/>
                <w:szCs w:val="21"/>
              </w:rPr>
              <w:t>平均每日最大返排量约126.2m</w:t>
            </w:r>
            <w:r>
              <w:rPr>
                <w:bCs/>
                <w:sz w:val="21"/>
                <w:szCs w:val="21"/>
                <w:vertAlign w:val="superscript"/>
              </w:rPr>
              <w:t>3</w:t>
            </w:r>
            <w:r>
              <w:rPr>
                <w:rFonts w:hint="eastAsia"/>
                <w:bCs/>
                <w:snapToGrid w:val="0"/>
                <w:kern w:val="0"/>
                <w:sz w:val="21"/>
                <w:szCs w:val="21"/>
              </w:rPr>
              <w:t>，总计返排量约</w:t>
            </w:r>
            <w:r>
              <w:rPr>
                <w:kern w:val="0"/>
                <w:sz w:val="21"/>
                <w:szCs w:val="21"/>
              </w:rPr>
              <w:t>5677.6</w:t>
            </w:r>
            <w:r>
              <w:rPr>
                <w:bCs/>
                <w:snapToGrid w:val="0"/>
                <w:kern w:val="0"/>
                <w:sz w:val="21"/>
                <w:szCs w:val="21"/>
              </w:rPr>
              <w:t>m</w:t>
            </w:r>
            <w:r>
              <w:rPr>
                <w:bCs/>
                <w:snapToGrid w:val="0"/>
                <w:kern w:val="0"/>
                <w:sz w:val="21"/>
                <w:szCs w:val="21"/>
                <w:vertAlign w:val="superscript"/>
              </w:rPr>
              <w:t>3</w:t>
            </w:r>
            <w:r>
              <w:rPr>
                <w:rFonts w:hint="eastAsia"/>
                <w:bCs/>
                <w:snapToGrid w:val="0"/>
                <w:kern w:val="0"/>
                <w:sz w:val="21"/>
                <w:szCs w:val="21"/>
              </w:rPr>
              <w:t>，</w:t>
            </w:r>
            <w:r>
              <w:rPr>
                <w:rFonts w:hint="eastAsia" w:hAnsi="宋体"/>
                <w:bCs/>
                <w:snapToGrid w:val="0"/>
                <w:kern w:val="0"/>
                <w:sz w:val="21"/>
                <w:szCs w:val="21"/>
              </w:rPr>
              <w:t>压裂</w:t>
            </w:r>
            <w:r>
              <w:rPr>
                <w:rFonts w:hAnsi="宋体"/>
                <w:bCs/>
                <w:snapToGrid w:val="0"/>
                <w:kern w:val="0"/>
                <w:sz w:val="21"/>
                <w:szCs w:val="21"/>
              </w:rPr>
              <w:t>返排液先排入</w:t>
            </w:r>
            <w:r>
              <w:rPr>
                <w:rFonts w:hint="eastAsia" w:hAnsi="宋体"/>
                <w:bCs/>
                <w:snapToGrid w:val="0"/>
                <w:kern w:val="0"/>
                <w:sz w:val="21"/>
                <w:szCs w:val="21"/>
              </w:rPr>
              <w:t>应急池</w:t>
            </w:r>
            <w:r>
              <w:rPr>
                <w:rFonts w:hAnsi="宋体"/>
                <w:bCs/>
                <w:snapToGrid w:val="0"/>
                <w:kern w:val="0"/>
                <w:sz w:val="21"/>
                <w:szCs w:val="21"/>
              </w:rPr>
              <w:t>中暂存后</w:t>
            </w:r>
            <w:r>
              <w:rPr>
                <w:rFonts w:hint="eastAsia" w:hAnsi="宋体"/>
                <w:bCs/>
                <w:snapToGrid w:val="0"/>
                <w:kern w:val="0"/>
                <w:sz w:val="21"/>
                <w:szCs w:val="21"/>
              </w:rPr>
              <w:t>，约90%优先回用于探矿区内其他钻井工程回用于压裂液配置，剩余部分及时</w:t>
            </w:r>
            <w:r>
              <w:rPr>
                <w:rFonts w:hint="eastAsia"/>
                <w:bCs/>
                <w:snapToGrid w:val="0"/>
                <w:kern w:val="0"/>
                <w:sz w:val="21"/>
                <w:szCs w:val="21"/>
              </w:rPr>
              <w:t>拉运至</w:t>
            </w:r>
            <w:r>
              <w:rPr>
                <w:rFonts w:hint="eastAsia" w:hAnsi="宋体"/>
                <w:bCs/>
                <w:snapToGrid w:val="0"/>
                <w:kern w:val="0"/>
                <w:sz w:val="21"/>
                <w:szCs w:val="21"/>
              </w:rPr>
              <w:t>四川鑫泓废水处理厂</w:t>
            </w:r>
            <w:r>
              <w:rPr>
                <w:rFonts w:hAnsi="宋体"/>
                <w:bCs/>
                <w:snapToGrid w:val="0"/>
                <w:kern w:val="0"/>
                <w:sz w:val="21"/>
                <w:szCs w:val="21"/>
              </w:rPr>
              <w:t>进行处理。</w:t>
            </w:r>
          </w:p>
          <w:p>
            <w:pPr>
              <w:adjustRightInd w:val="0"/>
              <w:snapToGrid w:val="0"/>
              <w:ind w:firstLine="420"/>
              <w:rPr>
                <w:bCs/>
                <w:snapToGrid w:val="0"/>
                <w:kern w:val="0"/>
                <w:sz w:val="21"/>
                <w:szCs w:val="21"/>
              </w:rPr>
            </w:pPr>
            <w:r>
              <w:rPr>
                <w:rFonts w:hAnsi="宋体"/>
                <w:bCs/>
                <w:snapToGrid w:val="0"/>
                <w:kern w:val="0"/>
                <w:sz w:val="21"/>
                <w:szCs w:val="21"/>
              </w:rPr>
              <w:t>施工单位在合理安排施工工序，及时对产生的废水外运，加强废水收集、储存管理的情况下，项目能够满足收容要求。</w:t>
            </w:r>
          </w:p>
          <w:p>
            <w:pPr>
              <w:tabs>
                <w:tab w:val="left" w:pos="420"/>
              </w:tabs>
              <w:adjustRightInd w:val="0"/>
              <w:snapToGrid w:val="0"/>
              <w:ind w:firstLine="420"/>
              <w:rPr>
                <w:rFonts w:hAnsi="宋体"/>
                <w:b/>
                <w:snapToGrid w:val="0"/>
                <w:kern w:val="0"/>
                <w:sz w:val="21"/>
                <w:szCs w:val="21"/>
              </w:rPr>
            </w:pPr>
            <w:r>
              <w:rPr>
                <w:rFonts w:hAnsi="宋体"/>
                <w:bCs/>
                <w:snapToGrid w:val="0"/>
                <w:kern w:val="0"/>
                <w:sz w:val="21"/>
                <w:szCs w:val="21"/>
              </w:rPr>
              <w:t>拟建工程废水收集措施见表</w:t>
            </w:r>
            <w:r>
              <w:rPr>
                <w:bCs/>
                <w:snapToGrid w:val="0"/>
                <w:kern w:val="0"/>
                <w:sz w:val="21"/>
                <w:szCs w:val="21"/>
              </w:rPr>
              <w:t>5-2</w:t>
            </w:r>
            <w:r>
              <w:rPr>
                <w:rFonts w:hAnsi="宋体"/>
                <w:bCs/>
                <w:snapToGrid w:val="0"/>
                <w:kern w:val="0"/>
                <w:sz w:val="21"/>
                <w:szCs w:val="21"/>
              </w:rPr>
              <w:t>。</w:t>
            </w:r>
          </w:p>
          <w:p>
            <w:pPr>
              <w:tabs>
                <w:tab w:val="left" w:pos="420"/>
              </w:tabs>
              <w:adjustRightInd w:val="0"/>
              <w:snapToGrid w:val="0"/>
              <w:ind w:firstLine="0" w:firstLineChars="0"/>
              <w:jc w:val="center"/>
              <w:rPr>
                <w:rFonts w:hAnsi="宋体"/>
                <w:b/>
                <w:snapToGrid w:val="0"/>
                <w:kern w:val="0"/>
                <w:sz w:val="21"/>
                <w:szCs w:val="21"/>
              </w:rPr>
            </w:pPr>
            <w:r>
              <w:rPr>
                <w:rFonts w:hint="eastAsia" w:hAnsi="宋体"/>
                <w:b/>
                <w:snapToGrid w:val="0"/>
                <w:kern w:val="0"/>
                <w:sz w:val="21"/>
                <w:szCs w:val="21"/>
              </w:rPr>
              <w:t>表</w:t>
            </w:r>
            <w:r>
              <w:rPr>
                <w:b/>
                <w:snapToGrid w:val="0"/>
                <w:kern w:val="0"/>
                <w:sz w:val="21"/>
                <w:szCs w:val="21"/>
              </w:rPr>
              <w:t xml:space="preserve">5-2  </w:t>
            </w:r>
            <w:r>
              <w:rPr>
                <w:rFonts w:hint="eastAsia" w:hAnsi="宋体"/>
                <w:b/>
                <w:snapToGrid w:val="0"/>
                <w:kern w:val="0"/>
                <w:sz w:val="21"/>
                <w:szCs w:val="21"/>
              </w:rPr>
              <w:t>工程的废水收集措施表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253"/>
              <w:gridCol w:w="1261"/>
              <w:gridCol w:w="1780"/>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autoSpaceDE w:val="0"/>
                    <w:autoSpaceDN w:val="0"/>
                    <w:adjustRightInd w:val="0"/>
                    <w:spacing w:line="240" w:lineRule="auto"/>
                    <w:ind w:firstLine="0" w:firstLineChars="0"/>
                    <w:jc w:val="center"/>
                    <w:rPr>
                      <w:b/>
                      <w:snapToGrid w:val="0"/>
                      <w:kern w:val="0"/>
                      <w:sz w:val="21"/>
                      <w:szCs w:val="21"/>
                    </w:rPr>
                  </w:pPr>
                  <w:r>
                    <w:rPr>
                      <w:rFonts w:hAnsi="宋体"/>
                      <w:b/>
                      <w:snapToGrid w:val="0"/>
                      <w:kern w:val="0"/>
                      <w:sz w:val="21"/>
                      <w:szCs w:val="21"/>
                    </w:rPr>
                    <w:t>污染物类型</w:t>
                  </w:r>
                </w:p>
              </w:tc>
              <w:tc>
                <w:tcPr>
                  <w:tcW w:w="1276" w:type="dxa"/>
                  <w:vAlign w:val="center"/>
                </w:tcPr>
                <w:p>
                  <w:pPr>
                    <w:autoSpaceDE w:val="0"/>
                    <w:autoSpaceDN w:val="0"/>
                    <w:adjustRightInd w:val="0"/>
                    <w:spacing w:line="240" w:lineRule="auto"/>
                    <w:ind w:firstLine="0" w:firstLineChars="0"/>
                    <w:jc w:val="center"/>
                    <w:rPr>
                      <w:b/>
                      <w:snapToGrid w:val="0"/>
                      <w:kern w:val="0"/>
                      <w:sz w:val="21"/>
                      <w:szCs w:val="21"/>
                    </w:rPr>
                  </w:pPr>
                  <w:r>
                    <w:rPr>
                      <w:rFonts w:hAnsi="宋体"/>
                      <w:b/>
                      <w:snapToGrid w:val="0"/>
                      <w:kern w:val="0"/>
                      <w:sz w:val="21"/>
                      <w:szCs w:val="21"/>
                    </w:rPr>
                    <w:t>污染物种类</w:t>
                  </w:r>
                </w:p>
              </w:tc>
              <w:tc>
                <w:tcPr>
                  <w:tcW w:w="1276" w:type="dxa"/>
                  <w:vAlign w:val="center"/>
                </w:tcPr>
                <w:p>
                  <w:pPr>
                    <w:autoSpaceDE w:val="0"/>
                    <w:autoSpaceDN w:val="0"/>
                    <w:adjustRightInd w:val="0"/>
                    <w:spacing w:line="240" w:lineRule="auto"/>
                    <w:ind w:firstLine="0" w:firstLineChars="0"/>
                    <w:jc w:val="center"/>
                    <w:rPr>
                      <w:b/>
                      <w:snapToGrid w:val="0"/>
                      <w:kern w:val="0"/>
                      <w:sz w:val="21"/>
                      <w:szCs w:val="21"/>
                    </w:rPr>
                  </w:pPr>
                  <w:r>
                    <w:rPr>
                      <w:rFonts w:hAnsi="宋体"/>
                      <w:b/>
                      <w:snapToGrid w:val="0"/>
                      <w:kern w:val="0"/>
                      <w:sz w:val="21"/>
                      <w:szCs w:val="21"/>
                    </w:rPr>
                    <w:t>总产生量</w:t>
                  </w:r>
                </w:p>
              </w:tc>
              <w:tc>
                <w:tcPr>
                  <w:tcW w:w="1842" w:type="dxa"/>
                  <w:vAlign w:val="center"/>
                </w:tcPr>
                <w:p>
                  <w:pPr>
                    <w:autoSpaceDE w:val="0"/>
                    <w:autoSpaceDN w:val="0"/>
                    <w:adjustRightInd w:val="0"/>
                    <w:spacing w:line="240" w:lineRule="auto"/>
                    <w:ind w:firstLine="0" w:firstLineChars="0"/>
                    <w:jc w:val="center"/>
                    <w:rPr>
                      <w:b/>
                      <w:snapToGrid w:val="0"/>
                      <w:kern w:val="0"/>
                      <w:sz w:val="21"/>
                      <w:szCs w:val="21"/>
                    </w:rPr>
                  </w:pPr>
                  <w:r>
                    <w:rPr>
                      <w:rFonts w:hAnsi="宋体"/>
                      <w:b/>
                      <w:snapToGrid w:val="0"/>
                      <w:kern w:val="0"/>
                      <w:sz w:val="21"/>
                      <w:szCs w:val="21"/>
                    </w:rPr>
                    <w:t>收集措施</w:t>
                  </w:r>
                </w:p>
              </w:tc>
              <w:tc>
                <w:tcPr>
                  <w:tcW w:w="2820" w:type="dxa"/>
                  <w:vAlign w:val="center"/>
                </w:tcPr>
                <w:p>
                  <w:pPr>
                    <w:autoSpaceDE w:val="0"/>
                    <w:autoSpaceDN w:val="0"/>
                    <w:adjustRightInd w:val="0"/>
                    <w:spacing w:line="240" w:lineRule="auto"/>
                    <w:ind w:firstLine="0" w:firstLineChars="0"/>
                    <w:jc w:val="center"/>
                    <w:rPr>
                      <w:b/>
                      <w:snapToGrid w:val="0"/>
                      <w:kern w:val="0"/>
                      <w:sz w:val="21"/>
                      <w:szCs w:val="21"/>
                    </w:rPr>
                  </w:pPr>
                  <w:r>
                    <w:rPr>
                      <w:rFonts w:hAnsi="宋体"/>
                      <w:b/>
                      <w:snapToGrid w:val="0"/>
                      <w:kern w:val="0"/>
                      <w:sz w:val="21"/>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autoSpaceDE w:val="0"/>
                    <w:autoSpaceDN w:val="0"/>
                    <w:spacing w:line="240" w:lineRule="auto"/>
                    <w:ind w:firstLine="0" w:firstLineChars="0"/>
                    <w:jc w:val="center"/>
                    <w:rPr>
                      <w:snapToGrid w:val="0"/>
                      <w:kern w:val="0"/>
                      <w:sz w:val="21"/>
                      <w:szCs w:val="21"/>
                    </w:rPr>
                  </w:pPr>
                  <w:r>
                    <w:rPr>
                      <w:rFonts w:hAnsi="宋体"/>
                      <w:snapToGrid w:val="0"/>
                      <w:kern w:val="0"/>
                      <w:sz w:val="21"/>
                      <w:szCs w:val="21"/>
                    </w:rPr>
                    <w:t>钻井废水</w:t>
                  </w:r>
                </w:p>
              </w:tc>
              <w:tc>
                <w:tcPr>
                  <w:tcW w:w="1276"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COD</w:t>
                  </w:r>
                  <w:r>
                    <w:rPr>
                      <w:rFonts w:hAnsi="宋体"/>
                      <w:snapToGrid w:val="0"/>
                      <w:kern w:val="0"/>
                      <w:sz w:val="21"/>
                      <w:szCs w:val="21"/>
                    </w:rPr>
                    <w:t>、</w:t>
                  </w:r>
                  <w:r>
                    <w:rPr>
                      <w:snapToGrid w:val="0"/>
                      <w:kern w:val="0"/>
                      <w:sz w:val="21"/>
                      <w:szCs w:val="21"/>
                    </w:rPr>
                    <w:t>SS</w:t>
                  </w:r>
                  <w:r>
                    <w:rPr>
                      <w:rFonts w:hAnsi="宋体"/>
                      <w:snapToGrid w:val="0"/>
                      <w:kern w:val="0"/>
                      <w:sz w:val="21"/>
                      <w:szCs w:val="21"/>
                    </w:rPr>
                    <w:t>、石油类等</w:t>
                  </w:r>
                </w:p>
              </w:tc>
              <w:tc>
                <w:tcPr>
                  <w:tcW w:w="1276" w:type="dxa"/>
                  <w:vAlign w:val="center"/>
                </w:tcPr>
                <w:p>
                  <w:pPr>
                    <w:widowControl/>
                    <w:spacing w:line="240" w:lineRule="auto"/>
                    <w:ind w:firstLine="0" w:firstLineChars="0"/>
                    <w:jc w:val="center"/>
                    <w:rPr>
                      <w:snapToGrid w:val="0"/>
                      <w:kern w:val="0"/>
                      <w:sz w:val="21"/>
                      <w:szCs w:val="21"/>
                    </w:rPr>
                  </w:pPr>
                  <w:r>
                    <w:rPr>
                      <w:rFonts w:hint="eastAsia"/>
                      <w:sz w:val="21"/>
                      <w:szCs w:val="21"/>
                    </w:rPr>
                    <w:t>237.2</w:t>
                  </w:r>
                  <w:r>
                    <w:rPr>
                      <w:snapToGrid w:val="0"/>
                      <w:kern w:val="0"/>
                      <w:sz w:val="21"/>
                      <w:szCs w:val="21"/>
                    </w:rPr>
                    <w:t>m</w:t>
                  </w:r>
                  <w:r>
                    <w:rPr>
                      <w:snapToGrid w:val="0"/>
                      <w:kern w:val="0"/>
                      <w:sz w:val="21"/>
                      <w:szCs w:val="21"/>
                      <w:vertAlign w:val="superscript"/>
                    </w:rPr>
                    <w:t>3</w:t>
                  </w:r>
                </w:p>
              </w:tc>
              <w:tc>
                <w:tcPr>
                  <w:tcW w:w="1842" w:type="dxa"/>
                  <w:vAlign w:val="center"/>
                </w:tcPr>
                <w:p>
                  <w:pPr>
                    <w:autoSpaceDE w:val="0"/>
                    <w:autoSpaceDN w:val="0"/>
                    <w:spacing w:line="240" w:lineRule="auto"/>
                    <w:ind w:firstLine="0" w:firstLineChars="0"/>
                    <w:jc w:val="center"/>
                    <w:rPr>
                      <w:snapToGrid w:val="0"/>
                      <w:kern w:val="0"/>
                      <w:sz w:val="21"/>
                      <w:szCs w:val="21"/>
                    </w:rPr>
                  </w:pPr>
                  <w:r>
                    <w:rPr>
                      <w:rFonts w:hAnsi="宋体"/>
                      <w:snapToGrid w:val="0"/>
                      <w:kern w:val="0"/>
                      <w:sz w:val="21"/>
                      <w:szCs w:val="21"/>
                    </w:rPr>
                    <w:t>随钻处理，</w:t>
                  </w:r>
                  <w:r>
                    <w:rPr>
                      <w:snapToGrid w:val="0"/>
                      <w:kern w:val="0"/>
                      <w:sz w:val="21"/>
                      <w:szCs w:val="21"/>
                    </w:rPr>
                    <w:t>160m</w:t>
                  </w:r>
                  <w:r>
                    <w:rPr>
                      <w:snapToGrid w:val="0"/>
                      <w:kern w:val="0"/>
                      <w:sz w:val="21"/>
                      <w:szCs w:val="21"/>
                      <w:vertAlign w:val="superscript"/>
                    </w:rPr>
                    <w:t>3</w:t>
                  </w:r>
                  <w:r>
                    <w:rPr>
                      <w:rFonts w:hAnsi="宋体"/>
                      <w:snapToGrid w:val="0"/>
                      <w:kern w:val="0"/>
                      <w:sz w:val="21"/>
                      <w:szCs w:val="21"/>
                    </w:rPr>
                    <w:t>废水罐收集</w:t>
                  </w:r>
                </w:p>
              </w:tc>
              <w:tc>
                <w:tcPr>
                  <w:tcW w:w="2820" w:type="dxa"/>
                  <w:vAlign w:val="center"/>
                </w:tcPr>
                <w:p>
                  <w:pPr>
                    <w:autoSpaceDE w:val="0"/>
                    <w:autoSpaceDN w:val="0"/>
                    <w:adjustRightInd w:val="0"/>
                    <w:spacing w:line="240" w:lineRule="auto"/>
                    <w:ind w:firstLine="0" w:firstLineChars="0"/>
                    <w:jc w:val="center"/>
                    <w:rPr>
                      <w:snapToGrid w:val="0"/>
                      <w:kern w:val="0"/>
                      <w:sz w:val="21"/>
                      <w:szCs w:val="21"/>
                    </w:rPr>
                  </w:pPr>
                  <w:r>
                    <w:rPr>
                      <w:rFonts w:hint="eastAsia" w:hAnsi="宋体"/>
                      <w:snapToGrid w:val="0"/>
                      <w:kern w:val="0"/>
                      <w:sz w:val="21"/>
                      <w:szCs w:val="21"/>
                    </w:rPr>
                    <w:t>优先回用，不可回用部分</w:t>
                  </w:r>
                  <w:r>
                    <w:rPr>
                      <w:rFonts w:hAnsi="宋体"/>
                      <w:snapToGrid w:val="0"/>
                      <w:kern w:val="0"/>
                      <w:sz w:val="21"/>
                      <w:szCs w:val="21"/>
                    </w:rPr>
                    <w:t>用罐车运至</w:t>
                  </w:r>
                  <w:r>
                    <w:rPr>
                      <w:rFonts w:hint="eastAsia" w:hAnsi="宋体"/>
                      <w:bCs/>
                      <w:snapToGrid w:val="0"/>
                      <w:kern w:val="0"/>
                      <w:sz w:val="21"/>
                      <w:szCs w:val="21"/>
                    </w:rPr>
                    <w:t>四川鑫泓废水处理厂</w:t>
                  </w:r>
                  <w:r>
                    <w:rPr>
                      <w:rFonts w:hAnsi="宋体"/>
                      <w:snapToGrid w:val="0"/>
                      <w:kern w:val="0"/>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autoSpaceDE w:val="0"/>
                    <w:autoSpaceDN w:val="0"/>
                    <w:spacing w:line="240" w:lineRule="auto"/>
                    <w:ind w:firstLine="0" w:firstLineChars="0"/>
                    <w:jc w:val="center"/>
                    <w:rPr>
                      <w:rFonts w:hAnsi="宋体"/>
                      <w:snapToGrid w:val="0"/>
                      <w:kern w:val="0"/>
                      <w:sz w:val="21"/>
                      <w:szCs w:val="21"/>
                    </w:rPr>
                  </w:pPr>
                  <w:r>
                    <w:rPr>
                      <w:rFonts w:hAnsi="宋体"/>
                      <w:snapToGrid w:val="0"/>
                      <w:kern w:val="0"/>
                      <w:sz w:val="21"/>
                      <w:szCs w:val="21"/>
                    </w:rPr>
                    <w:t>方井雨水</w:t>
                  </w:r>
                </w:p>
              </w:tc>
              <w:tc>
                <w:tcPr>
                  <w:tcW w:w="1276"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COD</w:t>
                  </w:r>
                  <w:r>
                    <w:rPr>
                      <w:rFonts w:hAnsi="宋体"/>
                      <w:snapToGrid w:val="0"/>
                      <w:kern w:val="0"/>
                      <w:sz w:val="21"/>
                      <w:szCs w:val="21"/>
                    </w:rPr>
                    <w:t>、</w:t>
                  </w:r>
                  <w:r>
                    <w:rPr>
                      <w:snapToGrid w:val="0"/>
                      <w:kern w:val="0"/>
                      <w:sz w:val="21"/>
                      <w:szCs w:val="21"/>
                    </w:rPr>
                    <w:t>SS</w:t>
                  </w:r>
                  <w:r>
                    <w:rPr>
                      <w:rFonts w:hAnsi="宋体"/>
                      <w:snapToGrid w:val="0"/>
                      <w:kern w:val="0"/>
                      <w:sz w:val="21"/>
                      <w:szCs w:val="21"/>
                    </w:rPr>
                    <w:t>、石油类等</w:t>
                  </w:r>
                </w:p>
              </w:tc>
              <w:tc>
                <w:tcPr>
                  <w:tcW w:w="1276" w:type="dxa"/>
                  <w:vAlign w:val="center"/>
                </w:tcPr>
                <w:p>
                  <w:pPr>
                    <w:widowControl/>
                    <w:spacing w:line="240" w:lineRule="auto"/>
                    <w:ind w:firstLine="0" w:firstLineChars="0"/>
                    <w:jc w:val="center"/>
                    <w:rPr>
                      <w:snapToGrid w:val="0"/>
                      <w:kern w:val="0"/>
                      <w:sz w:val="21"/>
                      <w:szCs w:val="21"/>
                    </w:rPr>
                  </w:pPr>
                  <w:r>
                    <w:rPr>
                      <w:bCs/>
                      <w:snapToGrid w:val="0"/>
                      <w:sz w:val="21"/>
                      <w:szCs w:val="21"/>
                    </w:rPr>
                    <w:t>348.3</w:t>
                  </w:r>
                  <w:r>
                    <w:rPr>
                      <w:snapToGrid w:val="0"/>
                      <w:kern w:val="0"/>
                      <w:sz w:val="21"/>
                      <w:szCs w:val="21"/>
                    </w:rPr>
                    <w:t>m</w:t>
                  </w:r>
                  <w:r>
                    <w:rPr>
                      <w:snapToGrid w:val="0"/>
                      <w:kern w:val="0"/>
                      <w:sz w:val="21"/>
                      <w:szCs w:val="21"/>
                      <w:vertAlign w:val="superscript"/>
                    </w:rPr>
                    <w:t>3</w:t>
                  </w:r>
                </w:p>
              </w:tc>
              <w:tc>
                <w:tcPr>
                  <w:tcW w:w="1842" w:type="dxa"/>
                  <w:vAlign w:val="center"/>
                </w:tcPr>
                <w:p>
                  <w:pPr>
                    <w:autoSpaceDE w:val="0"/>
                    <w:autoSpaceDN w:val="0"/>
                    <w:spacing w:line="240" w:lineRule="auto"/>
                    <w:ind w:firstLine="0" w:firstLineChars="0"/>
                    <w:jc w:val="center"/>
                    <w:rPr>
                      <w:rFonts w:hAnsi="宋体"/>
                      <w:snapToGrid w:val="0"/>
                      <w:kern w:val="0"/>
                      <w:sz w:val="21"/>
                      <w:szCs w:val="21"/>
                    </w:rPr>
                  </w:pPr>
                  <w:r>
                    <w:rPr>
                      <w:rFonts w:hAnsi="宋体"/>
                      <w:snapToGrid w:val="0"/>
                      <w:kern w:val="0"/>
                      <w:sz w:val="21"/>
                      <w:szCs w:val="21"/>
                    </w:rPr>
                    <w:t>随钻处理，</w:t>
                  </w:r>
                  <w:r>
                    <w:rPr>
                      <w:snapToGrid w:val="0"/>
                      <w:kern w:val="0"/>
                      <w:sz w:val="21"/>
                      <w:szCs w:val="21"/>
                    </w:rPr>
                    <w:t>160m</w:t>
                  </w:r>
                  <w:r>
                    <w:rPr>
                      <w:snapToGrid w:val="0"/>
                      <w:kern w:val="0"/>
                      <w:sz w:val="21"/>
                      <w:szCs w:val="21"/>
                      <w:vertAlign w:val="superscript"/>
                    </w:rPr>
                    <w:t>3</w:t>
                  </w:r>
                  <w:r>
                    <w:rPr>
                      <w:rFonts w:hAnsi="宋体"/>
                      <w:snapToGrid w:val="0"/>
                      <w:kern w:val="0"/>
                      <w:sz w:val="21"/>
                      <w:szCs w:val="21"/>
                    </w:rPr>
                    <w:t>废水罐收集</w:t>
                  </w:r>
                </w:p>
              </w:tc>
              <w:tc>
                <w:tcPr>
                  <w:tcW w:w="2820" w:type="dxa"/>
                  <w:vAlign w:val="center"/>
                </w:tcPr>
                <w:p>
                  <w:pPr>
                    <w:autoSpaceDE w:val="0"/>
                    <w:autoSpaceDN w:val="0"/>
                    <w:adjustRightInd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优先回用于水基泥浆钻井补水、剩余时及时</w:t>
                  </w:r>
                  <w:r>
                    <w:rPr>
                      <w:rFonts w:hAnsi="宋体"/>
                      <w:snapToGrid w:val="0"/>
                      <w:kern w:val="0"/>
                      <w:sz w:val="21"/>
                      <w:szCs w:val="21"/>
                    </w:rPr>
                    <w:t>用罐车运至</w:t>
                  </w:r>
                  <w:r>
                    <w:rPr>
                      <w:rFonts w:hint="eastAsia" w:hAnsi="宋体"/>
                      <w:bCs/>
                      <w:snapToGrid w:val="0"/>
                      <w:kern w:val="0"/>
                      <w:sz w:val="21"/>
                      <w:szCs w:val="21"/>
                    </w:rPr>
                    <w:t>四川鑫泓废水处理厂</w:t>
                  </w:r>
                  <w:r>
                    <w:rPr>
                      <w:rFonts w:hAnsi="宋体"/>
                      <w:snapToGrid w:val="0"/>
                      <w:kern w:val="0"/>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autoSpaceDE w:val="0"/>
                    <w:autoSpaceDN w:val="0"/>
                    <w:spacing w:line="240" w:lineRule="auto"/>
                    <w:ind w:firstLine="0" w:firstLineChars="0"/>
                    <w:jc w:val="center"/>
                    <w:rPr>
                      <w:snapToGrid w:val="0"/>
                      <w:kern w:val="0"/>
                      <w:sz w:val="21"/>
                      <w:szCs w:val="21"/>
                    </w:rPr>
                  </w:pPr>
                  <w:r>
                    <w:rPr>
                      <w:rFonts w:hAnsi="宋体"/>
                      <w:snapToGrid w:val="0"/>
                      <w:kern w:val="0"/>
                      <w:sz w:val="21"/>
                      <w:szCs w:val="21"/>
                    </w:rPr>
                    <w:t>洗井废水</w:t>
                  </w:r>
                </w:p>
              </w:tc>
              <w:tc>
                <w:tcPr>
                  <w:tcW w:w="1276"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COD</w:t>
                  </w:r>
                  <w:r>
                    <w:rPr>
                      <w:rFonts w:hAnsi="宋体"/>
                      <w:snapToGrid w:val="0"/>
                      <w:kern w:val="0"/>
                      <w:sz w:val="21"/>
                      <w:szCs w:val="21"/>
                    </w:rPr>
                    <w:t>、</w:t>
                  </w:r>
                  <w:r>
                    <w:rPr>
                      <w:snapToGrid w:val="0"/>
                      <w:kern w:val="0"/>
                      <w:sz w:val="21"/>
                      <w:szCs w:val="21"/>
                    </w:rPr>
                    <w:t>SS</w:t>
                  </w:r>
                  <w:r>
                    <w:rPr>
                      <w:rFonts w:hAnsi="宋体"/>
                      <w:snapToGrid w:val="0"/>
                      <w:kern w:val="0"/>
                      <w:sz w:val="21"/>
                      <w:szCs w:val="21"/>
                    </w:rPr>
                    <w:t>、石油类等</w:t>
                  </w:r>
                </w:p>
              </w:tc>
              <w:tc>
                <w:tcPr>
                  <w:tcW w:w="1276" w:type="dxa"/>
                  <w:vAlign w:val="center"/>
                </w:tcPr>
                <w:p>
                  <w:pPr>
                    <w:widowControl/>
                    <w:spacing w:line="240" w:lineRule="auto"/>
                    <w:ind w:firstLine="0" w:firstLineChars="0"/>
                    <w:jc w:val="center"/>
                    <w:rPr>
                      <w:snapToGrid w:val="0"/>
                      <w:kern w:val="0"/>
                      <w:sz w:val="21"/>
                      <w:szCs w:val="21"/>
                    </w:rPr>
                  </w:pPr>
                  <w:r>
                    <w:rPr>
                      <w:snapToGrid w:val="0"/>
                      <w:kern w:val="0"/>
                      <w:sz w:val="21"/>
                      <w:szCs w:val="21"/>
                    </w:rPr>
                    <w:t>180m</w:t>
                  </w:r>
                  <w:r>
                    <w:rPr>
                      <w:snapToGrid w:val="0"/>
                      <w:kern w:val="0"/>
                      <w:sz w:val="21"/>
                      <w:szCs w:val="21"/>
                      <w:vertAlign w:val="superscript"/>
                    </w:rPr>
                    <w:t>3</w:t>
                  </w:r>
                </w:p>
              </w:tc>
              <w:tc>
                <w:tcPr>
                  <w:tcW w:w="184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重叠罐</w:t>
                  </w:r>
                  <w:r>
                    <w:rPr>
                      <w:snapToGrid w:val="0"/>
                      <w:kern w:val="0"/>
                      <w:sz w:val="21"/>
                      <w:szCs w:val="21"/>
                    </w:rPr>
                    <w:t>收集</w:t>
                  </w:r>
                </w:p>
              </w:tc>
              <w:tc>
                <w:tcPr>
                  <w:tcW w:w="2820" w:type="dxa"/>
                  <w:vAlign w:val="center"/>
                </w:tcPr>
                <w:p>
                  <w:pPr>
                    <w:autoSpaceDE w:val="0"/>
                    <w:autoSpaceDN w:val="0"/>
                    <w:adjustRightInd w:val="0"/>
                    <w:spacing w:line="240" w:lineRule="auto"/>
                    <w:ind w:firstLine="0" w:firstLineChars="0"/>
                    <w:jc w:val="center"/>
                    <w:rPr>
                      <w:snapToGrid w:val="0"/>
                      <w:kern w:val="0"/>
                      <w:sz w:val="21"/>
                      <w:szCs w:val="21"/>
                    </w:rPr>
                  </w:pPr>
                  <w:r>
                    <w:rPr>
                      <w:rFonts w:hint="eastAsia" w:hAnsi="宋体"/>
                      <w:snapToGrid w:val="0"/>
                      <w:kern w:val="0"/>
                      <w:sz w:val="21"/>
                      <w:szCs w:val="21"/>
                    </w:rPr>
                    <w:t>回用于压裂液配置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autoSpaceDE w:val="0"/>
                    <w:autoSpaceDN w:val="0"/>
                    <w:spacing w:line="240" w:lineRule="auto"/>
                    <w:ind w:firstLine="0" w:firstLineChars="0"/>
                    <w:jc w:val="center"/>
                    <w:rPr>
                      <w:rFonts w:hAnsi="宋体"/>
                      <w:snapToGrid w:val="0"/>
                      <w:kern w:val="0"/>
                      <w:sz w:val="21"/>
                      <w:szCs w:val="21"/>
                    </w:rPr>
                  </w:pPr>
                  <w:r>
                    <w:rPr>
                      <w:rFonts w:hint="eastAsia" w:hAnsi="宋体"/>
                      <w:snapToGrid w:val="0"/>
                      <w:kern w:val="0"/>
                      <w:sz w:val="21"/>
                      <w:szCs w:val="21"/>
                    </w:rPr>
                    <w:t>压裂</w:t>
                  </w:r>
                  <w:r>
                    <w:rPr>
                      <w:rFonts w:hAnsi="宋体"/>
                      <w:snapToGrid w:val="0"/>
                      <w:kern w:val="0"/>
                      <w:sz w:val="21"/>
                      <w:szCs w:val="21"/>
                    </w:rPr>
                    <w:t>返排液</w:t>
                  </w:r>
                </w:p>
              </w:tc>
              <w:tc>
                <w:tcPr>
                  <w:tcW w:w="1276" w:type="dxa"/>
                  <w:vAlign w:val="center"/>
                </w:tcPr>
                <w:p>
                  <w:pPr>
                    <w:autoSpaceDE w:val="0"/>
                    <w:autoSpaceDN w:val="0"/>
                    <w:spacing w:line="240" w:lineRule="auto"/>
                    <w:ind w:firstLine="0" w:firstLineChars="0"/>
                    <w:jc w:val="center"/>
                    <w:rPr>
                      <w:rFonts w:hAnsi="宋体"/>
                      <w:snapToGrid w:val="0"/>
                      <w:kern w:val="0"/>
                      <w:sz w:val="21"/>
                      <w:szCs w:val="21"/>
                    </w:rPr>
                  </w:pPr>
                  <w:r>
                    <w:rPr>
                      <w:rFonts w:hAnsi="宋体"/>
                      <w:snapToGrid w:val="0"/>
                      <w:kern w:val="0"/>
                      <w:sz w:val="21"/>
                      <w:szCs w:val="21"/>
                    </w:rPr>
                    <w:t>pH、COD、SS、石油类等</w:t>
                  </w:r>
                </w:p>
              </w:tc>
              <w:tc>
                <w:tcPr>
                  <w:tcW w:w="1276" w:type="dxa"/>
                  <w:vAlign w:val="center"/>
                </w:tcPr>
                <w:p>
                  <w:pPr>
                    <w:autoSpaceDE w:val="0"/>
                    <w:autoSpaceDN w:val="0"/>
                    <w:spacing w:line="240" w:lineRule="auto"/>
                    <w:ind w:firstLine="0" w:firstLineChars="0"/>
                    <w:jc w:val="center"/>
                    <w:rPr>
                      <w:rFonts w:hAnsi="宋体"/>
                      <w:snapToGrid w:val="0"/>
                      <w:kern w:val="0"/>
                      <w:sz w:val="21"/>
                      <w:szCs w:val="21"/>
                    </w:rPr>
                  </w:pPr>
                  <w:r>
                    <w:rPr>
                      <w:sz w:val="21"/>
                      <w:szCs w:val="21"/>
                    </w:rPr>
                    <w:t>5677.6</w:t>
                  </w:r>
                  <w:r>
                    <w:rPr>
                      <w:rFonts w:hAnsi="宋体"/>
                      <w:snapToGrid w:val="0"/>
                      <w:kern w:val="0"/>
                      <w:sz w:val="21"/>
                      <w:szCs w:val="21"/>
                    </w:rPr>
                    <w:t>m</w:t>
                  </w:r>
                  <w:r>
                    <w:rPr>
                      <w:rFonts w:hAnsi="宋体"/>
                      <w:snapToGrid w:val="0"/>
                      <w:kern w:val="0"/>
                      <w:sz w:val="21"/>
                      <w:szCs w:val="21"/>
                      <w:vertAlign w:val="superscript"/>
                    </w:rPr>
                    <w:t>3</w:t>
                  </w:r>
                </w:p>
              </w:tc>
              <w:tc>
                <w:tcPr>
                  <w:tcW w:w="1842" w:type="dxa"/>
                  <w:vAlign w:val="center"/>
                </w:tcPr>
                <w:p>
                  <w:pPr>
                    <w:autoSpaceDE w:val="0"/>
                    <w:autoSpaceDN w:val="0"/>
                    <w:spacing w:line="240" w:lineRule="auto"/>
                    <w:ind w:firstLine="0" w:firstLineChars="0"/>
                    <w:jc w:val="center"/>
                    <w:rPr>
                      <w:rFonts w:hAnsi="宋体"/>
                      <w:snapToGrid w:val="0"/>
                      <w:kern w:val="0"/>
                      <w:sz w:val="21"/>
                      <w:szCs w:val="21"/>
                    </w:rPr>
                  </w:pPr>
                  <w:r>
                    <w:rPr>
                      <w:rFonts w:hAnsi="宋体"/>
                      <w:snapToGrid w:val="0"/>
                      <w:kern w:val="0"/>
                      <w:sz w:val="21"/>
                      <w:szCs w:val="21"/>
                    </w:rPr>
                    <w:t>500m</w:t>
                  </w:r>
                  <w:r>
                    <w:rPr>
                      <w:rFonts w:hAnsi="宋体"/>
                      <w:snapToGrid w:val="0"/>
                      <w:kern w:val="0"/>
                      <w:sz w:val="21"/>
                      <w:szCs w:val="21"/>
                      <w:vertAlign w:val="superscript"/>
                    </w:rPr>
                    <w:t>3</w:t>
                  </w:r>
                  <w:r>
                    <w:rPr>
                      <w:rFonts w:hint="eastAsia" w:hAnsi="宋体"/>
                      <w:snapToGrid w:val="0"/>
                      <w:kern w:val="0"/>
                      <w:sz w:val="21"/>
                      <w:szCs w:val="21"/>
                    </w:rPr>
                    <w:t>应急池</w:t>
                  </w:r>
                  <w:r>
                    <w:rPr>
                      <w:rFonts w:hAnsi="宋体"/>
                      <w:snapToGrid w:val="0"/>
                      <w:kern w:val="0"/>
                      <w:sz w:val="21"/>
                      <w:szCs w:val="21"/>
                    </w:rPr>
                    <w:t>收集</w:t>
                  </w:r>
                </w:p>
              </w:tc>
              <w:tc>
                <w:tcPr>
                  <w:tcW w:w="2820" w:type="dxa"/>
                  <w:vAlign w:val="center"/>
                </w:tcPr>
                <w:p>
                  <w:pPr>
                    <w:autoSpaceDE w:val="0"/>
                    <w:autoSpaceDN w:val="0"/>
                    <w:adjustRightInd w:val="0"/>
                    <w:spacing w:line="240" w:lineRule="auto"/>
                    <w:ind w:firstLine="0" w:firstLineChars="0"/>
                    <w:jc w:val="center"/>
                    <w:rPr>
                      <w:rFonts w:hAnsi="宋体"/>
                      <w:snapToGrid w:val="0"/>
                      <w:kern w:val="0"/>
                      <w:sz w:val="21"/>
                      <w:szCs w:val="21"/>
                    </w:rPr>
                  </w:pPr>
                  <w:r>
                    <w:rPr>
                      <w:rFonts w:hAnsi="宋体"/>
                      <w:snapToGrid w:val="0"/>
                      <w:kern w:val="0"/>
                      <w:sz w:val="21"/>
                      <w:szCs w:val="21"/>
                    </w:rPr>
                    <w:t>加碱中和处理</w:t>
                  </w:r>
                  <w:r>
                    <w:rPr>
                      <w:rFonts w:hint="eastAsia" w:hAnsi="宋体"/>
                      <w:snapToGrid w:val="0"/>
                      <w:kern w:val="0"/>
                      <w:sz w:val="21"/>
                      <w:szCs w:val="21"/>
                    </w:rPr>
                    <w:t>，约90%优先回用于探矿区内其他钻井工程回用于压裂液配置，不能回用部分部分及时</w:t>
                  </w:r>
                  <w:r>
                    <w:rPr>
                      <w:rFonts w:hAnsi="宋体"/>
                      <w:snapToGrid w:val="0"/>
                      <w:kern w:val="0"/>
                      <w:sz w:val="21"/>
                      <w:szCs w:val="21"/>
                    </w:rPr>
                    <w:t>用罐车运至</w:t>
                  </w:r>
                  <w:r>
                    <w:rPr>
                      <w:rFonts w:hint="eastAsia" w:hAnsi="宋体"/>
                      <w:snapToGrid w:val="0"/>
                      <w:kern w:val="0"/>
                      <w:sz w:val="21"/>
                      <w:szCs w:val="21"/>
                    </w:rPr>
                    <w:t>四川鑫泓废水处理厂</w:t>
                  </w:r>
                  <w:r>
                    <w:rPr>
                      <w:rFonts w:hAnsi="宋体"/>
                      <w:snapToGrid w:val="0"/>
                      <w:kern w:val="0"/>
                      <w:sz w:val="21"/>
                      <w:szCs w:val="21"/>
                    </w:rPr>
                    <w:t>处理</w:t>
                  </w:r>
                </w:p>
              </w:tc>
            </w:tr>
          </w:tbl>
          <w:p>
            <w:pPr>
              <w:adjustRightInd w:val="0"/>
              <w:snapToGrid w:val="0"/>
              <w:ind w:firstLine="420"/>
              <w:rPr>
                <w:bCs/>
                <w:snapToGrid w:val="0"/>
                <w:kern w:val="0"/>
                <w:sz w:val="21"/>
                <w:szCs w:val="21"/>
              </w:rPr>
            </w:pPr>
            <w:r>
              <w:rPr>
                <w:rFonts w:hint="eastAsia"/>
                <w:bCs/>
                <w:snapToGrid w:val="0"/>
                <w:kern w:val="0"/>
                <w:sz w:val="21"/>
                <w:szCs w:val="21"/>
              </w:rPr>
              <w:t>B、废水储存可行性分析</w:t>
            </w:r>
          </w:p>
          <w:p>
            <w:pPr>
              <w:adjustRightInd w:val="0"/>
              <w:snapToGrid w:val="0"/>
              <w:ind w:firstLine="420"/>
              <w:rPr>
                <w:snapToGrid w:val="0"/>
                <w:kern w:val="0"/>
                <w:sz w:val="21"/>
                <w:szCs w:val="21"/>
              </w:rPr>
            </w:pPr>
            <w:r>
              <w:rPr>
                <w:rFonts w:hint="eastAsia"/>
                <w:bCs/>
                <w:snapToGrid w:val="0"/>
                <w:kern w:val="0"/>
                <w:sz w:val="21"/>
                <w:szCs w:val="21"/>
              </w:rPr>
              <w:t>根据分析项目生产废水产生情况可知，拟建项目钻井废水、方井雨水、洗井废水、压裂返排液合计产生量为</w:t>
            </w:r>
            <w:r>
              <w:rPr>
                <w:bCs/>
                <w:snapToGrid w:val="0"/>
                <w:kern w:val="0"/>
                <w:sz w:val="21"/>
                <w:szCs w:val="21"/>
              </w:rPr>
              <w:t>6443.1</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废水产生与不同施工阶段，并在井场内暂存；若项目废水转运期间，井场内废水无法及时转运至污水处理厂，本评价要求建设单位在本井场内废水罐满负荷前调配区块内其他井场闲置、质量完好的废水罐于本井场内作为备用罐暂存井场废水，保证废水运至污水处理厂前不出现溢流、外排等可能造成环境污染的现象。</w:t>
            </w:r>
          </w:p>
          <w:p>
            <w:pPr>
              <w:adjustRightInd w:val="0"/>
              <w:snapToGrid w:val="0"/>
              <w:ind w:firstLine="420"/>
              <w:rPr>
                <w:bCs/>
                <w:snapToGrid w:val="0"/>
                <w:kern w:val="0"/>
                <w:sz w:val="21"/>
                <w:szCs w:val="21"/>
              </w:rPr>
            </w:pPr>
            <w:r>
              <w:rPr>
                <w:rFonts w:hint="eastAsia"/>
                <w:bCs/>
                <w:snapToGrid w:val="0"/>
                <w:kern w:val="0"/>
                <w:sz w:val="21"/>
                <w:szCs w:val="21"/>
              </w:rPr>
              <w:t>综上，井场内收集装置满足要求，不会发生废水外溢产生的环境影响。</w:t>
            </w:r>
          </w:p>
          <w:p>
            <w:pPr>
              <w:adjustRightInd w:val="0"/>
              <w:snapToGrid w:val="0"/>
              <w:ind w:firstLine="420"/>
              <w:rPr>
                <w:bCs/>
                <w:snapToGrid w:val="0"/>
                <w:kern w:val="0"/>
                <w:sz w:val="21"/>
                <w:szCs w:val="21"/>
              </w:rPr>
            </w:pPr>
            <w:r>
              <w:rPr>
                <w:rFonts w:hint="eastAsia"/>
                <w:bCs/>
                <w:snapToGrid w:val="0"/>
                <w:kern w:val="0"/>
                <w:sz w:val="21"/>
                <w:szCs w:val="21"/>
              </w:rPr>
              <w:t>C、废水管理可行性分析</w:t>
            </w:r>
          </w:p>
          <w:p>
            <w:pPr>
              <w:adjustRightInd w:val="0"/>
              <w:snapToGrid w:val="0"/>
              <w:ind w:firstLine="420"/>
              <w:rPr>
                <w:bCs/>
                <w:snapToGrid w:val="0"/>
                <w:kern w:val="0"/>
                <w:sz w:val="21"/>
                <w:szCs w:val="21"/>
              </w:rPr>
            </w:pPr>
            <w:r>
              <w:rPr>
                <w:rFonts w:hint="eastAsia"/>
                <w:bCs/>
                <w:snapToGrid w:val="0"/>
                <w:kern w:val="0"/>
                <w:sz w:val="21"/>
                <w:szCs w:val="21"/>
              </w:rPr>
              <w:t>此外，建设单位针对废水储存采取了以下管理措施：</w:t>
            </w:r>
          </w:p>
          <w:p>
            <w:pPr>
              <w:adjustRightInd w:val="0"/>
              <w:snapToGrid w:val="0"/>
              <w:ind w:firstLine="420"/>
              <w:rPr>
                <w:bCs/>
                <w:snapToGrid w:val="0"/>
                <w:kern w:val="0"/>
                <w:sz w:val="21"/>
                <w:szCs w:val="21"/>
              </w:rPr>
            </w:pPr>
            <w:r>
              <w:rPr>
                <w:rFonts w:hint="eastAsia"/>
                <w:bCs/>
                <w:snapToGrid w:val="0"/>
                <w:kern w:val="0"/>
                <w:sz w:val="21"/>
                <w:szCs w:val="21"/>
              </w:rPr>
              <w:t>A、井场应实施清污分流，清污分流管道应完善畅通，并确保废水全部进入清洁化操作场地处理后进入废水罐储存。</w:t>
            </w:r>
          </w:p>
          <w:p>
            <w:pPr>
              <w:adjustRightInd w:val="0"/>
              <w:snapToGrid w:val="0"/>
              <w:ind w:firstLine="420"/>
              <w:rPr>
                <w:bCs/>
                <w:snapToGrid w:val="0"/>
                <w:kern w:val="0"/>
                <w:sz w:val="21"/>
                <w:szCs w:val="21"/>
              </w:rPr>
            </w:pPr>
            <w:r>
              <w:rPr>
                <w:rFonts w:hint="eastAsia"/>
                <w:bCs/>
                <w:snapToGrid w:val="0"/>
                <w:kern w:val="0"/>
                <w:sz w:val="21"/>
                <w:szCs w:val="21"/>
              </w:rPr>
              <w:t>B、不得乱排放废水</w:t>
            </w:r>
          </w:p>
          <w:p>
            <w:pPr>
              <w:adjustRightInd w:val="0"/>
              <w:snapToGrid w:val="0"/>
              <w:ind w:firstLine="420"/>
              <w:rPr>
                <w:bCs/>
                <w:snapToGrid w:val="0"/>
                <w:kern w:val="0"/>
                <w:sz w:val="21"/>
                <w:szCs w:val="21"/>
              </w:rPr>
            </w:pPr>
            <w:r>
              <w:rPr>
                <w:rFonts w:hint="eastAsia"/>
                <w:bCs/>
                <w:snapToGrid w:val="0"/>
                <w:kern w:val="0"/>
                <w:sz w:val="21"/>
                <w:szCs w:val="21"/>
              </w:rPr>
              <w:t>C、现场人员应定期对废水罐和应急池渗漏情况进行巡检，发现异常情况立即汇报和整改，并作好记录。</w:t>
            </w:r>
          </w:p>
          <w:p>
            <w:pPr>
              <w:adjustRightInd w:val="0"/>
              <w:snapToGrid w:val="0"/>
              <w:ind w:firstLine="420"/>
              <w:rPr>
                <w:rFonts w:hAnsi="宋体"/>
                <w:bCs/>
                <w:snapToGrid w:val="0"/>
                <w:kern w:val="0"/>
                <w:sz w:val="21"/>
                <w:szCs w:val="21"/>
              </w:rPr>
            </w:pPr>
            <w:r>
              <w:rPr>
                <w:rFonts w:hint="eastAsia"/>
                <w:bCs/>
                <w:snapToGrid w:val="0"/>
                <w:kern w:val="0"/>
                <w:sz w:val="21"/>
                <w:szCs w:val="21"/>
              </w:rPr>
              <w:t>由此可见，项目采取的废水储存措施有效可行。</w:t>
            </w:r>
          </w:p>
          <w:p>
            <w:pPr>
              <w:adjustRightInd w:val="0"/>
              <w:snapToGrid w:val="0"/>
              <w:ind w:firstLine="422"/>
              <w:rPr>
                <w:b/>
                <w:bCs/>
                <w:snapToGrid w:val="0"/>
                <w:kern w:val="0"/>
                <w:sz w:val="21"/>
                <w:szCs w:val="21"/>
              </w:rPr>
            </w:pPr>
            <w:r>
              <w:rPr>
                <w:rFonts w:hint="eastAsia"/>
                <w:b/>
                <w:bCs/>
                <w:snapToGrid w:val="0"/>
                <w:kern w:val="0"/>
                <w:sz w:val="21"/>
                <w:szCs w:val="21"/>
              </w:rPr>
              <w:t>（5）废水转运措施分析</w:t>
            </w:r>
          </w:p>
          <w:p>
            <w:pPr>
              <w:adjustRightInd w:val="0"/>
              <w:snapToGrid w:val="0"/>
              <w:ind w:firstLine="420"/>
              <w:rPr>
                <w:bCs/>
                <w:snapToGrid w:val="0"/>
                <w:kern w:val="0"/>
                <w:sz w:val="21"/>
                <w:szCs w:val="21"/>
              </w:rPr>
            </w:pPr>
            <w:r>
              <w:rPr>
                <w:rFonts w:hint="eastAsia"/>
                <w:bCs/>
                <w:snapToGrid w:val="0"/>
                <w:kern w:val="0"/>
                <w:sz w:val="21"/>
                <w:szCs w:val="21"/>
              </w:rPr>
              <w:t>钻井废水由</w:t>
            </w:r>
            <w:r>
              <w:rPr>
                <w:rFonts w:hint="eastAsia" w:hAnsi="宋体"/>
                <w:bCs/>
                <w:snapToGrid w:val="0"/>
                <w:kern w:val="0"/>
                <w:sz w:val="21"/>
                <w:szCs w:val="21"/>
              </w:rPr>
              <w:t>专业</w:t>
            </w:r>
            <w:r>
              <w:rPr>
                <w:rFonts w:hAnsi="宋体"/>
                <w:bCs/>
                <w:snapToGrid w:val="0"/>
                <w:kern w:val="0"/>
                <w:sz w:val="21"/>
                <w:szCs w:val="21"/>
              </w:rPr>
              <w:t>运输公司</w:t>
            </w:r>
            <w:r>
              <w:rPr>
                <w:rFonts w:hint="eastAsia"/>
                <w:bCs/>
                <w:snapToGrid w:val="0"/>
                <w:kern w:val="0"/>
                <w:sz w:val="21"/>
                <w:szCs w:val="21"/>
              </w:rPr>
              <w:t>采用密闭罐车运至</w:t>
            </w:r>
            <w:r>
              <w:rPr>
                <w:rFonts w:hint="eastAsia" w:hAnsi="宋体"/>
                <w:bCs/>
                <w:snapToGrid w:val="0"/>
                <w:kern w:val="0"/>
                <w:sz w:val="21"/>
                <w:szCs w:val="21"/>
              </w:rPr>
              <w:t>四川鑫泓废水处理厂</w:t>
            </w:r>
            <w:r>
              <w:rPr>
                <w:rFonts w:hint="eastAsia"/>
                <w:bCs/>
                <w:snapToGrid w:val="0"/>
                <w:kern w:val="0"/>
                <w:sz w:val="21"/>
                <w:szCs w:val="21"/>
              </w:rPr>
              <w:t>。项目钻井废水随钻处理，预计每天转运一次（</w:t>
            </w:r>
            <w:r>
              <w:rPr>
                <w:bCs/>
                <w:snapToGrid w:val="0"/>
                <w:kern w:val="0"/>
                <w:sz w:val="21"/>
                <w:szCs w:val="21"/>
              </w:rPr>
              <w:t>2</w:t>
            </w:r>
            <w:r>
              <w:rPr>
                <w:rFonts w:hint="eastAsia"/>
                <w:bCs/>
                <w:snapToGrid w:val="0"/>
                <w:kern w:val="0"/>
                <w:sz w:val="21"/>
                <w:szCs w:val="21"/>
              </w:rPr>
              <w:t>辆），每辆罐车最大转运量为</w:t>
            </w:r>
            <w:r>
              <w:rPr>
                <w:bCs/>
                <w:snapToGrid w:val="0"/>
                <w:kern w:val="0"/>
                <w:sz w:val="21"/>
                <w:szCs w:val="21"/>
              </w:rPr>
              <w:t>30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，洗井废水在洗井结束后每天转运、方井雨水在雨后转运，最大转运量为6</w:t>
            </w:r>
            <w:r>
              <w:rPr>
                <w:bCs/>
                <w:snapToGrid w:val="0"/>
                <w:kern w:val="0"/>
                <w:sz w:val="21"/>
                <w:szCs w:val="21"/>
              </w:rPr>
              <w:t>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/次。</w:t>
            </w:r>
          </w:p>
          <w:p>
            <w:pPr>
              <w:adjustRightInd w:val="0"/>
              <w:snapToGrid w:val="0"/>
              <w:ind w:firstLine="420"/>
              <w:rPr>
                <w:bCs/>
                <w:snapToGrid w:val="0"/>
                <w:kern w:val="0"/>
                <w:sz w:val="21"/>
                <w:szCs w:val="21"/>
              </w:rPr>
            </w:pPr>
            <w:r>
              <w:rPr>
                <w:rFonts w:hint="eastAsia" w:hAnsi="宋体"/>
                <w:bCs/>
                <w:snapToGrid w:val="0"/>
                <w:kern w:val="0"/>
                <w:sz w:val="21"/>
                <w:szCs w:val="21"/>
              </w:rPr>
              <w:t>四川鑫泓废水处理厂位于苍溪县桥溪乡金龙村一组双滩子，该污水处理厂位于项目西北侧</w:t>
            </w:r>
            <w:r>
              <w:rPr>
                <w:rFonts w:hint="eastAsia"/>
                <w:bCs/>
                <w:snapToGrid w:val="0"/>
                <w:kern w:val="0"/>
                <w:sz w:val="21"/>
                <w:szCs w:val="21"/>
              </w:rPr>
              <w:t>，水转运外委给专业运输公司负责，不由建设单位负责。项目废水转运至四川鑫泓废水处理厂，路线总运距约</w:t>
            </w:r>
            <w:r>
              <w:rPr>
                <w:bCs/>
                <w:snapToGrid w:val="0"/>
                <w:kern w:val="0"/>
                <w:sz w:val="21"/>
                <w:szCs w:val="21"/>
              </w:rPr>
              <w:t>206</w:t>
            </w:r>
            <w:r>
              <w:rPr>
                <w:rFonts w:hint="eastAsia"/>
                <w:bCs/>
                <w:snapToGrid w:val="0"/>
                <w:kern w:val="0"/>
                <w:sz w:val="21"/>
                <w:szCs w:val="21"/>
              </w:rPr>
              <w:t>km，废水转运路线穿越穿越通江河1次、杨家河1次、新桥河1次、驷马河1次、刘家河2次、观音河1次、巴河1次、库楼河1次、长滩河1次、水门河2次、清江河1次、黄洋河3次、东河1次。评价要求施工单位及时优化废水转运路线，尽量避免穿越饮用水水源保护区等敏感区。运输过程中做好风险措施，加强运输司机安全环保培训，严禁疲劳驾驶、酒后驾驶，防止运输途中废水泄漏或倾倒对外环境产生不良影响。</w:t>
            </w:r>
          </w:p>
          <w:p>
            <w:pPr>
              <w:adjustRightInd w:val="0"/>
              <w:snapToGrid w:val="0"/>
              <w:ind w:firstLine="422"/>
              <w:rPr>
                <w:b/>
                <w:bCs/>
                <w:snapToGrid w:val="0"/>
                <w:kern w:val="0"/>
                <w:sz w:val="21"/>
                <w:szCs w:val="21"/>
              </w:rPr>
            </w:pPr>
            <w:r>
              <w:rPr>
                <w:rFonts w:hint="eastAsia"/>
                <w:b/>
                <w:bCs/>
                <w:snapToGrid w:val="0"/>
                <w:kern w:val="0"/>
                <w:sz w:val="21"/>
                <w:szCs w:val="21"/>
              </w:rPr>
              <w:t>（6）废水转运管理措施</w:t>
            </w:r>
          </w:p>
          <w:p>
            <w:pPr>
              <w:adjustRightInd w:val="0"/>
              <w:snapToGrid w:val="0"/>
              <w:ind w:firstLine="420"/>
              <w:rPr>
                <w:bCs/>
                <w:snapToGrid w:val="0"/>
                <w:kern w:val="0"/>
                <w:sz w:val="21"/>
                <w:szCs w:val="21"/>
              </w:rPr>
            </w:pPr>
            <w:r>
              <w:rPr>
                <w:rFonts w:hint="eastAsia"/>
                <w:bCs/>
                <w:snapToGrid w:val="0"/>
                <w:kern w:val="0"/>
                <w:sz w:val="21"/>
                <w:szCs w:val="21"/>
              </w:rPr>
              <w:t>废水在转运过程中可能存在罐车泄漏或发生车祸等情况，导致未经处理的废水进入沿途地表水体中，可能造成废水转运沿线地表水环境污染。</w:t>
            </w:r>
          </w:p>
          <w:p>
            <w:pPr>
              <w:adjustRightInd w:val="0"/>
              <w:snapToGrid w:val="0"/>
              <w:ind w:firstLine="420"/>
              <w:rPr>
                <w:bCs/>
                <w:snapToGrid w:val="0"/>
                <w:kern w:val="0"/>
                <w:sz w:val="21"/>
                <w:szCs w:val="21"/>
              </w:rPr>
            </w:pPr>
            <w:r>
              <w:rPr>
                <w:rFonts w:hint="eastAsia"/>
                <w:bCs/>
                <w:snapToGrid w:val="0"/>
                <w:kern w:val="0"/>
                <w:sz w:val="21"/>
                <w:szCs w:val="21"/>
              </w:rPr>
              <w:t>建设单位针对废水转运采取的管理措施为：</w:t>
            </w:r>
          </w:p>
          <w:p>
            <w:pPr>
              <w:adjustRightInd w:val="0"/>
              <w:snapToGrid w:val="0"/>
              <w:ind w:firstLine="420"/>
              <w:rPr>
                <w:bCs/>
                <w:snapToGrid w:val="0"/>
                <w:kern w:val="0"/>
                <w:sz w:val="21"/>
                <w:szCs w:val="21"/>
              </w:rPr>
            </w:pPr>
            <w:r>
              <w:rPr>
                <w:rFonts w:hint="eastAsia"/>
                <w:bCs/>
                <w:snapToGrid w:val="0"/>
                <w:kern w:val="0"/>
                <w:sz w:val="21"/>
                <w:szCs w:val="21"/>
              </w:rPr>
              <w:t>A、建立建设单位与当地政府、生态环境局等相关部门的联络机制，若有险情发生，应及时与作业区值班人员取得联系，若确认发生废水外溢事故，应及时上报当地政府、生态环境局等相关部门。</w:t>
            </w:r>
          </w:p>
          <w:p>
            <w:pPr>
              <w:adjustRightInd w:val="0"/>
              <w:snapToGrid w:val="0"/>
              <w:ind w:firstLine="420"/>
              <w:rPr>
                <w:bCs/>
                <w:snapToGrid w:val="0"/>
                <w:kern w:val="0"/>
                <w:sz w:val="21"/>
                <w:szCs w:val="21"/>
              </w:rPr>
            </w:pPr>
            <w:r>
              <w:rPr>
                <w:rFonts w:hint="eastAsia"/>
                <w:bCs/>
                <w:snapToGrid w:val="0"/>
                <w:kern w:val="0"/>
                <w:sz w:val="21"/>
                <w:szCs w:val="21"/>
              </w:rPr>
              <w:t>B、要求废水运输单位实施运输车辆登记制度，运输单位应为每台车安装GPS，并纳入废水运输单位的GPS监控系统平台。</w:t>
            </w:r>
          </w:p>
          <w:p>
            <w:pPr>
              <w:adjustRightInd w:val="0"/>
              <w:snapToGrid w:val="0"/>
              <w:ind w:firstLine="420"/>
              <w:rPr>
                <w:bCs/>
                <w:snapToGrid w:val="0"/>
                <w:kern w:val="0"/>
                <w:sz w:val="21"/>
                <w:szCs w:val="21"/>
              </w:rPr>
            </w:pPr>
            <w:r>
              <w:rPr>
                <w:rFonts w:hint="eastAsia"/>
                <w:bCs/>
                <w:snapToGrid w:val="0"/>
                <w:kern w:val="0"/>
                <w:sz w:val="21"/>
                <w:szCs w:val="21"/>
              </w:rPr>
              <w:t>C、转运过程做好转运台账，严格实施交接清单制度，建立废水转运五联单制度；加强罐车装载量管理，严禁超载。</w:t>
            </w:r>
          </w:p>
          <w:p>
            <w:pPr>
              <w:adjustRightInd w:val="0"/>
              <w:snapToGrid w:val="0"/>
              <w:ind w:firstLine="420"/>
              <w:rPr>
                <w:bCs/>
                <w:snapToGrid w:val="0"/>
                <w:kern w:val="0"/>
                <w:sz w:val="21"/>
                <w:szCs w:val="21"/>
              </w:rPr>
            </w:pPr>
            <w:r>
              <w:rPr>
                <w:rFonts w:hint="eastAsia"/>
                <w:bCs/>
                <w:snapToGrid w:val="0"/>
                <w:kern w:val="0"/>
                <w:sz w:val="21"/>
                <w:szCs w:val="21"/>
              </w:rPr>
              <w:t>D、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adjustRightInd w:val="0"/>
              <w:snapToGrid w:val="0"/>
              <w:ind w:firstLine="420"/>
              <w:rPr>
                <w:bCs/>
                <w:snapToGrid w:val="0"/>
                <w:kern w:val="0"/>
                <w:sz w:val="21"/>
                <w:szCs w:val="21"/>
              </w:rPr>
            </w:pPr>
            <w:r>
              <w:rPr>
                <w:rFonts w:hint="eastAsia"/>
                <w:bCs/>
                <w:snapToGrid w:val="0"/>
                <w:kern w:val="0"/>
                <w:sz w:val="21"/>
                <w:szCs w:val="21"/>
              </w:rPr>
              <w:t>E、转运罐车行驶至河流（含河沟、塘堰等）较近位置或者穿越河流（含河沟等）的道路时，应放慢行驶速度。</w:t>
            </w:r>
          </w:p>
          <w:p>
            <w:pPr>
              <w:adjustRightInd w:val="0"/>
              <w:snapToGrid w:val="0"/>
              <w:ind w:firstLine="420"/>
              <w:rPr>
                <w:bCs/>
                <w:snapToGrid w:val="0"/>
                <w:kern w:val="0"/>
                <w:sz w:val="21"/>
                <w:szCs w:val="21"/>
              </w:rPr>
            </w:pPr>
            <w:r>
              <w:rPr>
                <w:rFonts w:hint="eastAsia"/>
                <w:bCs/>
                <w:snapToGrid w:val="0"/>
                <w:kern w:val="0"/>
                <w:sz w:val="21"/>
                <w:szCs w:val="21"/>
              </w:rPr>
              <w:t>F、废水转运尽量避开暴雨时节。</w:t>
            </w:r>
          </w:p>
          <w:p>
            <w:pPr>
              <w:adjustRightInd w:val="0"/>
              <w:snapToGrid w:val="0"/>
              <w:ind w:firstLine="420"/>
              <w:rPr>
                <w:bCs/>
                <w:snapToGrid w:val="0"/>
                <w:kern w:val="0"/>
                <w:sz w:val="21"/>
                <w:szCs w:val="21"/>
              </w:rPr>
            </w:pPr>
            <w:r>
              <w:rPr>
                <w:rFonts w:hint="eastAsia"/>
                <w:bCs/>
                <w:snapToGrid w:val="0"/>
                <w:kern w:val="0"/>
                <w:sz w:val="21"/>
                <w:szCs w:val="21"/>
              </w:rPr>
              <w:t>G、废水承运单位在开展运输工作之前，应对运输人员进行相关安全环保知识培训，废水运输车辆、装卸工具必须符合安全环保要求，装卸和运输废水过程中不得溢出和渗漏。严禁任意倾倒、排放或向第三方转移废水。</w:t>
            </w:r>
          </w:p>
          <w:p>
            <w:pPr>
              <w:adjustRightInd w:val="0"/>
              <w:snapToGrid w:val="0"/>
              <w:ind w:firstLine="420"/>
              <w:rPr>
                <w:bCs/>
                <w:snapToGrid w:val="0"/>
                <w:kern w:val="0"/>
                <w:sz w:val="21"/>
                <w:szCs w:val="21"/>
              </w:rPr>
            </w:pPr>
            <w:r>
              <w:rPr>
                <w:rFonts w:hint="eastAsia"/>
                <w:bCs/>
                <w:snapToGrid w:val="0"/>
                <w:kern w:val="0"/>
                <w:sz w:val="21"/>
                <w:szCs w:val="21"/>
              </w:rPr>
              <w:t>H、废水承运人员进入井场装卸废水，必须遵守大庆油田有限责任公司</w:t>
            </w:r>
            <w:r>
              <w:rPr>
                <w:bCs/>
                <w:snapToGrid w:val="0"/>
                <w:kern w:val="0"/>
                <w:sz w:val="21"/>
                <w:szCs w:val="21"/>
              </w:rPr>
              <w:t>勘探事业部</w:t>
            </w:r>
            <w:r>
              <w:rPr>
                <w:rFonts w:hint="eastAsia"/>
                <w:bCs/>
                <w:snapToGrid w:val="0"/>
                <w:kern w:val="0"/>
                <w:sz w:val="21"/>
                <w:szCs w:val="21"/>
              </w:rPr>
              <w:t>的有关安全环保管理规定，并服从井站值班人员的管理，不得擅自进入生产装置区和操作井场设备设施。废水车辆运输严格执行签认制度。签认单复印件报属地管理单位安全部门和承运单位备查，保存期不得少于二年。</w:t>
            </w:r>
          </w:p>
          <w:p>
            <w:pPr>
              <w:adjustRightInd w:val="0"/>
              <w:snapToGrid w:val="0"/>
              <w:ind w:firstLine="422"/>
              <w:rPr>
                <w:rFonts w:hAnsi="宋体"/>
                <w:bCs/>
                <w:snapToGrid w:val="0"/>
                <w:kern w:val="0"/>
                <w:sz w:val="21"/>
                <w:szCs w:val="21"/>
              </w:rPr>
            </w:pPr>
            <w:r>
              <w:rPr>
                <w:rFonts w:hint="eastAsia"/>
                <w:b/>
                <w:bCs/>
                <w:snapToGrid w:val="0"/>
                <w:kern w:val="0"/>
                <w:sz w:val="21"/>
                <w:szCs w:val="21"/>
              </w:rPr>
              <w:t>因此，拟建项目的钻井废水运至</w:t>
            </w:r>
            <w:r>
              <w:rPr>
                <w:rFonts w:hint="eastAsia" w:hAnsi="宋体"/>
                <w:b/>
                <w:bCs/>
                <w:snapToGrid w:val="0"/>
                <w:kern w:val="0"/>
                <w:sz w:val="21"/>
                <w:szCs w:val="21"/>
              </w:rPr>
              <w:t>四川鑫泓废水处理厂</w:t>
            </w:r>
            <w:r>
              <w:rPr>
                <w:rFonts w:hint="eastAsia"/>
                <w:b/>
                <w:bCs/>
                <w:snapToGrid w:val="0"/>
                <w:kern w:val="0"/>
                <w:sz w:val="21"/>
                <w:szCs w:val="21"/>
              </w:rPr>
              <w:t>处理可行。</w:t>
            </w:r>
          </w:p>
          <w:p>
            <w:pPr>
              <w:adjustRightInd w:val="0"/>
              <w:snapToGrid w:val="0"/>
              <w:ind w:firstLine="422"/>
              <w:rPr>
                <w:b/>
                <w:bCs/>
                <w:snapToGrid w:val="0"/>
                <w:kern w:val="0"/>
                <w:sz w:val="21"/>
                <w:szCs w:val="21"/>
              </w:rPr>
            </w:pPr>
            <w:r>
              <w:rPr>
                <w:rFonts w:hint="eastAsia"/>
                <w:b/>
                <w:bCs/>
                <w:snapToGrid w:val="0"/>
                <w:kern w:val="0"/>
                <w:sz w:val="21"/>
                <w:szCs w:val="21"/>
              </w:rPr>
              <w:t>2.2.2生活污水防治措施</w:t>
            </w:r>
          </w:p>
          <w:p>
            <w:pPr>
              <w:adjustRightInd w:val="0"/>
              <w:snapToGrid w:val="0"/>
              <w:ind w:firstLine="420"/>
              <w:rPr>
                <w:bCs/>
                <w:spacing w:val="10"/>
                <w:sz w:val="21"/>
                <w:szCs w:val="21"/>
              </w:rPr>
            </w:pPr>
            <w:r>
              <w:rPr>
                <w:rFonts w:hint="eastAsia"/>
                <w:bCs/>
                <w:snapToGrid w:val="0"/>
                <w:kern w:val="0"/>
                <w:sz w:val="21"/>
                <w:szCs w:val="21"/>
              </w:rPr>
              <w:t>拟建项目</w:t>
            </w:r>
            <w:r>
              <w:rPr>
                <w:rFonts w:hint="eastAsia" w:hAnsi="宋体"/>
                <w:snapToGrid w:val="0"/>
                <w:kern w:val="0"/>
                <w:sz w:val="21"/>
                <w:szCs w:val="21"/>
              </w:rPr>
              <w:t>生活污水经旱厕收集后</w:t>
            </w:r>
            <w:r>
              <w:rPr>
                <w:rFonts w:cs="Arial"/>
                <w:snapToGrid w:val="0"/>
                <w:kern w:val="0"/>
                <w:sz w:val="21"/>
                <w:szCs w:val="21"/>
              </w:rPr>
              <w:t>用于周边农田施肥</w:t>
            </w:r>
            <w:r>
              <w:rPr>
                <w:rFonts w:hint="eastAsia" w:hAnsi="宋体"/>
                <w:snapToGrid w:val="0"/>
                <w:kern w:val="0"/>
                <w:sz w:val="21"/>
                <w:szCs w:val="21"/>
              </w:rPr>
              <w:t>。</w:t>
            </w:r>
            <w:r>
              <w:rPr>
                <w:rFonts w:hint="eastAsia" w:hAnsi="宋体"/>
                <w:bCs/>
                <w:snapToGrid w:val="0"/>
                <w:kern w:val="0"/>
                <w:sz w:val="21"/>
                <w:szCs w:val="21"/>
              </w:rPr>
              <w:t>项目</w:t>
            </w:r>
            <w:r>
              <w:rPr>
                <w:rFonts w:hint="eastAsia"/>
                <w:bCs/>
                <w:snapToGrid w:val="0"/>
                <w:kern w:val="0"/>
                <w:sz w:val="21"/>
                <w:szCs w:val="21"/>
              </w:rPr>
              <w:t>地处农村，周围多田地、林地，项目区周边主要种植的农作物为水稻、小麦、玉米等，能就近利用于周边施肥。根据《四川省用水定额》（川府函〔2021</w:t>
            </w:r>
            <w:r>
              <w:rPr>
                <w:rFonts w:hint="eastAsia"/>
                <w:snapToGrid w:val="0"/>
                <w:kern w:val="0"/>
                <w:sz w:val="21"/>
                <w:szCs w:val="21"/>
              </w:rPr>
              <w:t>〕</w:t>
            </w:r>
            <w:r>
              <w:rPr>
                <w:rFonts w:hint="eastAsia"/>
                <w:bCs/>
                <w:snapToGrid w:val="0"/>
                <w:kern w:val="0"/>
                <w:sz w:val="21"/>
                <w:szCs w:val="21"/>
              </w:rPr>
              <w:t>8号）表2主要作物灌溉用水定额可知，拟建项目所在区域灌溉分区属于</w:t>
            </w:r>
            <w:r>
              <w:rPr>
                <w:rFonts w:hint="eastAsia" w:ascii="宋体" w:hAnsi="宋体"/>
                <w:snapToGrid w:val="0"/>
                <w:kern w:val="0"/>
                <w:sz w:val="21"/>
                <w:szCs w:val="21"/>
              </w:rPr>
              <w:t>盆东平行岭谷区</w:t>
            </w:r>
            <w:r>
              <w:rPr>
                <w:rFonts w:hint="eastAsia"/>
                <w:bCs/>
                <w:snapToGrid w:val="0"/>
                <w:kern w:val="0"/>
                <w:sz w:val="21"/>
                <w:szCs w:val="21"/>
              </w:rPr>
              <w:t>，水稻灌溉保准率50%通用值为2</w:t>
            </w:r>
            <w:r>
              <w:rPr>
                <w:bCs/>
                <w:snapToGrid w:val="0"/>
                <w:kern w:val="0"/>
                <w:sz w:val="21"/>
                <w:szCs w:val="21"/>
              </w:rPr>
              <w:t>3</w:t>
            </w:r>
            <w:r>
              <w:rPr>
                <w:rFonts w:hint="eastAsia"/>
                <w:bCs/>
                <w:snapToGrid w:val="0"/>
                <w:kern w:val="0"/>
                <w:sz w:val="21"/>
                <w:szCs w:val="21"/>
              </w:rPr>
              <w:t>0m</w:t>
            </w:r>
            <w:r>
              <w:rPr>
                <w:rFonts w:hint="eastAsia"/>
                <w:bCs/>
                <w:snapToGrid w:val="0"/>
                <w:kern w:val="0"/>
                <w:sz w:val="21"/>
                <w:szCs w:val="21"/>
                <w:vertAlign w:val="superscript"/>
              </w:rPr>
              <w:t>3</w:t>
            </w:r>
            <w:r>
              <w:rPr>
                <w:rFonts w:hint="eastAsia"/>
                <w:bCs/>
                <w:snapToGrid w:val="0"/>
                <w:kern w:val="0"/>
                <w:sz w:val="21"/>
                <w:szCs w:val="21"/>
              </w:rPr>
              <w:t>/亩</w:t>
            </w:r>
            <w:r>
              <w:rPr>
                <w:bCs/>
                <w:snapToGrid w:val="0"/>
                <w:kern w:val="0"/>
                <w:sz w:val="21"/>
                <w:szCs w:val="21"/>
              </w:rPr>
              <w:t>·</w:t>
            </w:r>
            <w:r>
              <w:rPr>
                <w:rFonts w:hint="eastAsia"/>
                <w:bCs/>
                <w:snapToGrid w:val="0"/>
                <w:kern w:val="0"/>
                <w:sz w:val="21"/>
                <w:szCs w:val="21"/>
              </w:rPr>
              <w:t>a、小麦灌溉保准率50%通用值为</w:t>
            </w:r>
            <w:r>
              <w:rPr>
                <w:bCs/>
                <w:snapToGrid w:val="0"/>
                <w:kern w:val="0"/>
                <w:sz w:val="21"/>
                <w:szCs w:val="21"/>
              </w:rPr>
              <w:t>30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/亩</w:t>
            </w:r>
            <w:r>
              <w:rPr>
                <w:bCs/>
                <w:snapToGrid w:val="0"/>
                <w:kern w:val="0"/>
                <w:sz w:val="21"/>
                <w:szCs w:val="21"/>
              </w:rPr>
              <w:t>·</w:t>
            </w:r>
            <w:r>
              <w:rPr>
                <w:rFonts w:hint="eastAsia"/>
                <w:bCs/>
                <w:snapToGrid w:val="0"/>
                <w:kern w:val="0"/>
                <w:sz w:val="21"/>
                <w:szCs w:val="21"/>
              </w:rPr>
              <w:t>a、玉米灌溉保准率50%通用值为</w:t>
            </w:r>
            <w:r>
              <w:rPr>
                <w:bCs/>
                <w:snapToGrid w:val="0"/>
                <w:kern w:val="0"/>
                <w:sz w:val="21"/>
                <w:szCs w:val="21"/>
              </w:rPr>
              <w:t>30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/亩</w:t>
            </w:r>
            <w:r>
              <w:rPr>
                <w:bCs/>
                <w:snapToGrid w:val="0"/>
                <w:kern w:val="0"/>
                <w:sz w:val="21"/>
                <w:szCs w:val="21"/>
              </w:rPr>
              <w:t>·</w:t>
            </w:r>
            <w:r>
              <w:rPr>
                <w:rFonts w:hint="eastAsia"/>
                <w:bCs/>
                <w:snapToGrid w:val="0"/>
                <w:kern w:val="0"/>
                <w:sz w:val="21"/>
                <w:szCs w:val="21"/>
              </w:rPr>
              <w:t>a，项目周边能用于消纳拟建项目生活污水的土地至少有</w:t>
            </w:r>
            <w:r>
              <w:rPr>
                <w:bCs/>
                <w:snapToGrid w:val="0"/>
                <w:kern w:val="0"/>
                <w:sz w:val="21"/>
                <w:szCs w:val="21"/>
              </w:rPr>
              <w:t>4</w:t>
            </w:r>
            <w:r>
              <w:rPr>
                <w:rFonts w:hint="eastAsia"/>
                <w:bCs/>
                <w:snapToGrid w:val="0"/>
                <w:kern w:val="0"/>
                <w:sz w:val="21"/>
                <w:szCs w:val="21"/>
              </w:rPr>
              <w:t>0亩以上，则项目周边土地所需施肥用水总量至少为</w:t>
            </w:r>
            <w:r>
              <w:rPr>
                <w:bCs/>
                <w:snapToGrid w:val="0"/>
                <w:kern w:val="0"/>
                <w:sz w:val="21"/>
                <w:szCs w:val="21"/>
              </w:rPr>
              <w:t>1200</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/a（按玉米灌溉用水计），拟建项目生活污水产生量为</w:t>
            </w:r>
            <w:r>
              <w:rPr>
                <w:rFonts w:hAnsi="宋体"/>
                <w:snapToGrid w:val="0"/>
                <w:kern w:val="0"/>
                <w:sz w:val="21"/>
                <w:szCs w:val="21"/>
              </w:rPr>
              <w:t>648</w:t>
            </w:r>
            <w:r>
              <w:rPr>
                <w:rFonts w:hint="eastAsia"/>
                <w:bCs/>
                <w:snapToGrid w:val="0"/>
                <w:kern w:val="0"/>
                <w:sz w:val="21"/>
                <w:szCs w:val="21"/>
              </w:rPr>
              <w:t>m</w:t>
            </w:r>
            <w:r>
              <w:rPr>
                <w:rFonts w:hint="eastAsia"/>
                <w:bCs/>
                <w:snapToGrid w:val="0"/>
                <w:kern w:val="0"/>
                <w:sz w:val="21"/>
                <w:szCs w:val="21"/>
                <w:vertAlign w:val="superscript"/>
              </w:rPr>
              <w:t>3</w:t>
            </w:r>
            <w:r>
              <w:rPr>
                <w:rFonts w:hint="eastAsia"/>
                <w:bCs/>
                <w:snapToGrid w:val="0"/>
                <w:kern w:val="0"/>
                <w:sz w:val="21"/>
                <w:szCs w:val="21"/>
              </w:rPr>
              <w:t>，因此，从水量上看，项目附近耕地能完全消纳拟建项目产生的生活污水。</w:t>
            </w:r>
          </w:p>
          <w:p>
            <w:pPr>
              <w:adjustRightInd w:val="0"/>
              <w:snapToGrid w:val="0"/>
              <w:ind w:firstLine="462"/>
              <w:rPr>
                <w:b/>
                <w:bCs/>
                <w:spacing w:val="10"/>
                <w:sz w:val="21"/>
                <w:szCs w:val="21"/>
              </w:rPr>
            </w:pPr>
            <w:r>
              <w:rPr>
                <w:b/>
                <w:bCs/>
                <w:spacing w:val="10"/>
                <w:sz w:val="21"/>
                <w:szCs w:val="21"/>
              </w:rPr>
              <w:t>2.3噪声防治措施</w:t>
            </w:r>
          </w:p>
          <w:p>
            <w:pPr>
              <w:adjustRightInd w:val="0"/>
              <w:snapToGrid w:val="0"/>
              <w:ind w:firstLine="420"/>
              <w:rPr>
                <w:bCs/>
                <w:snapToGrid w:val="0"/>
                <w:kern w:val="0"/>
                <w:sz w:val="21"/>
                <w:szCs w:val="21"/>
              </w:rPr>
            </w:pPr>
            <w:r>
              <w:rPr>
                <w:rFonts w:hint="eastAsia"/>
                <w:bCs/>
                <w:snapToGrid w:val="0"/>
                <w:kern w:val="0"/>
                <w:sz w:val="21"/>
                <w:szCs w:val="21"/>
              </w:rPr>
              <w:t>（1）</w:t>
            </w:r>
            <w:r>
              <w:rPr>
                <w:rFonts w:hAnsi="宋体"/>
                <w:bCs/>
                <w:snapToGrid w:val="0"/>
                <w:kern w:val="0"/>
                <w:sz w:val="21"/>
                <w:szCs w:val="21"/>
              </w:rPr>
              <w:t>柴油发电机</w:t>
            </w:r>
            <w:r>
              <w:rPr>
                <w:rFonts w:hint="eastAsia"/>
                <w:bCs/>
                <w:snapToGrid w:val="0"/>
                <w:kern w:val="0"/>
                <w:sz w:val="21"/>
                <w:szCs w:val="21"/>
              </w:rPr>
              <w:t>修建单独发电房，放电房内壁设置隔声材料，</w:t>
            </w:r>
            <w:r>
              <w:rPr>
                <w:rFonts w:hAnsi="宋体"/>
                <w:bCs/>
                <w:snapToGrid w:val="0"/>
                <w:kern w:val="0"/>
                <w:sz w:val="21"/>
                <w:szCs w:val="21"/>
              </w:rPr>
              <w:t>柴油发电机</w:t>
            </w:r>
            <w:r>
              <w:rPr>
                <w:rFonts w:hint="eastAsia"/>
                <w:bCs/>
                <w:snapToGrid w:val="0"/>
                <w:kern w:val="0"/>
                <w:sz w:val="21"/>
                <w:szCs w:val="21"/>
              </w:rPr>
              <w:t>排气筒设消声罩，同时在钻井过程中平稳操作，避免特种作业时产生非正常的噪声。</w:t>
            </w:r>
          </w:p>
          <w:p>
            <w:pPr>
              <w:adjustRightInd w:val="0"/>
              <w:snapToGrid w:val="0"/>
              <w:ind w:firstLine="420"/>
              <w:rPr>
                <w:bCs/>
                <w:snapToGrid w:val="0"/>
                <w:kern w:val="0"/>
                <w:sz w:val="21"/>
                <w:szCs w:val="21"/>
              </w:rPr>
            </w:pPr>
            <w:r>
              <w:rPr>
                <w:rFonts w:hint="eastAsia"/>
                <w:bCs/>
                <w:snapToGrid w:val="0"/>
                <w:kern w:val="0"/>
                <w:sz w:val="21"/>
                <w:szCs w:val="21"/>
              </w:rPr>
              <w:t>（2）项目通过在燃烧池设置三面建3m的围墙，可以降低一定的噪声；同时由于测试放喷时间为10h，放喷期间会疏散居民，不会有人群受到影响，随着测试的结束，噪声影响也消失。</w:t>
            </w:r>
          </w:p>
          <w:p>
            <w:pPr>
              <w:adjustRightInd w:val="0"/>
              <w:snapToGrid w:val="0"/>
              <w:ind w:firstLine="420"/>
              <w:rPr>
                <w:bCs/>
                <w:snapToGrid w:val="0"/>
                <w:kern w:val="0"/>
                <w:sz w:val="21"/>
                <w:szCs w:val="21"/>
              </w:rPr>
            </w:pPr>
            <w:r>
              <w:rPr>
                <w:rFonts w:hint="eastAsia"/>
                <w:bCs/>
                <w:snapToGrid w:val="0"/>
                <w:kern w:val="0"/>
                <w:sz w:val="21"/>
                <w:szCs w:val="21"/>
              </w:rPr>
              <w:t>（3）钻井期间施工噪声周边农户影响较明显，根据预测结果可知，项目钻井期间夜间1</w:t>
            </w:r>
            <w:r>
              <w:rPr>
                <w:bCs/>
                <w:snapToGrid w:val="0"/>
                <w:kern w:val="0"/>
                <w:sz w:val="21"/>
                <w:szCs w:val="21"/>
              </w:rPr>
              <w:t>#居民点由于距离较近且无山体阻隔，存在预测结果超标情况。</w:t>
            </w:r>
            <w:r>
              <w:rPr>
                <w:rFonts w:hint="eastAsia"/>
                <w:bCs/>
                <w:snapToGrid w:val="0"/>
                <w:kern w:val="0"/>
                <w:sz w:val="21"/>
                <w:szCs w:val="21"/>
              </w:rPr>
              <w:t>建议建设单位根据钻井实际影响情况对受影响的农户，进行协商（如经济补偿、租用、临时撤离或房屋功能置换等方式）处理，以降低项目施工期对农户的影响，避免环保纠纷。</w:t>
            </w:r>
          </w:p>
          <w:p>
            <w:pPr>
              <w:adjustRightInd w:val="0"/>
              <w:snapToGrid w:val="0"/>
              <w:ind w:firstLine="420"/>
              <w:rPr>
                <w:bCs/>
                <w:snapToGrid w:val="0"/>
                <w:kern w:val="0"/>
                <w:sz w:val="21"/>
                <w:szCs w:val="21"/>
              </w:rPr>
            </w:pPr>
            <w:r>
              <w:rPr>
                <w:rFonts w:hint="eastAsia"/>
                <w:bCs/>
                <w:snapToGrid w:val="0"/>
                <w:kern w:val="0"/>
                <w:sz w:val="21"/>
                <w:szCs w:val="21"/>
              </w:rPr>
              <w:t>（4）施工方在施工期间应加强施工管理，钻机、</w:t>
            </w:r>
            <w:r>
              <w:rPr>
                <w:rFonts w:hAnsi="宋体"/>
                <w:bCs/>
                <w:snapToGrid w:val="0"/>
                <w:kern w:val="0"/>
                <w:sz w:val="21"/>
                <w:szCs w:val="21"/>
              </w:rPr>
              <w:t>柴油发电机</w:t>
            </w:r>
            <w:r>
              <w:rPr>
                <w:rFonts w:hint="eastAsia"/>
                <w:bCs/>
                <w:snapToGrid w:val="0"/>
                <w:kern w:val="0"/>
                <w:sz w:val="21"/>
                <w:szCs w:val="21"/>
              </w:rPr>
              <w:t>、泥浆泵等设备应做好日常维护，同时在操作时做到平稳操作，避免特种作业时产生非正常的噪声；</w:t>
            </w:r>
          </w:p>
          <w:p>
            <w:pPr>
              <w:adjustRightInd w:val="0"/>
              <w:snapToGrid w:val="0"/>
              <w:ind w:firstLine="420"/>
              <w:rPr>
                <w:bCs/>
                <w:snapToGrid w:val="0"/>
                <w:kern w:val="0"/>
                <w:sz w:val="21"/>
                <w:szCs w:val="21"/>
              </w:rPr>
            </w:pPr>
            <w:r>
              <w:rPr>
                <w:rFonts w:hint="eastAsia"/>
                <w:bCs/>
                <w:snapToGrid w:val="0"/>
                <w:kern w:val="0"/>
                <w:sz w:val="21"/>
                <w:szCs w:val="21"/>
              </w:rPr>
              <w:t>（5）在夜间作业时，应平稳操作，尽量避免敲击噪声；</w:t>
            </w:r>
          </w:p>
          <w:p>
            <w:pPr>
              <w:adjustRightInd w:val="0"/>
              <w:snapToGrid w:val="0"/>
              <w:ind w:firstLine="420"/>
              <w:rPr>
                <w:bCs/>
                <w:snapToGrid w:val="0"/>
                <w:kern w:val="0"/>
                <w:sz w:val="21"/>
                <w:szCs w:val="21"/>
              </w:rPr>
            </w:pPr>
            <w:r>
              <w:rPr>
                <w:rFonts w:hint="eastAsia"/>
                <w:bCs/>
                <w:snapToGrid w:val="0"/>
                <w:kern w:val="0"/>
                <w:sz w:val="21"/>
                <w:szCs w:val="21"/>
              </w:rPr>
              <w:t>（6）施工方在钻井期间对周边农户多采取沟通宣传和耐心解释等方式，征得其支持谅解，可对井口外受噪声超标影响的居民协商通过租用房屋作为站场施工人员宿舍方式或临时撤离方式解决，取得居民谅解，避免环保纠纷。</w:t>
            </w:r>
          </w:p>
          <w:p>
            <w:pPr>
              <w:adjustRightInd w:val="0"/>
              <w:snapToGrid w:val="0"/>
              <w:ind w:firstLine="420"/>
              <w:rPr>
                <w:bCs/>
                <w:snapToGrid w:val="0"/>
                <w:kern w:val="0"/>
                <w:sz w:val="21"/>
                <w:szCs w:val="21"/>
              </w:rPr>
            </w:pPr>
            <w:r>
              <w:rPr>
                <w:bCs/>
                <w:snapToGrid w:val="0"/>
                <w:kern w:val="0"/>
                <w:sz w:val="21"/>
                <w:szCs w:val="21"/>
              </w:rPr>
              <w:t>（7）合理布局，泵房建设</w:t>
            </w:r>
            <w:r>
              <w:rPr>
                <w:rFonts w:hint="eastAsia"/>
                <w:bCs/>
                <w:snapToGrid w:val="0"/>
                <w:kern w:val="0"/>
                <w:sz w:val="21"/>
                <w:szCs w:val="21"/>
              </w:rPr>
              <w:t>于</w:t>
            </w:r>
            <w:r>
              <w:rPr>
                <w:bCs/>
                <w:snapToGrid w:val="0"/>
                <w:kern w:val="0"/>
                <w:sz w:val="21"/>
                <w:szCs w:val="21"/>
              </w:rPr>
              <w:t>井架、循环罐区及放电房中间区域，可利用循环罐体、发电房等进行隔声。</w:t>
            </w:r>
          </w:p>
          <w:p>
            <w:pPr>
              <w:adjustRightInd w:val="0"/>
              <w:snapToGrid w:val="0"/>
              <w:ind w:firstLine="420"/>
              <w:rPr>
                <w:bCs/>
                <w:snapToGrid w:val="0"/>
                <w:kern w:val="0"/>
                <w:sz w:val="21"/>
                <w:szCs w:val="21"/>
              </w:rPr>
            </w:pPr>
            <w:r>
              <w:rPr>
                <w:rFonts w:hint="eastAsia"/>
                <w:bCs/>
                <w:snapToGrid w:val="0"/>
                <w:kern w:val="0"/>
                <w:sz w:val="21"/>
                <w:szCs w:val="21"/>
              </w:rPr>
              <w:t>（</w:t>
            </w:r>
            <w:r>
              <w:rPr>
                <w:bCs/>
                <w:snapToGrid w:val="0"/>
                <w:kern w:val="0"/>
                <w:sz w:val="21"/>
                <w:szCs w:val="21"/>
              </w:rPr>
              <w:t>8</w:t>
            </w:r>
            <w:r>
              <w:rPr>
                <w:rFonts w:hint="eastAsia"/>
                <w:bCs/>
                <w:snapToGrid w:val="0"/>
                <w:kern w:val="0"/>
                <w:sz w:val="21"/>
                <w:szCs w:val="21"/>
              </w:rPr>
              <w:t>）项目拟采用柴油发电机为钻井动力设备，主要能源为轻质柴油。根据调查，项目所在区域分布有1</w:t>
            </w:r>
            <w:r>
              <w:rPr>
                <w:bCs/>
                <w:snapToGrid w:val="0"/>
                <w:kern w:val="0"/>
                <w:sz w:val="21"/>
                <w:szCs w:val="21"/>
              </w:rPr>
              <w:t>0kV高压动力线，基本具备网电设备安装条件。</w:t>
            </w:r>
            <w:r>
              <w:rPr>
                <w:rFonts w:hint="eastAsia"/>
                <w:bCs/>
                <w:snapToGrid w:val="0"/>
                <w:kern w:val="0"/>
                <w:sz w:val="21"/>
                <w:szCs w:val="21"/>
              </w:rPr>
              <w:t>在钻井作业场地条件允许的情况下，为降低钻井噪声对周边居民的影响，评价建议建设单位应采用网电作为动力来源，降低噪声污染。</w:t>
            </w:r>
          </w:p>
          <w:p>
            <w:pPr>
              <w:adjustRightInd w:val="0"/>
              <w:snapToGrid w:val="0"/>
              <w:ind w:firstLine="422"/>
              <w:rPr>
                <w:bCs/>
                <w:spacing w:val="10"/>
                <w:sz w:val="21"/>
                <w:szCs w:val="21"/>
              </w:rPr>
            </w:pPr>
            <w:r>
              <w:rPr>
                <w:rFonts w:hint="eastAsia"/>
                <w:b/>
                <w:bCs/>
                <w:snapToGrid w:val="0"/>
                <w:kern w:val="0"/>
                <w:sz w:val="21"/>
                <w:szCs w:val="21"/>
              </w:rPr>
              <w:t>综上所述：通过以上措施，拟建项目施工期噪声对声环境的影响是可以接受的。同时由于钻井噪声属于施工噪声，钻井时间较短，随着项目的结束，拟建项目对周边环境造成的影响也会随之消失。</w:t>
            </w:r>
          </w:p>
          <w:p>
            <w:pPr>
              <w:adjustRightInd w:val="0"/>
              <w:snapToGrid w:val="0"/>
              <w:ind w:firstLine="462"/>
              <w:rPr>
                <w:b/>
                <w:bCs/>
                <w:spacing w:val="10"/>
                <w:sz w:val="21"/>
                <w:szCs w:val="21"/>
              </w:rPr>
            </w:pPr>
            <w:r>
              <w:rPr>
                <w:b/>
                <w:bCs/>
                <w:spacing w:val="10"/>
                <w:sz w:val="21"/>
                <w:szCs w:val="21"/>
              </w:rPr>
              <w:t>2.4固体废物防治措施</w:t>
            </w:r>
          </w:p>
          <w:p>
            <w:pPr>
              <w:adjustRightInd w:val="0"/>
              <w:snapToGrid w:val="0"/>
              <w:ind w:firstLine="422"/>
              <w:rPr>
                <w:b/>
                <w:bCs/>
                <w:snapToGrid w:val="0"/>
                <w:kern w:val="0"/>
                <w:sz w:val="21"/>
                <w:szCs w:val="21"/>
              </w:rPr>
            </w:pPr>
            <w:r>
              <w:rPr>
                <w:rFonts w:hint="eastAsia"/>
                <w:b/>
                <w:bCs/>
                <w:snapToGrid w:val="0"/>
                <w:kern w:val="0"/>
                <w:sz w:val="21"/>
                <w:szCs w:val="21"/>
              </w:rPr>
              <w:t>2.4.1废水基泥浆、水基岩屑、沉淀罐污泥处置方式</w:t>
            </w:r>
          </w:p>
          <w:p>
            <w:pPr>
              <w:adjustRightInd w:val="0"/>
              <w:snapToGrid w:val="0"/>
              <w:ind w:firstLine="420"/>
              <w:rPr>
                <w:snapToGrid w:val="0"/>
                <w:kern w:val="0"/>
                <w:sz w:val="21"/>
                <w:szCs w:val="21"/>
              </w:rPr>
            </w:pPr>
            <w:r>
              <w:rPr>
                <w:rFonts w:hint="eastAsia"/>
                <w:snapToGrid w:val="0"/>
                <w:kern w:val="0"/>
                <w:sz w:val="21"/>
                <w:szCs w:val="21"/>
              </w:rPr>
              <w:t>根据《一般工业固体废物管理台账制定指南（试行）》（公告</w:t>
            </w:r>
            <w:r>
              <w:rPr>
                <w:snapToGrid w:val="0"/>
                <w:kern w:val="0"/>
                <w:sz w:val="21"/>
                <w:szCs w:val="21"/>
              </w:rPr>
              <w:t>2021</w:t>
            </w:r>
            <w:r>
              <w:rPr>
                <w:rFonts w:hint="eastAsia"/>
                <w:snapToGrid w:val="0"/>
                <w:kern w:val="0"/>
                <w:sz w:val="21"/>
                <w:szCs w:val="21"/>
              </w:rPr>
              <w:t>年第</w:t>
            </w:r>
            <w:r>
              <w:rPr>
                <w:snapToGrid w:val="0"/>
                <w:kern w:val="0"/>
                <w:sz w:val="21"/>
                <w:szCs w:val="21"/>
              </w:rPr>
              <w:t>82</w:t>
            </w:r>
            <w:r>
              <w:rPr>
                <w:rFonts w:hint="eastAsia"/>
                <w:snapToGrid w:val="0"/>
                <w:kern w:val="0"/>
                <w:sz w:val="21"/>
                <w:szCs w:val="21"/>
              </w:rPr>
              <w:t>号），项目产生的一般工业固废应按照分类表进行种类分类并做好台账记录，明确负责人及相关设施、场地。明确固体废物产生部门、贮存部门、自行利用部门和自行处置部门负责人，为固体废物产生设施、贮存设施、自行利用设施和自行处置设施编码。确定接受委托的利用处置单位。委托他人利用、处置的，应当按照《中华人民共和国固体废物污染环境防治法》第三十七条要求，选择有资格、有能力的利用处置单位。</w:t>
            </w:r>
          </w:p>
          <w:p>
            <w:pPr>
              <w:adjustRightInd w:val="0"/>
              <w:snapToGrid w:val="0"/>
              <w:ind w:firstLine="420"/>
              <w:rPr>
                <w:snapToGrid w:val="0"/>
                <w:kern w:val="0"/>
                <w:sz w:val="21"/>
                <w:szCs w:val="21"/>
              </w:rPr>
            </w:pPr>
            <w:r>
              <w:rPr>
                <w:rFonts w:hint="eastAsia"/>
                <w:snapToGrid w:val="0"/>
                <w:kern w:val="0"/>
                <w:sz w:val="21"/>
                <w:szCs w:val="21"/>
              </w:rPr>
              <w:t>《陆上石油天然气开采水基钻井废弃物处理处置及资源化利用技术规范》（SY/T 7466-2020）对陆上石油天然气开采水基钻井岩屑处理处置及资源化利用要求如下：</w:t>
            </w:r>
          </w:p>
          <w:p>
            <w:pPr>
              <w:adjustRightInd w:val="0"/>
              <w:snapToGrid w:val="0"/>
              <w:ind w:firstLine="420"/>
              <w:rPr>
                <w:snapToGrid w:val="0"/>
                <w:kern w:val="0"/>
                <w:sz w:val="21"/>
                <w:szCs w:val="21"/>
              </w:rPr>
            </w:pPr>
            <w:r>
              <w:rPr>
                <w:rFonts w:hint="eastAsia"/>
                <w:snapToGrid w:val="0"/>
                <w:kern w:val="0"/>
                <w:sz w:val="21"/>
                <w:szCs w:val="21"/>
              </w:rPr>
              <w:t>（1）</w:t>
            </w:r>
            <w:r>
              <w:rPr>
                <w:snapToGrid w:val="0"/>
                <w:kern w:val="0"/>
                <w:sz w:val="21"/>
                <w:szCs w:val="21"/>
              </w:rPr>
              <w:t>固液分离后产生的固体废物含水率宜不大于60%且不呈流动态。固液分离产生的固体废物应首先考虑资源化利用，不能资源化利用的应进行安全处置。</w:t>
            </w:r>
          </w:p>
          <w:p>
            <w:pPr>
              <w:adjustRightInd w:val="0"/>
              <w:snapToGrid w:val="0"/>
              <w:ind w:firstLine="420"/>
              <w:rPr>
                <w:snapToGrid w:val="0"/>
                <w:kern w:val="0"/>
                <w:sz w:val="21"/>
                <w:szCs w:val="21"/>
              </w:rPr>
            </w:pPr>
            <w:r>
              <w:rPr>
                <w:rFonts w:hint="eastAsia"/>
                <w:snapToGrid w:val="0"/>
                <w:kern w:val="0"/>
                <w:sz w:val="21"/>
                <w:szCs w:val="21"/>
              </w:rPr>
              <w:t>（</w:t>
            </w:r>
            <w:r>
              <w:rPr>
                <w:snapToGrid w:val="0"/>
                <w:kern w:val="0"/>
                <w:sz w:val="21"/>
                <w:szCs w:val="21"/>
              </w:rPr>
              <w:t>2</w:t>
            </w:r>
            <w:r>
              <w:rPr>
                <w:rFonts w:hint="eastAsia"/>
                <w:snapToGrid w:val="0"/>
                <w:kern w:val="0"/>
                <w:sz w:val="21"/>
                <w:szCs w:val="21"/>
              </w:rPr>
              <w:t>）</w:t>
            </w:r>
            <w:r>
              <w:rPr>
                <w:snapToGrid w:val="0"/>
                <w:kern w:val="0"/>
                <w:sz w:val="21"/>
                <w:szCs w:val="21"/>
              </w:rPr>
              <w:t>固相资源化利用要求：</w:t>
            </w:r>
          </w:p>
          <w:p>
            <w:pPr>
              <w:adjustRightInd w:val="0"/>
              <w:snapToGrid w:val="0"/>
              <w:ind w:firstLine="420"/>
              <w:rPr>
                <w:snapToGrid w:val="0"/>
                <w:kern w:val="0"/>
                <w:sz w:val="21"/>
                <w:szCs w:val="21"/>
              </w:rPr>
            </w:pPr>
            <w:r>
              <w:rPr>
                <w:snapToGrid w:val="0"/>
                <w:kern w:val="0"/>
                <w:sz w:val="21"/>
                <w:szCs w:val="21"/>
              </w:rPr>
              <w:t>清水钻进、空气钻或达到环保要求的水基钻井液产生的废弃物，宜物理固液分离后制备铺路基土用于铺垫井场，或作为免烧砖骨料等产品﹔水基钻井废弃物经固液分离后，可作为水泥窑协同处置的原料。其协同处置过程的技术要求和污染控制要求，应符合《水泥窑协同处置固体废物技术规范》（GB30760-2014）等要求。</w:t>
            </w:r>
          </w:p>
          <w:p>
            <w:pPr>
              <w:adjustRightInd w:val="0"/>
              <w:snapToGrid w:val="0"/>
              <w:ind w:firstLine="420"/>
              <w:rPr>
                <w:b/>
                <w:bCs/>
                <w:snapToGrid w:val="0"/>
                <w:kern w:val="0"/>
                <w:sz w:val="21"/>
                <w:szCs w:val="21"/>
              </w:rPr>
            </w:pPr>
            <w:r>
              <w:rPr>
                <w:rFonts w:hint="eastAsia"/>
                <w:bCs/>
                <w:snapToGrid w:val="0"/>
                <w:kern w:val="0"/>
                <w:sz w:val="21"/>
                <w:szCs w:val="21"/>
              </w:rPr>
              <w:t>本项目水基泥浆钻井阶段产生的废水基泥浆及水基岩屑经清洁化操作平台预处理至含水率</w:t>
            </w:r>
            <w:r>
              <w:rPr>
                <w:snapToGrid w:val="0"/>
                <w:kern w:val="0"/>
                <w:sz w:val="21"/>
                <w:szCs w:val="21"/>
              </w:rPr>
              <w:t>60%及以下后外运周边砖厂进行资源化利用，符合</w:t>
            </w:r>
            <w:r>
              <w:rPr>
                <w:rFonts w:hint="eastAsia"/>
                <w:snapToGrid w:val="0"/>
                <w:kern w:val="0"/>
                <w:sz w:val="21"/>
                <w:szCs w:val="21"/>
              </w:rPr>
              <w:t>《陆上石油天然气开采水基钻井废弃物处理处置及资源化利用技术规范》（SY/T 7466-2020）中对水基岩屑的处置要求。</w:t>
            </w:r>
          </w:p>
          <w:p>
            <w:pPr>
              <w:adjustRightInd w:val="0"/>
              <w:snapToGrid w:val="0"/>
              <w:ind w:firstLine="422"/>
              <w:rPr>
                <w:b/>
                <w:bCs/>
                <w:snapToGrid w:val="0"/>
                <w:kern w:val="0"/>
                <w:sz w:val="21"/>
                <w:szCs w:val="21"/>
              </w:rPr>
            </w:pPr>
            <w:r>
              <w:rPr>
                <w:rFonts w:hint="eastAsia"/>
                <w:b/>
                <w:bCs/>
                <w:snapToGrid w:val="0"/>
                <w:kern w:val="0"/>
                <w:sz w:val="21"/>
                <w:szCs w:val="21"/>
              </w:rPr>
              <w:t>（1）预处理方式</w:t>
            </w:r>
          </w:p>
          <w:p>
            <w:pPr>
              <w:adjustRightInd w:val="0"/>
              <w:snapToGrid w:val="0"/>
              <w:ind w:firstLine="420"/>
              <w:rPr>
                <w:bCs/>
                <w:spacing w:val="10"/>
                <w:sz w:val="21"/>
                <w:szCs w:val="21"/>
              </w:rPr>
            </w:pPr>
            <w:r>
              <w:rPr>
                <w:rFonts w:hint="eastAsia"/>
                <w:bCs/>
                <w:snapToGrid w:val="0"/>
                <w:kern w:val="0"/>
                <w:sz w:val="21"/>
                <w:szCs w:val="21"/>
              </w:rPr>
              <w:t>拟建项目在井场内主要对收集的水基岩屑进行减量化预处理。清水钻进和水基泥浆钻进过程中产生的钻井岩屑经振动筛、离心机处理后与泥浆分离，</w:t>
            </w:r>
            <w:r>
              <w:rPr>
                <w:rFonts w:hint="eastAsia" w:hAnsi="宋体"/>
                <w:snapToGrid w:val="0"/>
                <w:kern w:val="0"/>
                <w:sz w:val="21"/>
                <w:szCs w:val="21"/>
              </w:rPr>
              <w:t>大颗粒岩屑进入螺旋传送装置，再进入清洁化操作平台中</w:t>
            </w:r>
            <w:r>
              <w:rPr>
                <w:snapToGrid w:val="0"/>
                <w:kern w:val="0"/>
                <w:sz w:val="21"/>
                <w:szCs w:val="21"/>
              </w:rPr>
              <w:t>2m</w:t>
            </w:r>
            <w:r>
              <w:rPr>
                <w:snapToGrid w:val="0"/>
                <w:kern w:val="0"/>
                <w:sz w:val="21"/>
                <w:szCs w:val="21"/>
                <w:vertAlign w:val="superscript"/>
              </w:rPr>
              <w:t>3</w:t>
            </w:r>
            <w:r>
              <w:rPr>
                <w:rFonts w:hint="eastAsia" w:hAnsi="宋体"/>
                <w:snapToGrid w:val="0"/>
                <w:kern w:val="0"/>
                <w:sz w:val="21"/>
                <w:szCs w:val="21"/>
              </w:rPr>
              <w:t>岩屑收集罐自然沉淀，沉淀后上层清液用于钻井作业和后续钻井的配浆作业，下层固相物质进入搅拌罐，通过减量装置（压滤机等）处理，液相回用于配置泥浆，固相存放于临时堆放区，定期外运制烧结砖。预处理过程通过</w:t>
            </w:r>
            <w:r>
              <w:rPr>
                <w:rFonts w:hint="eastAsia"/>
                <w:bCs/>
                <w:snapToGrid w:val="0"/>
                <w:kern w:val="0"/>
                <w:sz w:val="21"/>
                <w:szCs w:val="21"/>
              </w:rPr>
              <w:t>降低岩屑含水率，实现水基岩屑减量化。</w:t>
            </w:r>
          </w:p>
          <w:p>
            <w:pPr>
              <w:adjustRightInd w:val="0"/>
              <w:snapToGrid w:val="0"/>
              <w:ind w:firstLine="420"/>
              <w:rPr>
                <w:bCs/>
                <w:snapToGrid w:val="0"/>
                <w:kern w:val="0"/>
                <w:sz w:val="21"/>
                <w:szCs w:val="21"/>
              </w:rPr>
            </w:pPr>
            <w:r>
              <w:rPr>
                <w:rFonts w:hint="eastAsia"/>
                <w:bCs/>
                <w:snapToGrid w:val="0"/>
                <w:kern w:val="0"/>
                <w:sz w:val="21"/>
                <w:szCs w:val="21"/>
              </w:rPr>
              <w:t>拟建项目水基钻钻井固废主要包括水基钻井岩屑和报废的钻井泥浆，钻井岩屑由“不落地”工艺处理后（振动冲洗分离）、钻井泥浆采用“不落地”工艺处理后暂存于</w:t>
            </w:r>
            <w:r>
              <w:rPr>
                <w:rFonts w:hint="eastAsia" w:ascii="宋体" w:hAnsi="宋体"/>
                <w:snapToGrid w:val="0"/>
                <w:kern w:val="0"/>
                <w:sz w:val="21"/>
                <w:szCs w:val="21"/>
              </w:rPr>
              <w:t>临时堆放区</w:t>
            </w:r>
            <w:r>
              <w:rPr>
                <w:rFonts w:hint="eastAsia"/>
                <w:bCs/>
                <w:snapToGrid w:val="0"/>
                <w:kern w:val="0"/>
                <w:sz w:val="21"/>
                <w:szCs w:val="21"/>
              </w:rPr>
              <w:t>，外运制烧结砖处理。</w:t>
            </w:r>
          </w:p>
          <w:p>
            <w:pPr>
              <w:adjustRightInd w:val="0"/>
              <w:snapToGrid w:val="0"/>
              <w:ind w:firstLine="420"/>
              <w:rPr>
                <w:bCs/>
                <w:snapToGrid w:val="0"/>
                <w:kern w:val="0"/>
                <w:sz w:val="21"/>
                <w:szCs w:val="21"/>
              </w:rPr>
            </w:pPr>
            <w:r>
              <w:rPr>
                <w:rFonts w:hint="eastAsia"/>
                <w:bCs/>
                <w:snapToGrid w:val="0"/>
                <w:kern w:val="0"/>
                <w:sz w:val="21"/>
                <w:szCs w:val="21"/>
              </w:rPr>
              <w:t>此外，本评价要求处理拟建项目废水基泥浆及岩屑的砖厂应满足：①砖厂烧结砖产量应大于</w:t>
            </w:r>
            <w:r>
              <w:rPr>
                <w:bCs/>
                <w:snapToGrid w:val="0"/>
                <w:kern w:val="0"/>
                <w:sz w:val="21"/>
                <w:szCs w:val="21"/>
              </w:rPr>
              <w:t>5</w:t>
            </w:r>
            <w:r>
              <w:rPr>
                <w:rFonts w:hint="eastAsia"/>
                <w:bCs/>
                <w:snapToGrid w:val="0"/>
                <w:kern w:val="0"/>
                <w:sz w:val="21"/>
                <w:szCs w:val="21"/>
              </w:rPr>
              <w:t>万匹</w:t>
            </w:r>
            <w:r>
              <w:rPr>
                <w:bCs/>
                <w:snapToGrid w:val="0"/>
                <w:kern w:val="0"/>
                <w:sz w:val="21"/>
                <w:szCs w:val="21"/>
              </w:rPr>
              <w:t>/</w:t>
            </w:r>
            <w:r>
              <w:rPr>
                <w:rFonts w:hint="eastAsia"/>
                <w:bCs/>
                <w:snapToGrid w:val="0"/>
                <w:kern w:val="0"/>
                <w:sz w:val="21"/>
                <w:szCs w:val="21"/>
              </w:rPr>
              <w:t>天；②砖厂有齐全的环保手续（环评批复、验收等）；③应与砖厂签订正式处理协议，保证钻井过程中产生的固体废物及时处理。</w:t>
            </w:r>
          </w:p>
          <w:p>
            <w:pPr>
              <w:adjustRightInd w:val="0"/>
              <w:snapToGrid w:val="0"/>
              <w:ind w:firstLine="420"/>
              <w:rPr>
                <w:bCs/>
                <w:snapToGrid w:val="0"/>
                <w:kern w:val="0"/>
                <w:sz w:val="21"/>
                <w:szCs w:val="21"/>
              </w:rPr>
            </w:pPr>
            <w:r>
              <w:rPr>
                <w:rFonts w:hint="eastAsia"/>
                <w:bCs/>
                <w:snapToGrid w:val="0"/>
                <w:kern w:val="0"/>
                <w:sz w:val="21"/>
                <w:szCs w:val="21"/>
              </w:rPr>
              <w:t>井场预处理后的水基岩屑及废水基泥浆固化体转运至砖厂后，在分析其化学成分的基础上，加入一定量无毒的激活剂进行激活处理，用装载机将激活处理后的固化体、页岩和内燃煤混合均匀，混合物用皮带输送到双齿辊式破碎机和球磨机中进行破碎，破碎后的原料经皮带输送到练泥机中，加水进行搅拌、捏和、均匀后用皮带输送到螺旋挤压机中成型，生胚砖转运到干燥室进行干燥，干燥后的胚砖转运到砖窑中进行焙烧。砖烧结成品合格冷却至室温后出窑形成产品砖。</w:t>
            </w:r>
          </w:p>
          <w:p>
            <w:pPr>
              <w:adjustRightInd w:val="0"/>
              <w:snapToGrid w:val="0"/>
              <w:ind w:firstLine="420"/>
              <w:rPr>
                <w:bCs/>
                <w:snapToGrid w:val="0"/>
                <w:kern w:val="0"/>
                <w:sz w:val="21"/>
                <w:szCs w:val="21"/>
              </w:rPr>
            </w:pPr>
            <w:r>
              <w:rPr>
                <w:rFonts w:hint="eastAsia"/>
                <w:bCs/>
                <w:snapToGrid w:val="0"/>
                <w:kern w:val="0"/>
                <w:sz w:val="21"/>
                <w:szCs w:val="21"/>
              </w:rPr>
              <w:t>经调查了解，该工艺为传统成熟的工艺，且该工艺进行生产已多年，在使用水基岩屑及废水基泥浆为原料进行生产时，采取的污染防治措施符合环保要求，未出现污染环境事故。因此，拟建项目水基泥浆钻井时产生的大部分固废由环保手续齐全且具有处理能力的单位进行烧砖处理在工艺上是可行的。</w:t>
            </w:r>
          </w:p>
          <w:p>
            <w:pPr>
              <w:adjustRightInd w:val="0"/>
              <w:snapToGrid w:val="0"/>
              <w:ind w:firstLine="422"/>
              <w:rPr>
                <w:b/>
                <w:bCs/>
                <w:snapToGrid w:val="0"/>
                <w:kern w:val="0"/>
                <w:sz w:val="21"/>
                <w:szCs w:val="21"/>
              </w:rPr>
            </w:pPr>
            <w:r>
              <w:rPr>
                <w:rFonts w:hint="eastAsia"/>
                <w:b/>
                <w:bCs/>
                <w:snapToGrid w:val="0"/>
                <w:kern w:val="0"/>
                <w:sz w:val="21"/>
                <w:szCs w:val="21"/>
              </w:rPr>
              <w:t>（</w:t>
            </w:r>
            <w:r>
              <w:rPr>
                <w:b/>
                <w:bCs/>
                <w:snapToGrid w:val="0"/>
                <w:kern w:val="0"/>
                <w:sz w:val="21"/>
                <w:szCs w:val="21"/>
              </w:rPr>
              <w:t>3</w:t>
            </w:r>
            <w:r>
              <w:rPr>
                <w:rFonts w:hint="eastAsia"/>
                <w:b/>
                <w:bCs/>
                <w:snapToGrid w:val="0"/>
                <w:kern w:val="0"/>
                <w:sz w:val="21"/>
                <w:szCs w:val="21"/>
              </w:rPr>
              <w:t>）水基岩屑及泥浆消纳能力分析</w:t>
            </w:r>
          </w:p>
          <w:p>
            <w:pPr>
              <w:adjustRightInd w:val="0"/>
              <w:snapToGrid w:val="0"/>
              <w:ind w:firstLine="420"/>
              <w:rPr>
                <w:bCs/>
                <w:snapToGrid w:val="0"/>
                <w:kern w:val="0"/>
                <w:sz w:val="21"/>
                <w:szCs w:val="21"/>
              </w:rPr>
            </w:pPr>
            <w:r>
              <w:rPr>
                <w:rFonts w:hint="eastAsia"/>
                <w:bCs/>
                <w:snapToGrid w:val="0"/>
                <w:kern w:val="0"/>
                <w:sz w:val="21"/>
                <w:szCs w:val="21"/>
              </w:rPr>
              <w:t>废弃水基钻井岩屑及泥浆由“不落地”工艺处理后</w:t>
            </w:r>
            <w:r>
              <w:rPr>
                <w:bCs/>
                <w:snapToGrid w:val="0"/>
                <w:kern w:val="0"/>
                <w:sz w:val="21"/>
                <w:szCs w:val="21"/>
              </w:rPr>
              <w:t>(</w:t>
            </w:r>
            <w:r>
              <w:rPr>
                <w:rFonts w:hint="eastAsia"/>
                <w:bCs/>
                <w:snapToGrid w:val="0"/>
                <w:kern w:val="0"/>
                <w:sz w:val="21"/>
                <w:szCs w:val="21"/>
              </w:rPr>
              <w:t>振动冲洗分离</w:t>
            </w:r>
            <w:r>
              <w:rPr>
                <w:bCs/>
                <w:snapToGrid w:val="0"/>
                <w:kern w:val="0"/>
                <w:sz w:val="21"/>
                <w:szCs w:val="21"/>
              </w:rPr>
              <w:t>)</w:t>
            </w:r>
            <w:r>
              <w:rPr>
                <w:rFonts w:hint="eastAsia"/>
                <w:bCs/>
                <w:snapToGrid w:val="0"/>
                <w:kern w:val="0"/>
                <w:sz w:val="21"/>
                <w:szCs w:val="21"/>
              </w:rPr>
              <w:t>，与废水罐污泥在清洁生产操作平台内岩屑堆放区暂存后一并定期外运资源化利用，经与建设单位核实，已经初步确定四川勇辉新型建材商贸有限公司作为水基岩屑、废水基泥浆接纳单位。</w:t>
            </w:r>
          </w:p>
          <w:p>
            <w:pPr>
              <w:adjustRightInd w:val="0"/>
              <w:snapToGrid w:val="0"/>
              <w:ind w:firstLine="420"/>
              <w:rPr>
                <w:bCs/>
                <w:snapToGrid w:val="0"/>
                <w:kern w:val="0"/>
                <w:sz w:val="21"/>
                <w:szCs w:val="21"/>
              </w:rPr>
            </w:pPr>
            <w:r>
              <w:rPr>
                <w:rFonts w:hint="eastAsia"/>
                <w:bCs/>
                <w:snapToGrid w:val="0"/>
                <w:kern w:val="0"/>
                <w:sz w:val="21"/>
                <w:szCs w:val="21"/>
              </w:rPr>
              <w:t>四川勇辉新型建材商贸有限公司四川勇辉新型建材商贸有限公司成立于2013年7月，经营范围为建筑建材生产及销售，位于巴中市巴州区曾口镇硐坪村4组石坝咀，该公司</w:t>
            </w:r>
            <w:r>
              <w:rPr>
                <w:bCs/>
                <w:snapToGrid w:val="0"/>
                <w:kern w:val="0"/>
                <w:sz w:val="21"/>
                <w:szCs w:val="21"/>
              </w:rPr>
              <w:t>2015</w:t>
            </w:r>
            <w:r>
              <w:rPr>
                <w:rFonts w:hint="eastAsia"/>
                <w:bCs/>
                <w:snapToGrid w:val="0"/>
                <w:kern w:val="0"/>
                <w:sz w:val="21"/>
                <w:szCs w:val="21"/>
              </w:rPr>
              <w:t>年建设新型建材空心砖、多孔砖环保节能建设项目，年产空心砖1600万匹、多孔砖2400万匹。为实现废弃资源的综合利用，四川勇辉新型建材商贸有限公司投资100万元在原有厂区内建设“水基岩屑一般固体废物综合利用项目”，利用水基岩屑替代部分页岩作为制砖原料，依托原制砖生产线协同处理钻井水基岩屑。2023年4月17日，《四川勇辉新型建材商贸有限公司水基岩屑一般固体废物综合利用项目环境影响报告表》获得巴中市巴州区生态环境局的批复（巴环境巴州审〔2023〕9号），并于2</w:t>
            </w:r>
            <w:r>
              <w:rPr>
                <w:bCs/>
                <w:snapToGrid w:val="0"/>
                <w:kern w:val="0"/>
                <w:sz w:val="21"/>
                <w:szCs w:val="21"/>
              </w:rPr>
              <w:t>024年</w:t>
            </w:r>
            <w:r>
              <w:rPr>
                <w:rFonts w:hint="eastAsia"/>
                <w:bCs/>
                <w:snapToGrid w:val="0"/>
                <w:kern w:val="0"/>
                <w:sz w:val="21"/>
                <w:szCs w:val="21"/>
              </w:rPr>
              <w:t>2月6日取得了竣工换进保护验收意见，同意项目通过验收。根据环评及其批复、验收及验收意见可知：项目以钻井水基岩屑部分替代页岩作为制砖原料，年处理水基岩屑（含水率6</w:t>
            </w:r>
            <w:r>
              <w:rPr>
                <w:bCs/>
                <w:snapToGrid w:val="0"/>
                <w:kern w:val="0"/>
                <w:sz w:val="21"/>
                <w:szCs w:val="21"/>
              </w:rPr>
              <w:t>0%</w:t>
            </w:r>
            <w:r>
              <w:rPr>
                <w:rFonts w:hint="eastAsia"/>
                <w:bCs/>
                <w:snapToGrid w:val="0"/>
                <w:kern w:val="0"/>
                <w:sz w:val="21"/>
                <w:szCs w:val="21"/>
              </w:rPr>
              <w:t>）19200t。</w:t>
            </w:r>
          </w:p>
          <w:p>
            <w:pPr>
              <w:adjustRightInd w:val="0"/>
              <w:snapToGrid w:val="0"/>
              <w:ind w:firstLine="420"/>
              <w:rPr>
                <w:bCs/>
                <w:snapToGrid w:val="0"/>
                <w:kern w:val="0"/>
                <w:sz w:val="21"/>
                <w:szCs w:val="21"/>
              </w:rPr>
            </w:pPr>
            <w:r>
              <w:rPr>
                <w:rFonts w:hint="eastAsia"/>
                <w:bCs/>
                <w:snapToGrid w:val="0"/>
                <w:kern w:val="0"/>
                <w:sz w:val="21"/>
                <w:szCs w:val="21"/>
              </w:rPr>
              <w:t>经调查了解，利用水基岩屑替代部分页岩作为烧结砖制作材料为传统熟悉的工艺，在使用废弃水基钻井岩屑及泥浆为原料进行生产时，采取的污染防治措施符合环保要求，未出现污染环境事故。因此</w:t>
            </w:r>
            <w:r>
              <w:rPr>
                <w:bCs/>
                <w:snapToGrid w:val="0"/>
                <w:kern w:val="0"/>
                <w:sz w:val="21"/>
                <w:szCs w:val="21"/>
              </w:rPr>
              <w:t>,</w:t>
            </w:r>
            <w:r>
              <w:rPr>
                <w:rFonts w:hint="eastAsia"/>
                <w:bCs/>
                <w:snapToGrid w:val="0"/>
                <w:kern w:val="0"/>
                <w:sz w:val="21"/>
                <w:szCs w:val="21"/>
              </w:rPr>
              <w:t>本项目钻井过程中产生的废弃水基钻井岩屑及泥浆在经井场内预处理后交由环保手续齐全且具有处理能力的单位进行制砖，在工艺上是可行的，且符合《陆上石油天然气开采水基钻井废弃物处理处置及资源化利用技术规范》中固相资源化利用要求。</w:t>
            </w:r>
          </w:p>
          <w:p>
            <w:pPr>
              <w:widowControl/>
              <w:ind w:firstLine="420"/>
              <w:rPr>
                <w:snapToGrid w:val="0"/>
                <w:kern w:val="0"/>
                <w:sz w:val="21"/>
                <w:szCs w:val="21"/>
              </w:rPr>
            </w:pPr>
            <w:r>
              <w:rPr>
                <w:rFonts w:hint="eastAsia"/>
                <w:snapToGrid w:val="0"/>
                <w:kern w:val="0"/>
                <w:sz w:val="21"/>
                <w:szCs w:val="21"/>
              </w:rPr>
              <w:t>西南地区水基泥浆钻井固废处置多以经现场处理后（脱水处理）转运地方砖厂制砖综合利用，中石油西南油气田分公司在四川省广安市武胜县实施了磨溪</w:t>
            </w:r>
            <w:r>
              <w:rPr>
                <w:snapToGrid w:val="0"/>
                <w:kern w:val="0"/>
                <w:sz w:val="21"/>
                <w:szCs w:val="21"/>
              </w:rPr>
              <w:t>131</w:t>
            </w:r>
            <w:r>
              <w:rPr>
                <w:rFonts w:hint="eastAsia"/>
                <w:snapToGrid w:val="0"/>
                <w:kern w:val="0"/>
                <w:sz w:val="21"/>
                <w:szCs w:val="21"/>
              </w:rPr>
              <w:t>井钻井工程，磨溪</w:t>
            </w:r>
            <w:r>
              <w:rPr>
                <w:snapToGrid w:val="0"/>
                <w:kern w:val="0"/>
                <w:sz w:val="21"/>
                <w:szCs w:val="21"/>
              </w:rPr>
              <w:t>131</w:t>
            </w:r>
            <w:r>
              <w:rPr>
                <w:rFonts w:hint="eastAsia"/>
                <w:snapToGrid w:val="0"/>
                <w:kern w:val="0"/>
                <w:sz w:val="21"/>
                <w:szCs w:val="21"/>
              </w:rPr>
              <w:t>井与本工程同属钻井过程使用的水基泥浆体系一致，水基岩屑中污染物性质及含量具有可类比性。四川科特检测集输有限公司对磨溪</w:t>
            </w:r>
            <w:r>
              <w:rPr>
                <w:snapToGrid w:val="0"/>
                <w:kern w:val="0"/>
                <w:sz w:val="21"/>
                <w:szCs w:val="21"/>
              </w:rPr>
              <w:t>131</w:t>
            </w:r>
            <w:r>
              <w:rPr>
                <w:rFonts w:hint="eastAsia"/>
                <w:snapToGrid w:val="0"/>
                <w:kern w:val="0"/>
                <w:sz w:val="21"/>
                <w:szCs w:val="21"/>
              </w:rPr>
              <w:t>井钻井工程水基岩屑浸出液进行了监测，四川省材科院检验检测有限公司对磨溪</w:t>
            </w:r>
            <w:r>
              <w:rPr>
                <w:snapToGrid w:val="0"/>
                <w:kern w:val="0"/>
                <w:sz w:val="21"/>
                <w:szCs w:val="21"/>
              </w:rPr>
              <w:t>131</w:t>
            </w:r>
            <w:r>
              <w:rPr>
                <w:rFonts w:hint="eastAsia"/>
                <w:snapToGrid w:val="0"/>
                <w:kern w:val="0"/>
                <w:sz w:val="21"/>
                <w:szCs w:val="21"/>
              </w:rPr>
              <w:t>井钻井工程水基岩屑烧砖产品进行了监测，评价引用磨溪</w:t>
            </w:r>
            <w:r>
              <w:rPr>
                <w:snapToGrid w:val="0"/>
                <w:kern w:val="0"/>
                <w:sz w:val="21"/>
                <w:szCs w:val="21"/>
              </w:rPr>
              <w:t>131</w:t>
            </w:r>
            <w:r>
              <w:rPr>
                <w:rFonts w:hint="eastAsia"/>
                <w:snapToGrid w:val="0"/>
                <w:kern w:val="0"/>
                <w:sz w:val="21"/>
                <w:szCs w:val="21"/>
              </w:rPr>
              <w:t>井钻井工程实施过程中的水基岩屑浸出液检验报告及普通烧结砖质量检验报告进行类比分析。</w:t>
            </w:r>
          </w:p>
          <w:p>
            <w:pPr>
              <w:widowControl/>
              <w:ind w:firstLine="632" w:firstLineChars="300"/>
              <w:jc w:val="center"/>
              <w:rPr>
                <w:b/>
                <w:snapToGrid w:val="0"/>
                <w:kern w:val="0"/>
                <w:sz w:val="21"/>
                <w:szCs w:val="21"/>
              </w:rPr>
            </w:pPr>
            <w:r>
              <w:rPr>
                <w:rFonts w:hint="eastAsia"/>
                <w:b/>
                <w:snapToGrid w:val="0"/>
                <w:kern w:val="0"/>
                <w:sz w:val="21"/>
                <w:szCs w:val="21"/>
              </w:rPr>
              <w:t>表</w:t>
            </w:r>
            <w:r>
              <w:rPr>
                <w:b/>
                <w:snapToGrid w:val="0"/>
                <w:kern w:val="0"/>
                <w:sz w:val="21"/>
                <w:szCs w:val="21"/>
              </w:rPr>
              <w:t xml:space="preserve">5-3  </w:t>
            </w:r>
            <w:r>
              <w:rPr>
                <w:rFonts w:hint="eastAsia"/>
                <w:b/>
                <w:snapToGrid w:val="0"/>
                <w:kern w:val="0"/>
                <w:sz w:val="21"/>
                <w:szCs w:val="21"/>
              </w:rPr>
              <w:t>水基岩屑浸出液监测结果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124"/>
              <w:gridCol w:w="1972"/>
              <w:gridCol w:w="1071"/>
              <w:gridCol w:w="1071"/>
              <w:gridCol w:w="1071"/>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序号</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分析项目</w:t>
                  </w:r>
                </w:p>
              </w:tc>
              <w:tc>
                <w:tcPr>
                  <w:tcW w:w="1776"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分析方法</w:t>
                  </w:r>
                  <w:r>
                    <w:rPr>
                      <w:snapToGrid w:val="0"/>
                      <w:kern w:val="0"/>
                      <w:sz w:val="21"/>
                      <w:szCs w:val="21"/>
                    </w:rPr>
                    <w:t>/</w:t>
                  </w:r>
                  <w:r>
                    <w:rPr>
                      <w:rFonts w:hint="eastAsia"/>
                      <w:snapToGrid w:val="0"/>
                      <w:kern w:val="0"/>
                      <w:sz w:val="21"/>
                      <w:szCs w:val="21"/>
                    </w:rPr>
                    <w:t>标准</w:t>
                  </w:r>
                </w:p>
              </w:tc>
              <w:tc>
                <w:tcPr>
                  <w:tcW w:w="1094"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分析结果</w:t>
                  </w:r>
                </w:p>
              </w:tc>
              <w:tc>
                <w:tcPr>
                  <w:tcW w:w="1094"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检出限</w:t>
                  </w:r>
                </w:p>
              </w:tc>
              <w:tc>
                <w:tcPr>
                  <w:tcW w:w="1094"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标准值</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1</w:t>
                  </w:r>
                </w:p>
              </w:tc>
              <w:tc>
                <w:tcPr>
                  <w:tcW w:w="1139" w:type="dxa"/>
                  <w:vAlign w:val="center"/>
                </w:tcPr>
                <w:p>
                  <w:pPr>
                    <w:widowControl/>
                    <w:spacing w:line="240" w:lineRule="auto"/>
                    <w:ind w:firstLine="0" w:firstLineChars="0"/>
                    <w:jc w:val="center"/>
                    <w:rPr>
                      <w:snapToGrid w:val="0"/>
                      <w:kern w:val="0"/>
                      <w:sz w:val="21"/>
                      <w:szCs w:val="21"/>
                    </w:rPr>
                  </w:pPr>
                  <w:r>
                    <w:rPr>
                      <w:snapToGrid w:val="0"/>
                      <w:kern w:val="0"/>
                      <w:sz w:val="21"/>
                      <w:szCs w:val="21"/>
                    </w:rPr>
                    <w:t>pH(</w:t>
                  </w:r>
                  <w:r>
                    <w:rPr>
                      <w:rFonts w:hint="eastAsia"/>
                      <w:snapToGrid w:val="0"/>
                      <w:kern w:val="0"/>
                      <w:sz w:val="21"/>
                      <w:szCs w:val="21"/>
                    </w:rPr>
                    <w:t>无量纲</w:t>
                  </w:r>
                  <w:r>
                    <w:rPr>
                      <w:snapToGrid w:val="0"/>
                      <w:kern w:val="0"/>
                      <w:sz w:val="21"/>
                      <w:szCs w:val="21"/>
                    </w:rPr>
                    <w:t>)</w:t>
                  </w:r>
                </w:p>
              </w:tc>
              <w:tc>
                <w:tcPr>
                  <w:tcW w:w="1776"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玻璃电极法</w:t>
                  </w:r>
                  <w:r>
                    <w:rPr>
                      <w:snapToGrid w:val="0"/>
                      <w:kern w:val="0"/>
                      <w:sz w:val="21"/>
                      <w:szCs w:val="21"/>
                    </w:rPr>
                    <w:t>GB/T15555.12-1995</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8.51</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6~9</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2</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铜</w:t>
                  </w:r>
                  <w:r>
                    <w:rPr>
                      <w:snapToGrid w:val="0"/>
                      <w:kern w:val="0"/>
                      <w:sz w:val="21"/>
                      <w:szCs w:val="21"/>
                    </w:rPr>
                    <w:t>(mg/L)</w:t>
                  </w:r>
                </w:p>
              </w:tc>
              <w:tc>
                <w:tcPr>
                  <w:tcW w:w="1776" w:type="dxa"/>
                  <w:vMerge w:val="restart"/>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固体废物</w:t>
                  </w:r>
                  <w:r>
                    <w:rPr>
                      <w:snapToGrid w:val="0"/>
                      <w:kern w:val="0"/>
                      <w:sz w:val="21"/>
                      <w:szCs w:val="21"/>
                    </w:rPr>
                    <w:t>22</w:t>
                  </w:r>
                  <w:r>
                    <w:rPr>
                      <w:rFonts w:hint="eastAsia"/>
                      <w:snapToGrid w:val="0"/>
                      <w:kern w:val="0"/>
                      <w:sz w:val="21"/>
                      <w:szCs w:val="21"/>
                    </w:rPr>
                    <w:t>种金属元素的测定电感耦合等离子体发射光谱法</w:t>
                  </w:r>
                  <w:r>
                    <w:rPr>
                      <w:snapToGrid w:val="0"/>
                      <w:kern w:val="0"/>
                      <w:sz w:val="21"/>
                      <w:szCs w:val="21"/>
                    </w:rPr>
                    <w:t>HJ 781-2016</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0.04</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0.01</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0.5</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3</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铅</w:t>
                  </w:r>
                  <w:r>
                    <w:rPr>
                      <w:snapToGrid w:val="0"/>
                      <w:kern w:val="0"/>
                      <w:sz w:val="21"/>
                      <w:szCs w:val="21"/>
                    </w:rPr>
                    <w:t>(mg/L)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0.09</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0.03</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1.0</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4</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锌</w:t>
                  </w:r>
                  <w:r>
                    <w:rPr>
                      <w:snapToGrid w:val="0"/>
                      <w:kern w:val="0"/>
                      <w:sz w:val="21"/>
                      <w:szCs w:val="21"/>
                    </w:rPr>
                    <w:t>(mg/L)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0.21</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0.01</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2.0</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5</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镉</w:t>
                  </w:r>
                  <w:r>
                    <w:rPr>
                      <w:snapToGrid w:val="0"/>
                      <w:kern w:val="0"/>
                      <w:sz w:val="21"/>
                      <w:szCs w:val="21"/>
                    </w:rPr>
                    <w:t>(mg/L)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ND</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0.01</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0.1</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6</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铬</w:t>
                  </w:r>
                  <w:r>
                    <w:rPr>
                      <w:snapToGrid w:val="0"/>
                      <w:kern w:val="0"/>
                      <w:sz w:val="21"/>
                      <w:szCs w:val="21"/>
                    </w:rPr>
                    <w:t>mg/L)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ND</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0.02</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1.5</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7</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镍</w:t>
                  </w:r>
                  <w:r>
                    <w:rPr>
                      <w:snapToGrid w:val="0"/>
                      <w:kern w:val="0"/>
                      <w:sz w:val="21"/>
                      <w:szCs w:val="21"/>
                    </w:rPr>
                    <w:t>(mg/L)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ND</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0.02</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1.0</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8</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汞</w:t>
                  </w:r>
                  <w:r>
                    <w:rPr>
                      <w:snapToGrid w:val="0"/>
                      <w:kern w:val="0"/>
                      <w:sz w:val="21"/>
                      <w:szCs w:val="21"/>
                    </w:rPr>
                    <w:t>(μg/L)</w:t>
                  </w:r>
                </w:p>
              </w:tc>
              <w:tc>
                <w:tcPr>
                  <w:tcW w:w="1776" w:type="dxa"/>
                  <w:vMerge w:val="restart"/>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固体废物汞、砷、硒、秘、锑的测定微波消解</w:t>
                  </w:r>
                  <w:r>
                    <w:rPr>
                      <w:snapToGrid w:val="0"/>
                      <w:kern w:val="0"/>
                      <w:sz w:val="21"/>
                      <w:szCs w:val="21"/>
                    </w:rPr>
                    <w:t>/</w:t>
                  </w:r>
                  <w:r>
                    <w:rPr>
                      <w:rFonts w:hint="eastAsia"/>
                      <w:snapToGrid w:val="0"/>
                      <w:kern w:val="0"/>
                      <w:sz w:val="21"/>
                      <w:szCs w:val="21"/>
                    </w:rPr>
                    <w:t>原子荧光法</w:t>
                  </w:r>
                  <w:r>
                    <w:rPr>
                      <w:snapToGrid w:val="0"/>
                      <w:kern w:val="0"/>
                      <w:sz w:val="21"/>
                      <w:szCs w:val="21"/>
                    </w:rPr>
                    <w:t>HJ 702-2014</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ND</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0.02</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0.05</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dxa"/>
                  <w:vAlign w:val="center"/>
                </w:tcPr>
                <w:p>
                  <w:pPr>
                    <w:widowControl/>
                    <w:spacing w:line="240" w:lineRule="auto"/>
                    <w:ind w:firstLine="0" w:firstLineChars="0"/>
                    <w:jc w:val="center"/>
                    <w:rPr>
                      <w:snapToGrid w:val="0"/>
                      <w:kern w:val="0"/>
                      <w:sz w:val="21"/>
                      <w:szCs w:val="21"/>
                    </w:rPr>
                  </w:pPr>
                  <w:r>
                    <w:rPr>
                      <w:snapToGrid w:val="0"/>
                      <w:kern w:val="0"/>
                      <w:sz w:val="21"/>
                      <w:szCs w:val="21"/>
                    </w:rPr>
                    <w:t>9</w:t>
                  </w:r>
                </w:p>
              </w:tc>
              <w:tc>
                <w:tcPr>
                  <w:tcW w:w="1139"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砷</w:t>
                  </w:r>
                  <w:r>
                    <w:rPr>
                      <w:snapToGrid w:val="0"/>
                      <w:kern w:val="0"/>
                      <w:sz w:val="21"/>
                      <w:szCs w:val="21"/>
                    </w:rPr>
                    <w:t>(μg/L)</w:t>
                  </w:r>
                </w:p>
              </w:tc>
              <w:tc>
                <w:tcPr>
                  <w:tcW w:w="1776" w:type="dxa"/>
                  <w:vMerge w:val="continue"/>
                  <w:vAlign w:val="center"/>
                </w:tcPr>
                <w:p>
                  <w:pPr>
                    <w:widowControl/>
                    <w:spacing w:line="240" w:lineRule="auto"/>
                    <w:ind w:firstLine="0" w:firstLineChars="0"/>
                    <w:jc w:val="center"/>
                    <w:rPr>
                      <w:snapToGrid w:val="0"/>
                      <w:kern w:val="0"/>
                      <w:sz w:val="21"/>
                      <w:szCs w:val="21"/>
                    </w:rPr>
                  </w:pP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ND</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0.10</w:t>
                  </w:r>
                </w:p>
              </w:tc>
              <w:tc>
                <w:tcPr>
                  <w:tcW w:w="1094" w:type="dxa"/>
                  <w:vAlign w:val="center"/>
                </w:tcPr>
                <w:p>
                  <w:pPr>
                    <w:widowControl/>
                    <w:spacing w:line="240" w:lineRule="auto"/>
                    <w:ind w:firstLine="0" w:firstLineChars="0"/>
                    <w:jc w:val="center"/>
                    <w:rPr>
                      <w:snapToGrid w:val="0"/>
                      <w:kern w:val="0"/>
                      <w:sz w:val="21"/>
                      <w:szCs w:val="21"/>
                    </w:rPr>
                  </w:pPr>
                  <w:r>
                    <w:rPr>
                      <w:snapToGrid w:val="0"/>
                      <w:kern w:val="0"/>
                      <w:sz w:val="21"/>
                      <w:szCs w:val="21"/>
                    </w:rPr>
                    <w:t>0.5</w:t>
                  </w:r>
                </w:p>
              </w:tc>
              <w:tc>
                <w:tcPr>
                  <w:tcW w:w="1050" w:type="dxa"/>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合格</w:t>
                  </w:r>
                </w:p>
              </w:tc>
            </w:tr>
          </w:tbl>
          <w:p>
            <w:pPr>
              <w:widowControl/>
              <w:ind w:firstLine="420"/>
              <w:rPr>
                <w:snapToGrid w:val="0"/>
                <w:kern w:val="0"/>
                <w:sz w:val="21"/>
                <w:szCs w:val="21"/>
              </w:rPr>
            </w:pPr>
            <w:r>
              <w:rPr>
                <w:rFonts w:hint="eastAsia"/>
                <w:snapToGrid w:val="0"/>
                <w:kern w:val="0"/>
                <w:sz w:val="21"/>
                <w:szCs w:val="21"/>
              </w:rPr>
              <w:t>根据上表监测结果可知，水基岩屑浸出液指标监测结果均满足《污水综合排放标准》（</w:t>
            </w:r>
            <w:r>
              <w:rPr>
                <w:snapToGrid w:val="0"/>
                <w:kern w:val="0"/>
                <w:sz w:val="21"/>
                <w:szCs w:val="21"/>
              </w:rPr>
              <w:t>GB8978-1996</w:t>
            </w:r>
            <w:r>
              <w:rPr>
                <w:rFonts w:hint="eastAsia"/>
                <w:snapToGrid w:val="0"/>
                <w:kern w:val="0"/>
                <w:sz w:val="21"/>
                <w:szCs w:val="21"/>
              </w:rPr>
              <w:t>）中一级排放标准限值要求。</w:t>
            </w:r>
          </w:p>
          <w:p>
            <w:pPr>
              <w:widowControl/>
              <w:ind w:firstLine="420"/>
              <w:rPr>
                <w:snapToGrid w:val="0"/>
                <w:kern w:val="0"/>
                <w:sz w:val="21"/>
                <w:szCs w:val="21"/>
              </w:rPr>
            </w:pPr>
            <w:r>
              <w:rPr>
                <w:rFonts w:hint="eastAsia"/>
                <w:snapToGrid w:val="0"/>
                <w:kern w:val="0"/>
                <w:sz w:val="21"/>
                <w:szCs w:val="21"/>
              </w:rPr>
              <w:t>根据四川省材科院检验检测有限公司对磨溪</w:t>
            </w:r>
            <w:r>
              <w:rPr>
                <w:snapToGrid w:val="0"/>
                <w:kern w:val="0"/>
                <w:sz w:val="21"/>
                <w:szCs w:val="21"/>
              </w:rPr>
              <w:t>131</w:t>
            </w:r>
            <w:r>
              <w:rPr>
                <w:rFonts w:hint="eastAsia"/>
                <w:snapToGrid w:val="0"/>
                <w:kern w:val="0"/>
                <w:sz w:val="21"/>
                <w:szCs w:val="21"/>
              </w:rPr>
              <w:t>井钻井工程水基岩屑烧砖产品的检测结果可知，烧结普通砖产品各项指标均满足</w:t>
            </w:r>
            <w:r>
              <w:rPr>
                <w:snapToGrid w:val="0"/>
                <w:kern w:val="0"/>
                <w:sz w:val="21"/>
                <w:szCs w:val="21"/>
              </w:rPr>
              <w:t>GB/T5101-2017</w:t>
            </w:r>
            <w:r>
              <w:rPr>
                <w:rFonts w:hint="eastAsia"/>
                <w:snapToGrid w:val="0"/>
                <w:kern w:val="0"/>
                <w:sz w:val="21"/>
                <w:szCs w:val="21"/>
              </w:rPr>
              <w:t>中要求，产品质量合格。</w:t>
            </w:r>
          </w:p>
          <w:p>
            <w:pPr>
              <w:widowControl/>
              <w:ind w:firstLine="422"/>
              <w:rPr>
                <w:b/>
                <w:snapToGrid w:val="0"/>
                <w:kern w:val="0"/>
                <w:sz w:val="21"/>
                <w:szCs w:val="21"/>
              </w:rPr>
            </w:pPr>
            <w:r>
              <w:rPr>
                <w:b/>
                <w:snapToGrid w:val="0"/>
                <w:kern w:val="0"/>
                <w:sz w:val="21"/>
                <w:szCs w:val="21"/>
              </w:rPr>
              <w:t>（</w:t>
            </w:r>
            <w:r>
              <w:rPr>
                <w:rFonts w:hint="eastAsia"/>
                <w:b/>
                <w:snapToGrid w:val="0"/>
                <w:kern w:val="0"/>
                <w:sz w:val="21"/>
                <w:szCs w:val="21"/>
              </w:rPr>
              <w:t>4</w:t>
            </w:r>
            <w:r>
              <w:rPr>
                <w:b/>
                <w:snapToGrid w:val="0"/>
                <w:kern w:val="0"/>
                <w:sz w:val="21"/>
                <w:szCs w:val="21"/>
              </w:rPr>
              <w:t>）管理要求</w:t>
            </w:r>
          </w:p>
          <w:p>
            <w:pPr>
              <w:widowControl/>
              <w:ind w:firstLine="420"/>
              <w:rPr>
                <w:rFonts w:ascii="宋体" w:hAnsi="宋体"/>
                <w:snapToGrid w:val="0"/>
                <w:kern w:val="0"/>
                <w:sz w:val="21"/>
                <w:szCs w:val="21"/>
              </w:rPr>
            </w:pPr>
            <w:r>
              <w:rPr>
                <w:rFonts w:hint="eastAsia"/>
                <w:snapToGrid w:val="0"/>
                <w:kern w:val="0"/>
                <w:sz w:val="21"/>
                <w:szCs w:val="21"/>
              </w:rPr>
              <w:t>废水基泥浆及水基岩屑产生后应及时进行脱水、固化等随钻处理，处理后暂存于岩屑堆放场内。</w:t>
            </w:r>
            <w:r>
              <w:rPr>
                <w:snapToGrid w:val="0"/>
                <w:kern w:val="0"/>
                <w:sz w:val="21"/>
                <w:szCs w:val="21"/>
              </w:rPr>
              <w:t>岩屑堆放场应按照《</w:t>
            </w:r>
            <w:r>
              <w:rPr>
                <w:rFonts w:hint="eastAsia"/>
                <w:snapToGrid w:val="0"/>
                <w:kern w:val="0"/>
                <w:sz w:val="21"/>
                <w:szCs w:val="21"/>
              </w:rPr>
              <w:t>一般工业固体废物贮存和填埋污染控制标准》（</w:t>
            </w:r>
            <w:r>
              <w:rPr>
                <w:snapToGrid w:val="0"/>
                <w:kern w:val="0"/>
                <w:sz w:val="21"/>
                <w:szCs w:val="21"/>
              </w:rPr>
              <w:t>GB 18599-2020</w:t>
            </w:r>
            <w:r>
              <w:rPr>
                <w:rFonts w:hint="eastAsia"/>
                <w:snapToGrid w:val="0"/>
                <w:kern w:val="0"/>
                <w:sz w:val="21"/>
                <w:szCs w:val="21"/>
              </w:rPr>
              <w:t>）采取</w:t>
            </w:r>
            <w:r>
              <w:rPr>
                <w:rFonts w:ascii="宋体" w:hAnsi="宋体"/>
                <w:snapToGrid w:val="0"/>
                <w:kern w:val="0"/>
                <w:sz w:val="21"/>
                <w:szCs w:val="21"/>
              </w:rPr>
              <w:t>防渗漏、防雨淋、防扬尘等三防措施。</w:t>
            </w:r>
            <w:r>
              <w:rPr>
                <w:rFonts w:hint="eastAsia" w:ascii="宋体" w:hAnsi="宋体"/>
                <w:snapToGrid w:val="0"/>
                <w:kern w:val="0"/>
                <w:sz w:val="21"/>
                <w:szCs w:val="21"/>
              </w:rPr>
              <w:t>岩屑堆放场进行重点防渗处理，废水基泥浆及水基岩屑在水基岩屑收集罐中暂存，</w:t>
            </w:r>
            <w:r>
              <w:rPr>
                <w:rFonts w:ascii="宋体" w:hAnsi="宋体"/>
                <w:snapToGrid w:val="0"/>
                <w:kern w:val="0"/>
                <w:sz w:val="21"/>
                <w:szCs w:val="21"/>
              </w:rPr>
              <w:t>施工单位应视废水基泥浆及水基岩屑产生量、产生速率等实际施工情况，合理调度安排废水基泥浆及水基岩屑转运车辆，避免大量废水基泥浆及水基岩屑在井场内长时间堆存带来的环境风险隐患</w:t>
            </w:r>
            <w:r>
              <w:rPr>
                <w:rFonts w:hint="eastAsia" w:ascii="宋体" w:hAnsi="宋体"/>
                <w:snapToGrid w:val="0"/>
                <w:kern w:val="0"/>
                <w:sz w:val="21"/>
                <w:szCs w:val="21"/>
              </w:rPr>
              <w:t>；</w:t>
            </w:r>
            <w:r>
              <w:rPr>
                <w:rFonts w:ascii="宋体" w:hAnsi="宋体"/>
                <w:snapToGrid w:val="0"/>
                <w:kern w:val="0"/>
                <w:sz w:val="21"/>
                <w:szCs w:val="21"/>
              </w:rPr>
              <w:t>同时，固废转运单位应具备相应固体废物运输资质，并在固废处置过程中建立固废转运台账，妥善留存固废转运联单。</w:t>
            </w:r>
          </w:p>
          <w:p>
            <w:pPr>
              <w:adjustRightInd w:val="0"/>
              <w:snapToGrid w:val="0"/>
              <w:ind w:firstLine="420"/>
              <w:rPr>
                <w:bCs/>
                <w:spacing w:val="10"/>
                <w:sz w:val="21"/>
                <w:szCs w:val="21"/>
              </w:rPr>
            </w:pPr>
            <w:r>
              <w:rPr>
                <w:rFonts w:hint="eastAsia"/>
                <w:bCs/>
                <w:snapToGrid w:val="0"/>
                <w:kern w:val="0"/>
                <w:sz w:val="21"/>
                <w:szCs w:val="21"/>
              </w:rPr>
              <w:t>综上所述，拟建项目废水基泥浆及岩屑进行烧砖处理在技术上是可行的。</w:t>
            </w:r>
          </w:p>
          <w:p>
            <w:pPr>
              <w:adjustRightInd w:val="0"/>
              <w:snapToGrid w:val="0"/>
              <w:ind w:firstLine="462"/>
              <w:rPr>
                <w:b/>
                <w:bCs/>
                <w:spacing w:val="10"/>
                <w:sz w:val="21"/>
                <w:szCs w:val="21"/>
              </w:rPr>
            </w:pPr>
            <w:r>
              <w:rPr>
                <w:b/>
                <w:bCs/>
                <w:spacing w:val="10"/>
                <w:sz w:val="21"/>
                <w:szCs w:val="21"/>
              </w:rPr>
              <w:t>2.4.2油基岩屑处置方式</w:t>
            </w:r>
          </w:p>
          <w:p>
            <w:pPr>
              <w:adjustRightInd w:val="0"/>
              <w:snapToGrid w:val="0"/>
              <w:ind w:firstLine="420"/>
              <w:rPr>
                <w:bCs/>
                <w:sz w:val="21"/>
                <w:szCs w:val="21"/>
              </w:rPr>
            </w:pPr>
            <w:r>
              <w:rPr>
                <w:rFonts w:hint="eastAsia"/>
                <w:bCs/>
                <w:sz w:val="21"/>
                <w:szCs w:val="21"/>
              </w:rPr>
              <w:t>项目产生的油基岩屑应按照《危险废物收集、贮存、运输技术规范》（HJ2025-2012）、《</w:t>
            </w:r>
            <w:r>
              <w:rPr>
                <w:rFonts w:ascii="宋体" w:hAnsi="宋体" w:cs="宋体"/>
                <w:sz w:val="21"/>
                <w:szCs w:val="21"/>
              </w:rPr>
              <w:t>危险废物管理计划和管理台账制定技术导则</w:t>
            </w:r>
            <w:r>
              <w:rPr>
                <w:rFonts w:hint="eastAsia"/>
                <w:bCs/>
                <w:sz w:val="21"/>
                <w:szCs w:val="21"/>
              </w:rPr>
              <w:t>》</w:t>
            </w:r>
            <w:r>
              <w:rPr>
                <w:rFonts w:ascii="宋体" w:hAnsi="宋体" w:cs="宋体"/>
                <w:sz w:val="21"/>
                <w:szCs w:val="21"/>
              </w:rPr>
              <w:t>（</w:t>
            </w:r>
            <w:r>
              <w:rPr>
                <w:sz w:val="21"/>
                <w:szCs w:val="21"/>
              </w:rPr>
              <w:t>HJ1259-2022</w:t>
            </w:r>
            <w:r>
              <w:rPr>
                <w:rFonts w:ascii="宋体" w:hAnsi="宋体" w:cs="宋体"/>
                <w:sz w:val="21"/>
                <w:szCs w:val="21"/>
              </w:rPr>
              <w:t>）</w:t>
            </w:r>
            <w:r>
              <w:rPr>
                <w:rFonts w:hint="eastAsia" w:ascii="宋体" w:hAnsi="宋体" w:cs="宋体"/>
                <w:sz w:val="21"/>
                <w:szCs w:val="21"/>
              </w:rPr>
              <w:t>、</w:t>
            </w:r>
            <w:r>
              <w:rPr>
                <w:rFonts w:hint="eastAsia"/>
                <w:bCs/>
                <w:sz w:val="21"/>
                <w:szCs w:val="21"/>
              </w:rPr>
              <w:t>生态环境部《危险废物环境管理指南 陆上石油天然气开采》（公告 2021年 第74）号、《危险废物贮存污染控制标准》（GB18597-2023）、《危险废物识别标志设置技术规范》（HJ1276-2022）的相关规定，并参照《非常规油气开采含油污泥处理处置技术规范》（SY/T7481-2020）中相关要求，全过程全时段管理危险废物的产生、收集、贮存、运输、利用、处置情况。</w:t>
            </w:r>
          </w:p>
          <w:p>
            <w:pPr>
              <w:adjustRightInd w:val="0"/>
              <w:snapToGrid w:val="0"/>
              <w:ind w:firstLine="460"/>
              <w:rPr>
                <w:bCs/>
                <w:spacing w:val="10"/>
                <w:sz w:val="21"/>
                <w:szCs w:val="21"/>
              </w:rPr>
            </w:pPr>
            <w:r>
              <w:rPr>
                <w:rFonts w:hint="eastAsia"/>
                <w:bCs/>
                <w:spacing w:val="10"/>
                <w:sz w:val="21"/>
                <w:szCs w:val="21"/>
              </w:rPr>
              <w:t>油基泥浆钻井作业中将从井底排出油基泥浆及岩屑混合体，经振动筛后分离产生油基岩屑和油基泥浆，油基泥浆储存于泥浆罐中，全部回用于油基泥浆钻井液配置，含油岩屑先进行离心减量，分离出的油基泥浆经处理后回用于油基泥浆钻井液的配置，而油基岩屑收集于</w:t>
            </w:r>
            <w:r>
              <w:rPr>
                <w:rFonts w:hint="eastAsia" w:ascii="宋体" w:hAnsi="宋体" w:cs="宋体"/>
                <w:sz w:val="21"/>
                <w:szCs w:val="21"/>
              </w:rPr>
              <w:t>岩屑</w:t>
            </w:r>
            <w:r>
              <w:rPr>
                <w:rFonts w:ascii="宋体" w:hAnsi="宋体" w:cs="宋体"/>
                <w:sz w:val="21"/>
                <w:szCs w:val="21"/>
              </w:rPr>
              <w:t>收集罐</w:t>
            </w:r>
            <w:r>
              <w:rPr>
                <w:rFonts w:hint="eastAsia"/>
                <w:bCs/>
                <w:spacing w:val="10"/>
                <w:sz w:val="21"/>
                <w:szCs w:val="21"/>
              </w:rPr>
              <w:t>中委托有危废处置资质单位进行处置，处置</w:t>
            </w:r>
            <w:r>
              <w:rPr>
                <w:bCs/>
                <w:spacing w:val="10"/>
                <w:sz w:val="21"/>
                <w:szCs w:val="21"/>
              </w:rPr>
              <w:t>后的</w:t>
            </w:r>
            <w:r>
              <w:rPr>
                <w:rFonts w:hint="eastAsia"/>
                <w:bCs/>
                <w:spacing w:val="10"/>
                <w:sz w:val="21"/>
                <w:szCs w:val="21"/>
              </w:rPr>
              <w:t>固相满足</w:t>
            </w:r>
            <w:r>
              <w:rPr>
                <w:bCs/>
                <w:spacing w:val="10"/>
                <w:sz w:val="21"/>
                <w:szCs w:val="21"/>
              </w:rPr>
              <w:t>《</w:t>
            </w:r>
            <w:r>
              <w:rPr>
                <w:rFonts w:hint="eastAsia"/>
                <w:bCs/>
                <w:spacing w:val="10"/>
                <w:sz w:val="21"/>
                <w:szCs w:val="21"/>
              </w:rPr>
              <w:t>天然气</w:t>
            </w:r>
            <w:r>
              <w:rPr>
                <w:bCs/>
                <w:spacing w:val="10"/>
                <w:sz w:val="21"/>
                <w:szCs w:val="21"/>
              </w:rPr>
              <w:t>开采含油污泥综合利用后剩余固相利用处置标准》</w:t>
            </w:r>
            <w:r>
              <w:rPr>
                <w:rFonts w:hint="eastAsia"/>
                <w:bCs/>
                <w:spacing w:val="10"/>
                <w:sz w:val="21"/>
                <w:szCs w:val="21"/>
              </w:rPr>
              <w:t>（DB51/T2850-2021）相关</w:t>
            </w:r>
            <w:r>
              <w:rPr>
                <w:bCs/>
                <w:spacing w:val="10"/>
                <w:sz w:val="21"/>
                <w:szCs w:val="21"/>
              </w:rPr>
              <w:t>标准后</w:t>
            </w:r>
            <w:r>
              <w:rPr>
                <w:rFonts w:hint="eastAsia"/>
                <w:bCs/>
                <w:spacing w:val="10"/>
                <w:sz w:val="21"/>
                <w:szCs w:val="21"/>
              </w:rPr>
              <w:t>可以</w:t>
            </w:r>
            <w:r>
              <w:rPr>
                <w:bCs/>
                <w:spacing w:val="10"/>
                <w:sz w:val="21"/>
                <w:szCs w:val="21"/>
              </w:rPr>
              <w:t>进行综合利用。</w:t>
            </w:r>
          </w:p>
          <w:p>
            <w:pPr>
              <w:adjustRightInd w:val="0"/>
              <w:snapToGrid w:val="0"/>
              <w:ind w:firstLine="460"/>
              <w:rPr>
                <w:bCs/>
                <w:spacing w:val="10"/>
                <w:sz w:val="21"/>
                <w:szCs w:val="21"/>
              </w:rPr>
            </w:pPr>
            <w:r>
              <w:rPr>
                <w:rFonts w:hint="eastAsia"/>
                <w:bCs/>
                <w:spacing w:val="10"/>
                <w:sz w:val="21"/>
                <w:szCs w:val="21"/>
              </w:rPr>
              <w:t>危废暂存间按照《危险废物贮存污染控制标准》（GB18597-20</w:t>
            </w:r>
            <w:r>
              <w:rPr>
                <w:bCs/>
                <w:spacing w:val="10"/>
                <w:sz w:val="21"/>
                <w:szCs w:val="21"/>
              </w:rPr>
              <w:t>23</w:t>
            </w:r>
            <w:r>
              <w:rPr>
                <w:rFonts w:hint="eastAsia"/>
                <w:bCs/>
                <w:spacing w:val="10"/>
                <w:sz w:val="21"/>
                <w:szCs w:val="21"/>
              </w:rPr>
              <w:t>）相关要求设置，具体</w:t>
            </w:r>
            <w:r>
              <w:rPr>
                <w:bCs/>
                <w:spacing w:val="10"/>
                <w:sz w:val="21"/>
                <w:szCs w:val="21"/>
              </w:rPr>
              <w:t>设置要求如下：</w:t>
            </w:r>
          </w:p>
          <w:p>
            <w:pPr>
              <w:adjustRightInd w:val="0"/>
              <w:snapToGrid w:val="0"/>
              <w:ind w:firstLine="460"/>
              <w:rPr>
                <w:bCs/>
                <w:spacing w:val="10"/>
                <w:sz w:val="21"/>
                <w:szCs w:val="21"/>
              </w:rPr>
            </w:pPr>
            <w:r>
              <w:rPr>
                <w:rFonts w:hint="eastAsia"/>
                <w:bCs/>
                <w:spacing w:val="10"/>
                <w:sz w:val="21"/>
                <w:szCs w:val="21"/>
              </w:rPr>
              <w:t>①贮存设施应根据危险废物的形态、物理化学性质、包装形式和污染物迁移途径，采取必要的防风、防晒、防雨、防漏、防渗、防腐以及其他环境污染防治措施，不应露天堆放危险废物。</w:t>
            </w:r>
          </w:p>
          <w:p>
            <w:pPr>
              <w:adjustRightInd w:val="0"/>
              <w:snapToGrid w:val="0"/>
              <w:ind w:firstLine="460"/>
              <w:rPr>
                <w:rFonts w:ascii="宋体" w:hAnsi="宋体" w:eastAsia="MS Mincho" w:cs="宋体"/>
                <w:bCs/>
                <w:spacing w:val="10"/>
                <w:sz w:val="21"/>
                <w:szCs w:val="21"/>
              </w:rPr>
            </w:pPr>
            <w:r>
              <w:rPr>
                <w:rFonts w:hint="eastAsia" w:ascii="宋体" w:hAnsi="宋体" w:cs="宋体"/>
                <w:bCs/>
                <w:spacing w:val="10"/>
                <w:sz w:val="21"/>
                <w:szCs w:val="21"/>
              </w:rPr>
              <w:t>②贮存设施应根据危险废物的类别、数量、形态、物理化学性质和污染防治等要求设置必要的贮存分区，避免不相容的危险废物接触、混合。</w:t>
            </w:r>
          </w:p>
          <w:p>
            <w:pPr>
              <w:adjustRightInd w:val="0"/>
              <w:snapToGrid w:val="0"/>
              <w:ind w:firstLine="460"/>
              <w:rPr>
                <w:rFonts w:ascii="宋体" w:hAnsi="宋体" w:cs="宋体"/>
                <w:bCs/>
                <w:spacing w:val="10"/>
                <w:sz w:val="21"/>
                <w:szCs w:val="21"/>
              </w:rPr>
            </w:pPr>
            <w:r>
              <w:rPr>
                <w:rFonts w:hint="eastAsia" w:ascii="宋体" w:hAnsi="宋体" w:cs="宋体"/>
                <w:bCs/>
                <w:spacing w:val="10"/>
                <w:sz w:val="21"/>
                <w:szCs w:val="21"/>
              </w:rPr>
              <w:t>③贮存设施或贮存分区内地面、墙面裙脚、堵截泄漏的围堰、接触危险废物的隔板和墙体等应采用坚固的材料建造，表面无裂缝。</w:t>
            </w:r>
          </w:p>
          <w:p>
            <w:pPr>
              <w:adjustRightInd w:val="0"/>
              <w:snapToGrid w:val="0"/>
              <w:ind w:firstLine="460"/>
              <w:rPr>
                <w:bCs/>
                <w:spacing w:val="10"/>
                <w:sz w:val="21"/>
                <w:szCs w:val="21"/>
              </w:rPr>
            </w:pPr>
            <w:r>
              <w:rPr>
                <w:rFonts w:hint="eastAsia"/>
                <w:bCs/>
                <w:spacing w:val="10"/>
                <w:sz w:val="21"/>
                <w:szCs w:val="21"/>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Cs/>
                <w:spacing w:val="10"/>
                <w:sz w:val="21"/>
                <w:szCs w:val="21"/>
                <w:vertAlign w:val="superscript"/>
              </w:rPr>
              <w:t>-7</w:t>
            </w:r>
            <w:r>
              <w:rPr>
                <w:rFonts w:hint="eastAsia"/>
                <w:bCs/>
                <w:spacing w:val="10"/>
                <w:sz w:val="21"/>
                <w:szCs w:val="21"/>
              </w:rPr>
              <w:t>cm/s），或至少2mm厚高密度聚乙烯膜等人工防渗材料（渗透系数不大于10</w:t>
            </w:r>
            <w:r>
              <w:rPr>
                <w:rFonts w:hint="eastAsia"/>
                <w:bCs/>
                <w:spacing w:val="10"/>
                <w:sz w:val="21"/>
                <w:szCs w:val="21"/>
                <w:vertAlign w:val="superscript"/>
              </w:rPr>
              <w:t>-10</w:t>
            </w:r>
            <w:r>
              <w:rPr>
                <w:rFonts w:hint="eastAsia"/>
                <w:bCs/>
                <w:spacing w:val="10"/>
                <w:sz w:val="21"/>
                <w:szCs w:val="21"/>
              </w:rPr>
              <w:t>cm/s），或其他防渗性能等效的材料。</w:t>
            </w:r>
          </w:p>
          <w:p>
            <w:pPr>
              <w:adjustRightInd w:val="0"/>
              <w:snapToGrid w:val="0"/>
              <w:ind w:firstLine="460"/>
              <w:rPr>
                <w:bCs/>
                <w:spacing w:val="10"/>
                <w:sz w:val="21"/>
                <w:szCs w:val="21"/>
              </w:rPr>
            </w:pPr>
            <w:r>
              <w:rPr>
                <w:rFonts w:hint="eastAsia"/>
                <w:bCs/>
                <w:spacing w:val="10"/>
                <w:sz w:val="21"/>
                <w:szCs w:val="21"/>
              </w:rPr>
              <w:t>⑤同一贮存设施宜采用相同的防渗、防腐工艺（包括防渗、防腐结构或材料），防渗、防腐材料应覆盖所有可能与废物及其渗滤液、渗漏液等接触的构筑物表面；采用不同防渗、防腐工艺应分别建设贮存分区。</w:t>
            </w:r>
          </w:p>
          <w:p>
            <w:pPr>
              <w:adjustRightInd w:val="0"/>
              <w:snapToGrid w:val="0"/>
              <w:ind w:firstLine="460"/>
              <w:rPr>
                <w:rFonts w:ascii="宋体" w:hAnsi="宋体" w:eastAsia="MS Mincho" w:cs="宋体"/>
                <w:bCs/>
                <w:spacing w:val="10"/>
                <w:sz w:val="21"/>
                <w:szCs w:val="21"/>
              </w:rPr>
            </w:pPr>
            <w:r>
              <w:rPr>
                <w:rFonts w:hint="eastAsia" w:ascii="宋体" w:hAnsi="宋体" w:cs="宋体"/>
                <w:bCs/>
                <w:spacing w:val="10"/>
                <w:sz w:val="21"/>
                <w:szCs w:val="21"/>
              </w:rPr>
              <w:t>⑥贮存设施应采取技术和管理措施防止无关人员进入。</w:t>
            </w:r>
          </w:p>
          <w:p>
            <w:pPr>
              <w:adjustRightInd w:val="0"/>
              <w:snapToGrid w:val="0"/>
              <w:ind w:firstLine="460"/>
              <w:rPr>
                <w:bCs/>
                <w:spacing w:val="10"/>
                <w:sz w:val="21"/>
                <w:szCs w:val="21"/>
              </w:rPr>
            </w:pPr>
            <w:r>
              <w:rPr>
                <w:rFonts w:hint="eastAsia"/>
                <w:bCs/>
                <w:spacing w:val="10"/>
                <w:sz w:val="21"/>
                <w:szCs w:val="21"/>
              </w:rPr>
              <w:t>要求建设单位严格按照《危险废物收集、贮存、运输技术规范》（HJ2025-2012）及《建设项目危险废物环境影响评价指南</w:t>
            </w:r>
            <w:r>
              <w:rPr>
                <w:rFonts w:hint="eastAsia"/>
                <w:bCs/>
                <w:spacing w:val="10"/>
                <w:sz w:val="21"/>
                <w:szCs w:val="21"/>
                <w:lang w:eastAsia="zh-CN"/>
              </w:rPr>
              <w:t>》《</w:t>
            </w:r>
            <w:r>
              <w:rPr>
                <w:rFonts w:hint="eastAsia"/>
                <w:bCs/>
                <w:spacing w:val="10"/>
                <w:sz w:val="21"/>
                <w:szCs w:val="21"/>
              </w:rPr>
              <w:t>废矿物油回收利用污染控制技术规范》（HJ607-2011）中相关规定做好收集、暂存和转运工作。</w:t>
            </w:r>
          </w:p>
          <w:p>
            <w:pPr>
              <w:adjustRightInd w:val="0"/>
              <w:snapToGrid w:val="0"/>
              <w:ind w:firstLine="460"/>
              <w:rPr>
                <w:bCs/>
                <w:spacing w:val="10"/>
                <w:sz w:val="21"/>
                <w:szCs w:val="21"/>
              </w:rPr>
            </w:pPr>
            <w:r>
              <w:rPr>
                <w:rFonts w:hint="eastAsia"/>
                <w:bCs/>
                <w:spacing w:val="10"/>
                <w:sz w:val="21"/>
                <w:szCs w:val="21"/>
              </w:rPr>
              <w:t>危险废物的收集作业：</w:t>
            </w:r>
          </w:p>
          <w:p>
            <w:pPr>
              <w:adjustRightInd w:val="0"/>
              <w:snapToGrid w:val="0"/>
              <w:ind w:firstLine="460"/>
              <w:rPr>
                <w:bCs/>
                <w:spacing w:val="10"/>
                <w:sz w:val="21"/>
                <w:szCs w:val="21"/>
              </w:rPr>
            </w:pPr>
            <w:r>
              <w:rPr>
                <w:rFonts w:hint="eastAsia"/>
                <w:bCs/>
                <w:spacing w:val="10"/>
                <w:sz w:val="21"/>
                <w:szCs w:val="21"/>
              </w:rPr>
              <w:t>①根据收集设备和现场人员等实际情况确定相应作业区域，同时要设置作业界限标志和警示牌。</w:t>
            </w:r>
          </w:p>
          <w:p>
            <w:pPr>
              <w:adjustRightInd w:val="0"/>
              <w:snapToGrid w:val="0"/>
              <w:ind w:firstLine="460"/>
              <w:rPr>
                <w:bCs/>
                <w:spacing w:val="10"/>
                <w:sz w:val="21"/>
                <w:szCs w:val="21"/>
              </w:rPr>
            </w:pPr>
            <w:r>
              <w:rPr>
                <w:rFonts w:hint="eastAsia"/>
                <w:bCs/>
                <w:spacing w:val="10"/>
                <w:sz w:val="21"/>
                <w:szCs w:val="21"/>
              </w:rPr>
              <w:t>②作业区域内应设置危险废物收集专用通道和人员避险通道。</w:t>
            </w:r>
          </w:p>
          <w:p>
            <w:pPr>
              <w:adjustRightInd w:val="0"/>
              <w:snapToGrid w:val="0"/>
              <w:ind w:firstLine="460"/>
              <w:rPr>
                <w:bCs/>
                <w:spacing w:val="10"/>
                <w:sz w:val="21"/>
                <w:szCs w:val="21"/>
              </w:rPr>
            </w:pPr>
            <w:r>
              <w:rPr>
                <w:rFonts w:hint="eastAsia"/>
                <w:bCs/>
                <w:spacing w:val="10"/>
                <w:sz w:val="21"/>
                <w:szCs w:val="21"/>
              </w:rPr>
              <w:t>③危险废物进行登记，并将记录表作为危险废物管理的重要档案妥善保存。</w:t>
            </w:r>
          </w:p>
          <w:p>
            <w:pPr>
              <w:adjustRightInd w:val="0"/>
              <w:snapToGrid w:val="0"/>
              <w:ind w:firstLine="460"/>
              <w:rPr>
                <w:bCs/>
                <w:spacing w:val="10"/>
                <w:sz w:val="21"/>
                <w:szCs w:val="21"/>
              </w:rPr>
            </w:pPr>
            <w:r>
              <w:rPr>
                <w:rFonts w:hint="eastAsia"/>
                <w:bCs/>
                <w:spacing w:val="10"/>
                <w:sz w:val="21"/>
                <w:szCs w:val="21"/>
              </w:rPr>
              <w:t>④收集结束后应清理和恢复收集作业区域，确保作业区域环境整洁安全。</w:t>
            </w:r>
          </w:p>
          <w:p>
            <w:pPr>
              <w:adjustRightInd w:val="0"/>
              <w:snapToGrid w:val="0"/>
              <w:ind w:firstLine="460"/>
              <w:rPr>
                <w:bCs/>
                <w:spacing w:val="10"/>
                <w:sz w:val="21"/>
                <w:szCs w:val="21"/>
              </w:rPr>
            </w:pPr>
            <w:r>
              <w:rPr>
                <w:rFonts w:hint="eastAsia"/>
                <w:bCs/>
                <w:spacing w:val="10"/>
                <w:sz w:val="21"/>
                <w:szCs w:val="21"/>
              </w:rPr>
              <w:t>⑤收集过危险废物的容器、设备、设施、场所及其它物品转作它用时，应消除污染，确保其使用安全。</w:t>
            </w:r>
          </w:p>
          <w:p>
            <w:pPr>
              <w:adjustRightInd w:val="0"/>
              <w:snapToGrid w:val="0"/>
              <w:ind w:firstLine="460"/>
              <w:rPr>
                <w:bCs/>
                <w:spacing w:val="10"/>
                <w:sz w:val="21"/>
                <w:szCs w:val="21"/>
              </w:rPr>
            </w:pPr>
            <w:r>
              <w:rPr>
                <w:rFonts w:hint="eastAsia"/>
                <w:bCs/>
                <w:spacing w:val="10"/>
                <w:sz w:val="21"/>
                <w:szCs w:val="21"/>
              </w:rPr>
              <w:t>危险废物贮存：</w:t>
            </w:r>
          </w:p>
          <w:p>
            <w:pPr>
              <w:adjustRightInd w:val="0"/>
              <w:snapToGrid w:val="0"/>
              <w:ind w:firstLine="460"/>
              <w:rPr>
                <w:bCs/>
                <w:spacing w:val="10"/>
                <w:sz w:val="21"/>
                <w:szCs w:val="21"/>
              </w:rPr>
            </w:pPr>
            <w:r>
              <w:rPr>
                <w:rFonts w:hint="eastAsia"/>
                <w:bCs/>
                <w:spacing w:val="10"/>
                <w:sz w:val="21"/>
                <w:szCs w:val="21"/>
              </w:rPr>
              <w:t>①危险废物贮存设施应配备通讯设备、照明设施和消防设施。</w:t>
            </w:r>
          </w:p>
          <w:p>
            <w:pPr>
              <w:adjustRightInd w:val="0"/>
              <w:snapToGrid w:val="0"/>
              <w:ind w:firstLine="460"/>
              <w:rPr>
                <w:bCs/>
                <w:spacing w:val="10"/>
                <w:sz w:val="21"/>
                <w:szCs w:val="21"/>
              </w:rPr>
            </w:pPr>
            <w:r>
              <w:rPr>
                <w:rFonts w:hint="eastAsia"/>
                <w:bCs/>
                <w:spacing w:val="10"/>
                <w:sz w:val="21"/>
                <w:szCs w:val="21"/>
              </w:rPr>
              <w:t>②贮存危险废物时应按危险废物的种类和特性进行分区贮存，每个贮存区域之间设置挡墙间隔，并应设置防雨、防火、防雷、防扬尘装置。</w:t>
            </w:r>
          </w:p>
          <w:p>
            <w:pPr>
              <w:adjustRightInd w:val="0"/>
              <w:snapToGrid w:val="0"/>
              <w:ind w:firstLine="460"/>
              <w:rPr>
                <w:bCs/>
                <w:spacing w:val="10"/>
                <w:sz w:val="21"/>
                <w:szCs w:val="21"/>
              </w:rPr>
            </w:pPr>
            <w:r>
              <w:rPr>
                <w:rFonts w:hint="eastAsia"/>
                <w:bCs/>
                <w:spacing w:val="10"/>
                <w:sz w:val="21"/>
                <w:szCs w:val="21"/>
              </w:rPr>
              <w:t>危险废物的运输：</w:t>
            </w:r>
          </w:p>
          <w:p>
            <w:pPr>
              <w:adjustRightInd w:val="0"/>
              <w:snapToGrid w:val="0"/>
              <w:spacing w:before="120" w:beforeLines="50"/>
              <w:ind w:firstLine="460"/>
              <w:rPr>
                <w:bCs/>
                <w:spacing w:val="10"/>
                <w:sz w:val="21"/>
                <w:szCs w:val="21"/>
              </w:rPr>
            </w:pPr>
            <w:r>
              <w:rPr>
                <w:rFonts w:hint="eastAsia"/>
                <w:bCs/>
                <w:spacing w:val="10"/>
                <w:sz w:val="21"/>
                <w:szCs w:val="21"/>
              </w:rPr>
              <w:t>①危险废物公路运输应按照《道路危险货物运输管理规定》(交通部令[2005年]第 9 号)、JT617以及JT618执行。</w:t>
            </w:r>
          </w:p>
          <w:p>
            <w:pPr>
              <w:adjustRightInd w:val="0"/>
              <w:snapToGrid w:val="0"/>
              <w:ind w:firstLine="460"/>
              <w:rPr>
                <w:bCs/>
                <w:spacing w:val="10"/>
                <w:sz w:val="21"/>
                <w:szCs w:val="21"/>
              </w:rPr>
            </w:pPr>
            <w:r>
              <w:rPr>
                <w:rFonts w:hint="eastAsia"/>
                <w:bCs/>
                <w:spacing w:val="10"/>
                <w:sz w:val="21"/>
                <w:szCs w:val="21"/>
              </w:rPr>
              <w:t>②运输单位承运危险废物时，应在危险废物包装上按照 GB18597设置标志。</w:t>
            </w:r>
          </w:p>
          <w:p>
            <w:pPr>
              <w:adjustRightInd w:val="0"/>
              <w:snapToGrid w:val="0"/>
              <w:ind w:firstLine="460"/>
              <w:rPr>
                <w:bCs/>
                <w:spacing w:val="10"/>
                <w:sz w:val="21"/>
                <w:szCs w:val="21"/>
              </w:rPr>
            </w:pPr>
            <w:r>
              <w:rPr>
                <w:rFonts w:hint="eastAsia"/>
                <w:bCs/>
                <w:spacing w:val="10"/>
                <w:sz w:val="21"/>
                <w:szCs w:val="21"/>
              </w:rPr>
              <w:t>③危险废物公路运输时，运输车辆应按 GB13392 设置车辆标志。</w:t>
            </w:r>
          </w:p>
          <w:p>
            <w:pPr>
              <w:adjustRightInd w:val="0"/>
              <w:snapToGrid w:val="0"/>
              <w:ind w:firstLine="420"/>
              <w:rPr>
                <w:bCs/>
                <w:sz w:val="21"/>
                <w:szCs w:val="21"/>
              </w:rPr>
            </w:pPr>
            <w:r>
              <w:rPr>
                <w:rFonts w:hint="eastAsia"/>
                <w:bCs/>
                <w:sz w:val="21"/>
                <w:szCs w:val="21"/>
              </w:rPr>
              <w:t>危险</w:t>
            </w:r>
            <w:r>
              <w:rPr>
                <w:bCs/>
                <w:sz w:val="21"/>
                <w:szCs w:val="21"/>
              </w:rPr>
              <w:t>废物按照</w:t>
            </w:r>
            <w:r>
              <w:rPr>
                <w:rFonts w:hint="eastAsia"/>
                <w:bCs/>
                <w:sz w:val="21"/>
                <w:szCs w:val="21"/>
              </w:rPr>
              <w:t>《危险废物识别标志设置技术规范》（HJ1276-2022）做好危险</w:t>
            </w:r>
            <w:r>
              <w:rPr>
                <w:bCs/>
                <w:sz w:val="21"/>
                <w:szCs w:val="21"/>
              </w:rPr>
              <w:t>废物识别标志的分类、制作</w:t>
            </w:r>
            <w:r>
              <w:rPr>
                <w:rFonts w:hint="eastAsia"/>
                <w:bCs/>
                <w:sz w:val="21"/>
                <w:szCs w:val="21"/>
              </w:rPr>
              <w:t>等</w:t>
            </w:r>
            <w:r>
              <w:rPr>
                <w:bCs/>
                <w:sz w:val="21"/>
                <w:szCs w:val="21"/>
              </w:rPr>
              <w:t>。</w:t>
            </w:r>
          </w:p>
          <w:p>
            <w:pPr>
              <w:adjustRightInd w:val="0"/>
              <w:snapToGrid w:val="0"/>
              <w:ind w:firstLine="420"/>
              <w:rPr>
                <w:rFonts w:ascii="宋体" w:hAnsi="宋体" w:cs="宋体"/>
                <w:bCs/>
                <w:spacing w:val="10"/>
                <w:sz w:val="21"/>
                <w:szCs w:val="21"/>
              </w:rPr>
            </w:pPr>
            <w:r>
              <w:rPr>
                <w:rFonts w:hint="eastAsia" w:ascii="宋体" w:hAnsi="宋体" w:cs="宋体"/>
                <w:bCs/>
                <w:sz w:val="21"/>
                <w:szCs w:val="21"/>
              </w:rPr>
              <w:t>①</w:t>
            </w:r>
            <w:r>
              <w:rPr>
                <w:rFonts w:ascii="宋体" w:hAnsi="宋体" w:cs="宋体"/>
                <w:bCs/>
                <w:sz w:val="21"/>
                <w:szCs w:val="21"/>
              </w:rPr>
              <w:t>危险废物识别标志的</w:t>
            </w:r>
            <w:r>
              <w:rPr>
                <w:rFonts w:hint="eastAsia" w:ascii="宋体" w:hAnsi="宋体" w:cs="宋体"/>
                <w:bCs/>
                <w:sz w:val="21"/>
                <w:szCs w:val="21"/>
              </w:rPr>
              <w:t>设置</w:t>
            </w:r>
            <w:r>
              <w:rPr>
                <w:rFonts w:ascii="宋体" w:hAnsi="宋体" w:cs="宋体"/>
                <w:bCs/>
                <w:sz w:val="21"/>
                <w:szCs w:val="21"/>
              </w:rPr>
              <w:t>应具有足够的警示性，以提醒相关</w:t>
            </w:r>
            <w:r>
              <w:rPr>
                <w:rFonts w:hint="eastAsia" w:ascii="宋体" w:hAnsi="宋体" w:cs="宋体"/>
                <w:bCs/>
                <w:sz w:val="21"/>
                <w:szCs w:val="21"/>
              </w:rPr>
              <w:t>人员</w:t>
            </w:r>
            <w:r>
              <w:rPr>
                <w:rFonts w:ascii="宋体" w:hAnsi="宋体" w:cs="宋体"/>
                <w:bCs/>
                <w:sz w:val="21"/>
                <w:szCs w:val="21"/>
              </w:rPr>
              <w:t>在从事收集、贮存、利用、处置危险废物经营</w:t>
            </w:r>
            <w:r>
              <w:rPr>
                <w:rFonts w:hint="eastAsia" w:ascii="宋体" w:hAnsi="宋体" w:cs="宋体"/>
                <w:bCs/>
                <w:sz w:val="21"/>
                <w:szCs w:val="21"/>
              </w:rPr>
              <w:t>活动</w:t>
            </w:r>
            <w:r>
              <w:rPr>
                <w:rFonts w:ascii="宋体" w:hAnsi="宋体" w:cs="宋体"/>
                <w:bCs/>
                <w:sz w:val="21"/>
                <w:szCs w:val="21"/>
              </w:rPr>
              <w:t>时</w:t>
            </w:r>
            <w:r>
              <w:rPr>
                <w:rFonts w:hint="eastAsia" w:ascii="宋体" w:hAnsi="宋体" w:cs="宋体"/>
                <w:bCs/>
                <w:sz w:val="21"/>
                <w:szCs w:val="21"/>
              </w:rPr>
              <w:t>注意防范危险废物的环境风险。</w:t>
            </w:r>
          </w:p>
          <w:p>
            <w:pPr>
              <w:adjustRightInd w:val="0"/>
              <w:snapToGrid w:val="0"/>
              <w:ind w:firstLine="460"/>
              <w:rPr>
                <w:rFonts w:ascii="宋体" w:hAnsi="宋体" w:cs="宋体"/>
                <w:bCs/>
                <w:spacing w:val="10"/>
                <w:sz w:val="21"/>
                <w:szCs w:val="21"/>
              </w:rPr>
            </w:pPr>
            <w:r>
              <w:rPr>
                <w:rFonts w:hint="eastAsia" w:ascii="宋体" w:hAnsi="宋体" w:cs="宋体"/>
                <w:bCs/>
                <w:spacing w:val="10"/>
                <w:sz w:val="21"/>
                <w:szCs w:val="21"/>
              </w:rPr>
              <w:t>②危险废物识别标志应设置在醒目的位置，避免被其他固定物体遮挡，并与周边的环境特点相协调。</w:t>
            </w:r>
          </w:p>
          <w:p>
            <w:pPr>
              <w:adjustRightInd w:val="0"/>
              <w:snapToGrid w:val="0"/>
              <w:ind w:firstLine="460"/>
              <w:rPr>
                <w:bCs/>
                <w:spacing w:val="10"/>
                <w:sz w:val="21"/>
                <w:szCs w:val="21"/>
              </w:rPr>
            </w:pPr>
            <w:r>
              <w:rPr>
                <w:rFonts w:hint="eastAsia"/>
                <w:bCs/>
                <w:spacing w:val="10"/>
                <w:sz w:val="21"/>
                <w:szCs w:val="21"/>
              </w:rPr>
              <w:t>③危险废物识别标志与其他标志宜保持视觉上的分离。</w:t>
            </w:r>
          </w:p>
          <w:p>
            <w:pPr>
              <w:adjustRightInd w:val="0"/>
              <w:snapToGrid w:val="0"/>
              <w:ind w:firstLine="460"/>
              <w:rPr>
                <w:bCs/>
                <w:spacing w:val="10"/>
                <w:sz w:val="21"/>
                <w:szCs w:val="21"/>
              </w:rPr>
            </w:pPr>
            <w:r>
              <w:rPr>
                <w:rFonts w:hint="eastAsia"/>
                <w:bCs/>
                <w:spacing w:val="10"/>
                <w:sz w:val="21"/>
                <w:szCs w:val="21"/>
              </w:rPr>
              <w:t>④同一场所内，同一种类危险废物识别标志的尺寸、设置位置、设置方式和设置高度等宜保持一致。</w:t>
            </w:r>
          </w:p>
          <w:p>
            <w:pPr>
              <w:adjustRightInd w:val="0"/>
              <w:snapToGrid w:val="0"/>
              <w:ind w:firstLine="460"/>
              <w:rPr>
                <w:bCs/>
                <w:spacing w:val="10"/>
                <w:sz w:val="21"/>
                <w:szCs w:val="21"/>
              </w:rPr>
            </w:pPr>
            <w:r>
              <w:rPr>
                <w:rFonts w:hint="eastAsia"/>
                <w:bCs/>
                <w:spacing w:val="10"/>
                <w:sz w:val="21"/>
                <w:szCs w:val="21"/>
              </w:rPr>
              <w:t>⑤危险废物标签应以醒目的字样标注“危险废物”。</w:t>
            </w:r>
          </w:p>
          <w:p>
            <w:pPr>
              <w:adjustRightInd w:val="0"/>
              <w:snapToGrid w:val="0"/>
              <w:ind w:firstLine="460"/>
              <w:rPr>
                <w:bCs/>
                <w:spacing w:val="10"/>
                <w:sz w:val="21"/>
                <w:szCs w:val="21"/>
              </w:rPr>
            </w:pPr>
            <w:r>
              <w:rPr>
                <w:rFonts w:hint="eastAsia"/>
                <w:bCs/>
                <w:spacing w:val="10"/>
                <w:sz w:val="21"/>
                <w:szCs w:val="21"/>
              </w:rPr>
              <w:t>⑥危险废物标签应包含废物名称、废物类别、废物代码、废物形态、危险特性、主要成分、有害成分、注意事项、产生/收集单位名称、联系人、联系方式、产生日期、废物重量和备注。</w:t>
            </w:r>
          </w:p>
          <w:p>
            <w:pPr>
              <w:adjustRightInd w:val="0"/>
              <w:snapToGrid w:val="0"/>
              <w:ind w:firstLine="460"/>
              <w:rPr>
                <w:bCs/>
                <w:spacing w:val="10"/>
                <w:sz w:val="21"/>
                <w:szCs w:val="21"/>
              </w:rPr>
            </w:pPr>
            <w:r>
              <w:rPr>
                <w:rFonts w:hint="eastAsia"/>
                <w:bCs/>
                <w:spacing w:val="10"/>
                <w:sz w:val="21"/>
                <w:szCs w:val="21"/>
              </w:rPr>
              <w:t>⑦危险废物标签宜设置危险废物数字识别码和二维码。</w:t>
            </w:r>
          </w:p>
          <w:p>
            <w:pPr>
              <w:adjustRightInd w:val="0"/>
              <w:snapToGrid w:val="0"/>
              <w:ind w:firstLine="462"/>
              <w:rPr>
                <w:b/>
                <w:bCs/>
                <w:spacing w:val="10"/>
                <w:sz w:val="21"/>
                <w:szCs w:val="21"/>
              </w:rPr>
            </w:pPr>
            <w:r>
              <w:rPr>
                <w:rFonts w:hint="eastAsia"/>
                <w:b/>
                <w:bCs/>
                <w:spacing w:val="10"/>
                <w:sz w:val="21"/>
                <w:szCs w:val="21"/>
              </w:rPr>
              <w:t>2.4.3废油、废油桶及废棉纱</w:t>
            </w:r>
            <w:r>
              <w:rPr>
                <w:b/>
                <w:bCs/>
                <w:spacing w:val="10"/>
                <w:sz w:val="21"/>
                <w:szCs w:val="21"/>
              </w:rPr>
              <w:t>/</w:t>
            </w:r>
            <w:r>
              <w:rPr>
                <w:rFonts w:hint="eastAsia"/>
                <w:b/>
                <w:bCs/>
                <w:spacing w:val="10"/>
                <w:sz w:val="21"/>
                <w:szCs w:val="21"/>
              </w:rPr>
              <w:t>手套处置方式</w:t>
            </w:r>
          </w:p>
          <w:p>
            <w:pPr>
              <w:adjustRightInd w:val="0"/>
              <w:snapToGrid w:val="0"/>
              <w:ind w:firstLine="460"/>
              <w:rPr>
                <w:bCs/>
                <w:spacing w:val="10"/>
                <w:sz w:val="21"/>
                <w:szCs w:val="21"/>
              </w:rPr>
            </w:pPr>
            <w:r>
              <w:rPr>
                <w:rFonts w:hint="eastAsia"/>
                <w:bCs/>
                <w:spacing w:val="10"/>
                <w:sz w:val="21"/>
                <w:szCs w:val="21"/>
              </w:rPr>
              <w:t>（1）废油</w:t>
            </w:r>
          </w:p>
          <w:p>
            <w:pPr>
              <w:adjustRightInd w:val="0"/>
              <w:snapToGrid w:val="0"/>
              <w:ind w:firstLine="460"/>
              <w:rPr>
                <w:bCs/>
                <w:spacing w:val="10"/>
                <w:sz w:val="21"/>
                <w:szCs w:val="21"/>
              </w:rPr>
            </w:pPr>
            <w:r>
              <w:rPr>
                <w:bCs/>
                <w:spacing w:val="10"/>
                <w:sz w:val="21"/>
                <w:szCs w:val="21"/>
              </w:rPr>
              <w:t>项目钻井过程中产生的废油量少，经站内收集后用于企业内部资源化利用（用于其他井配制油基泥浆等）。项目在钻井过程中，废油的处置严格按《废矿物油回收利用污染控制技术规范（HJ607-2011）》</w:t>
            </w:r>
            <w:r>
              <w:rPr>
                <w:rFonts w:hint="eastAsia"/>
                <w:bCs/>
                <w:spacing w:val="10"/>
                <w:sz w:val="21"/>
                <w:szCs w:val="21"/>
              </w:rPr>
              <w:t>和《危险废物环境管理指南 陆上石油天然气开采》（公告 2021年第74号）</w:t>
            </w:r>
            <w:r>
              <w:rPr>
                <w:bCs/>
                <w:spacing w:val="10"/>
                <w:sz w:val="21"/>
                <w:szCs w:val="21"/>
              </w:rPr>
              <w:t>的有关要求，</w:t>
            </w:r>
            <w:r>
              <w:rPr>
                <w:rFonts w:hint="eastAsia"/>
                <w:bCs/>
                <w:spacing w:val="10"/>
                <w:sz w:val="21"/>
                <w:szCs w:val="21"/>
              </w:rPr>
              <w:t>采取措施防止油水落地，及时清理回收落地油，落实污染环境防治责任制度，建立健全工业危险废物产生、收集、贮存、运输、利用、处置全过程的污染环境防治责任制度。</w:t>
            </w:r>
            <w:r>
              <w:rPr>
                <w:bCs/>
                <w:spacing w:val="10"/>
                <w:sz w:val="21"/>
                <w:szCs w:val="21"/>
              </w:rPr>
              <w:t>具体包括：</w:t>
            </w:r>
          </w:p>
          <w:p>
            <w:pPr>
              <w:adjustRightInd w:val="0"/>
              <w:snapToGrid w:val="0"/>
              <w:ind w:firstLine="460"/>
              <w:rPr>
                <w:bCs/>
                <w:spacing w:val="10"/>
                <w:sz w:val="21"/>
                <w:szCs w:val="21"/>
              </w:rPr>
            </w:pPr>
            <w:r>
              <w:rPr>
                <w:rFonts w:hint="eastAsia"/>
                <w:bCs/>
                <w:spacing w:val="10"/>
                <w:sz w:val="21"/>
                <w:szCs w:val="21"/>
              </w:rPr>
              <w:t>①废油桶采取有效的防雨淋等措施，防止由于降雨等造成废油外溢至环境中，造成污染事件的发生；</w:t>
            </w:r>
          </w:p>
          <w:p>
            <w:pPr>
              <w:adjustRightInd w:val="0"/>
              <w:snapToGrid w:val="0"/>
              <w:ind w:firstLine="460"/>
              <w:rPr>
                <w:bCs/>
                <w:spacing w:val="10"/>
                <w:sz w:val="21"/>
                <w:szCs w:val="21"/>
              </w:rPr>
            </w:pPr>
            <w:r>
              <w:rPr>
                <w:rFonts w:hint="eastAsia"/>
                <w:bCs/>
                <w:spacing w:val="10"/>
                <w:sz w:val="21"/>
                <w:szCs w:val="21"/>
              </w:rPr>
              <w:t>②废油收集容器应完好无损，没有腐蚀、污染、损毁或其他能导致其使用效能减弱的缺陷；</w:t>
            </w:r>
          </w:p>
          <w:p>
            <w:pPr>
              <w:adjustRightInd w:val="0"/>
              <w:snapToGrid w:val="0"/>
              <w:ind w:firstLine="460"/>
              <w:rPr>
                <w:bCs/>
                <w:spacing w:val="10"/>
                <w:sz w:val="21"/>
                <w:szCs w:val="21"/>
              </w:rPr>
            </w:pPr>
            <w:r>
              <w:rPr>
                <w:rFonts w:hint="eastAsia"/>
                <w:bCs/>
                <w:spacing w:val="10"/>
                <w:sz w:val="21"/>
                <w:szCs w:val="21"/>
              </w:rPr>
              <w:t>③废油收集过程产生的废旧容器应按照危险废物进行处置，仍可转作他用的，应经过消除污染的处理；</w:t>
            </w:r>
          </w:p>
          <w:p>
            <w:pPr>
              <w:adjustRightInd w:val="0"/>
              <w:snapToGrid w:val="0"/>
              <w:ind w:firstLine="460"/>
              <w:rPr>
                <w:bCs/>
                <w:spacing w:val="10"/>
                <w:sz w:val="21"/>
                <w:szCs w:val="21"/>
              </w:rPr>
            </w:pPr>
            <w:r>
              <w:rPr>
                <w:rFonts w:hint="eastAsia"/>
                <w:bCs/>
                <w:spacing w:val="10"/>
                <w:sz w:val="21"/>
                <w:szCs w:val="21"/>
              </w:rPr>
              <w:t>④废油应在产生源收集，不宜在产生源收集的应设置专用设施集中收集；</w:t>
            </w:r>
          </w:p>
          <w:p>
            <w:pPr>
              <w:adjustRightInd w:val="0"/>
              <w:snapToGrid w:val="0"/>
              <w:ind w:firstLine="460"/>
              <w:rPr>
                <w:bCs/>
                <w:spacing w:val="10"/>
                <w:sz w:val="21"/>
                <w:szCs w:val="21"/>
              </w:rPr>
            </w:pPr>
            <w:r>
              <w:rPr>
                <w:rFonts w:hint="eastAsia"/>
                <w:bCs/>
                <w:spacing w:val="10"/>
                <w:sz w:val="21"/>
                <w:szCs w:val="21"/>
              </w:rPr>
              <w:t>⑤井口附近区域采用硬化地面；</w:t>
            </w:r>
          </w:p>
          <w:p>
            <w:pPr>
              <w:adjustRightInd w:val="0"/>
              <w:snapToGrid w:val="0"/>
              <w:ind w:firstLine="460"/>
              <w:rPr>
                <w:bCs/>
                <w:spacing w:val="10"/>
                <w:sz w:val="21"/>
                <w:szCs w:val="21"/>
              </w:rPr>
            </w:pPr>
            <w:r>
              <w:rPr>
                <w:rFonts w:hint="eastAsia"/>
                <w:bCs/>
                <w:spacing w:val="10"/>
                <w:sz w:val="21"/>
                <w:szCs w:val="21"/>
              </w:rPr>
              <w:t>⑥现场沾染废矿物油的泥、沙、水全部收集；</w:t>
            </w:r>
          </w:p>
          <w:p>
            <w:pPr>
              <w:adjustRightInd w:val="0"/>
              <w:snapToGrid w:val="0"/>
              <w:ind w:firstLine="460"/>
              <w:rPr>
                <w:bCs/>
                <w:spacing w:val="10"/>
                <w:sz w:val="21"/>
                <w:szCs w:val="21"/>
              </w:rPr>
            </w:pPr>
            <w:r>
              <w:rPr>
                <w:rFonts w:hint="eastAsia" w:ascii="宋体" w:hAnsi="宋体" w:cs="宋体"/>
                <w:bCs/>
                <w:spacing w:val="10"/>
                <w:sz w:val="21"/>
                <w:szCs w:val="21"/>
              </w:rPr>
              <w:t>⑦</w:t>
            </w:r>
            <w:r>
              <w:rPr>
                <w:rFonts w:hint="eastAsia"/>
                <w:bCs/>
                <w:spacing w:val="10"/>
                <w:sz w:val="21"/>
                <w:szCs w:val="21"/>
              </w:rPr>
              <w:t>废油的转运要用密闭容器盛装，避免运输过程中造成废油的外溢，污染环境。</w:t>
            </w:r>
          </w:p>
          <w:p>
            <w:pPr>
              <w:adjustRightInd w:val="0"/>
              <w:snapToGrid w:val="0"/>
              <w:ind w:firstLine="460"/>
              <w:rPr>
                <w:bCs/>
                <w:spacing w:val="10"/>
                <w:sz w:val="21"/>
                <w:szCs w:val="21"/>
              </w:rPr>
            </w:pPr>
            <w:r>
              <w:rPr>
                <w:rFonts w:hint="eastAsia"/>
                <w:bCs/>
                <w:spacing w:val="10"/>
                <w:sz w:val="21"/>
                <w:szCs w:val="21"/>
              </w:rPr>
              <w:t>（2）废油桶及废棉纱/手套</w:t>
            </w:r>
          </w:p>
          <w:p>
            <w:pPr>
              <w:adjustRightInd w:val="0"/>
              <w:snapToGrid w:val="0"/>
              <w:ind w:firstLine="460"/>
              <w:rPr>
                <w:bCs/>
                <w:spacing w:val="10"/>
                <w:sz w:val="21"/>
                <w:szCs w:val="21"/>
              </w:rPr>
            </w:pPr>
            <w:r>
              <w:rPr>
                <w:bCs/>
                <w:spacing w:val="10"/>
                <w:sz w:val="21"/>
                <w:szCs w:val="21"/>
              </w:rPr>
              <w:t>废油桶收集暂存于危废暂存间，交有资质单位进行处置。要求建设单位严格</w:t>
            </w:r>
            <w:r>
              <w:rPr>
                <w:rFonts w:hint="eastAsia"/>
                <w:bCs/>
                <w:spacing w:val="10"/>
                <w:sz w:val="21"/>
                <w:szCs w:val="21"/>
              </w:rPr>
              <w:t>按照《危险废物环境管理指南 陆上石油天然气开采》（公告2021年第74号），危险废物收集、贮存和运输过程的污染控制执行《危险废物贮存污染控制标准》（GB18597-20</w:t>
            </w:r>
            <w:r>
              <w:rPr>
                <w:bCs/>
                <w:spacing w:val="10"/>
                <w:sz w:val="21"/>
                <w:szCs w:val="21"/>
              </w:rPr>
              <w:t>23</w:t>
            </w:r>
            <w:r>
              <w:rPr>
                <w:rFonts w:hint="eastAsia"/>
                <w:bCs/>
                <w:spacing w:val="10"/>
                <w:sz w:val="21"/>
                <w:szCs w:val="21"/>
              </w:rPr>
              <w:t>）、《危险废物收集 贮存 运输技术规范》（HJ 2025</w:t>
            </w:r>
            <w:r>
              <w:rPr>
                <w:bCs/>
                <w:spacing w:val="10"/>
                <w:sz w:val="21"/>
                <w:szCs w:val="21"/>
              </w:rPr>
              <w:t>-2012</w:t>
            </w:r>
            <w:r>
              <w:rPr>
                <w:rFonts w:hint="eastAsia"/>
                <w:bCs/>
                <w:spacing w:val="10"/>
                <w:sz w:val="21"/>
                <w:szCs w:val="21"/>
              </w:rPr>
              <w:t>）等有关规定</w:t>
            </w:r>
            <w:r>
              <w:rPr>
                <w:bCs/>
                <w:spacing w:val="10"/>
                <w:sz w:val="21"/>
                <w:szCs w:val="21"/>
              </w:rPr>
              <w:t>做好收集、暂存和转运工作</w:t>
            </w:r>
            <w:r>
              <w:rPr>
                <w:rFonts w:hint="eastAsia"/>
                <w:bCs/>
                <w:spacing w:val="10"/>
                <w:sz w:val="21"/>
                <w:szCs w:val="21"/>
              </w:rPr>
              <w:t>；按照《危险废物转移管理办法》（生态环境部 公安部 交通运输部 部令 第23号），将危险废物转移的种类、重量（数量）、形态和危险特性等信息纳入相关台账记录，并根据所在地设区的市级以上地方生态环境主管部门的要求填写、运行危险废物转移联单。危险废物电子转移联单数据应当在信息系统中至少保存十年。因特殊原因无法运行危险废物电子转移联单的，可以先使用纸质转移联单，并于转移活动完成后十个工作日内在信息系统中补录电子转移联单。运输危险废物，应当采取防止污染环境的措施，并遵守国家有关危险货物运输管理的规定。</w:t>
            </w:r>
          </w:p>
          <w:p>
            <w:pPr>
              <w:adjustRightInd w:val="0"/>
              <w:snapToGrid w:val="0"/>
              <w:ind w:firstLine="462"/>
              <w:rPr>
                <w:b/>
                <w:bCs/>
                <w:spacing w:val="10"/>
                <w:sz w:val="21"/>
                <w:szCs w:val="21"/>
              </w:rPr>
            </w:pPr>
            <w:r>
              <w:rPr>
                <w:rFonts w:hint="eastAsia"/>
                <w:b/>
                <w:bCs/>
                <w:spacing w:val="10"/>
                <w:sz w:val="21"/>
                <w:szCs w:val="21"/>
              </w:rPr>
              <w:t>2.4.4生活垃圾处置方式</w:t>
            </w:r>
          </w:p>
          <w:p>
            <w:pPr>
              <w:adjustRightInd w:val="0"/>
              <w:snapToGrid w:val="0"/>
              <w:ind w:firstLine="460"/>
              <w:rPr>
                <w:bCs/>
                <w:spacing w:val="10"/>
                <w:sz w:val="21"/>
                <w:szCs w:val="21"/>
              </w:rPr>
            </w:pPr>
            <w:r>
              <w:rPr>
                <w:rFonts w:hint="eastAsia"/>
                <w:bCs/>
                <w:spacing w:val="10"/>
                <w:sz w:val="21"/>
                <w:szCs w:val="21"/>
              </w:rPr>
              <w:t>生活垃圾处置要求：钻井施工单位应对垃圾桶</w:t>
            </w:r>
            <w:r>
              <w:rPr>
                <w:bCs/>
                <w:spacing w:val="10"/>
                <w:sz w:val="21"/>
                <w:szCs w:val="21"/>
              </w:rPr>
              <w:t>内</w:t>
            </w:r>
            <w:r>
              <w:rPr>
                <w:rFonts w:hint="eastAsia"/>
                <w:bCs/>
                <w:spacing w:val="10"/>
                <w:sz w:val="21"/>
                <w:szCs w:val="21"/>
              </w:rPr>
              <w:t>的生活垃圾等进行清理，并送当地城镇生活垃圾收集系统。</w:t>
            </w:r>
          </w:p>
          <w:p>
            <w:pPr>
              <w:adjustRightInd w:val="0"/>
              <w:snapToGrid w:val="0"/>
              <w:ind w:firstLine="462"/>
              <w:rPr>
                <w:b/>
                <w:bCs/>
                <w:spacing w:val="10"/>
                <w:sz w:val="21"/>
                <w:szCs w:val="21"/>
              </w:rPr>
            </w:pPr>
            <w:r>
              <w:rPr>
                <w:rFonts w:hint="eastAsia"/>
                <w:b/>
                <w:bCs/>
                <w:spacing w:val="10"/>
                <w:sz w:val="21"/>
                <w:szCs w:val="21"/>
              </w:rPr>
              <w:t>2.4.5废包装材料处置方式</w:t>
            </w:r>
          </w:p>
          <w:p>
            <w:pPr>
              <w:adjustRightInd w:val="0"/>
              <w:snapToGrid w:val="0"/>
              <w:ind w:firstLine="460"/>
              <w:rPr>
                <w:bCs/>
                <w:spacing w:val="10"/>
                <w:sz w:val="21"/>
                <w:szCs w:val="21"/>
              </w:rPr>
            </w:pPr>
            <w:r>
              <w:rPr>
                <w:rFonts w:hint="eastAsia"/>
                <w:bCs/>
                <w:spacing w:val="10"/>
                <w:sz w:val="21"/>
                <w:szCs w:val="21"/>
              </w:rPr>
              <w:t>钻井期间产生的废包装材料主要为各原辅材料的包装袋，为一般固废，集中收集后定期运至就近的废品回收站进行处理。</w:t>
            </w:r>
          </w:p>
          <w:p>
            <w:pPr>
              <w:adjustRightInd w:val="0"/>
              <w:snapToGrid w:val="0"/>
              <w:ind w:firstLine="420"/>
              <w:rPr>
                <w:bCs/>
                <w:spacing w:val="10"/>
                <w:sz w:val="21"/>
                <w:szCs w:val="21"/>
              </w:rPr>
            </w:pPr>
            <w:r>
              <w:rPr>
                <w:rFonts w:hint="eastAsia"/>
                <w:bCs/>
                <w:snapToGrid w:val="0"/>
                <w:kern w:val="0"/>
                <w:sz w:val="21"/>
                <w:szCs w:val="21"/>
              </w:rPr>
              <w:t>为提高项目运营过程中产生的一般工业固体废物及危险废物的管理要求，同时落实《中华人民共和国固体废物污染环境防治法》第三十六条关于建立工业固体废物管理台账的要求，建设单位应按照《一般工业固体废物管理台账制定指南（试行）》（公告2021年第82号）中相关要求对运营过程中产生的一般工业固废的产生情况、流向及出厂环节进行记录。按照《危险废物管理计划和管理台账制定技术导则》（HJ1259-2022）中相关要求对运营过程中产生的危险废物的产生情况、流向及出厂环节进行记录。经与建设单位核实，目前施工单位未进场，项目未开钻，尚未制定</w:t>
            </w:r>
            <w:r>
              <w:rPr>
                <w:snapToGrid w:val="0"/>
                <w:kern w:val="0"/>
                <w:sz w:val="21"/>
                <w:szCs w:val="21"/>
              </w:rPr>
              <w:t>危废管理计划；评价要求施工单位在进场开钻后按</w:t>
            </w:r>
            <w:r>
              <w:rPr>
                <w:rFonts w:hint="eastAsia"/>
                <w:bCs/>
                <w:snapToGrid w:val="0"/>
                <w:kern w:val="0"/>
                <w:sz w:val="21"/>
                <w:szCs w:val="21"/>
              </w:rPr>
              <w:t>《危险废物管理计划和管理台账制定技术导则》（HJ1259-2022）制定危险废物管理计划，并在危废产生、收集及处置过程中按《危险废物管理计划和管理台账制定技术导则》（HJ1259-2022）制定危险废物管理台账，确保危险废物得到合理处置，且全过程可跟踪、溯源。</w:t>
            </w:r>
          </w:p>
          <w:p>
            <w:pPr>
              <w:adjustRightInd w:val="0"/>
              <w:snapToGrid w:val="0"/>
              <w:ind w:firstLine="462"/>
              <w:rPr>
                <w:b/>
                <w:bCs/>
                <w:spacing w:val="10"/>
                <w:sz w:val="21"/>
                <w:szCs w:val="21"/>
              </w:rPr>
            </w:pPr>
            <w:r>
              <w:rPr>
                <w:rFonts w:hint="eastAsia"/>
                <w:b/>
                <w:bCs/>
                <w:spacing w:val="10"/>
                <w:sz w:val="21"/>
                <w:szCs w:val="21"/>
              </w:rPr>
              <w:t>综上，拟建项目产生的固废采取上述分类收集、分类处置的措施后，可合理处置各类固废，对周围环境不会造成污染影响。</w:t>
            </w:r>
          </w:p>
          <w:p>
            <w:pPr>
              <w:adjustRightInd w:val="0"/>
              <w:snapToGrid w:val="0"/>
              <w:ind w:firstLine="0" w:firstLineChars="0"/>
              <w:rPr>
                <w:b/>
                <w:bCs/>
                <w:snapToGrid w:val="0"/>
                <w:kern w:val="0"/>
                <w:sz w:val="21"/>
                <w:szCs w:val="21"/>
              </w:rPr>
            </w:pPr>
            <w:r>
              <w:rPr>
                <w:rFonts w:hint="eastAsia"/>
                <w:b/>
                <w:bCs/>
                <w:snapToGrid w:val="0"/>
                <w:kern w:val="0"/>
                <w:sz w:val="21"/>
                <w:szCs w:val="21"/>
              </w:rPr>
              <w:t>2.5地下水防治措施</w:t>
            </w:r>
          </w:p>
          <w:p>
            <w:pPr>
              <w:adjustRightInd w:val="0"/>
              <w:snapToGrid w:val="0"/>
              <w:ind w:firstLine="420"/>
              <w:rPr>
                <w:bCs/>
                <w:snapToGrid w:val="0"/>
                <w:kern w:val="0"/>
                <w:sz w:val="21"/>
                <w:szCs w:val="21"/>
              </w:rPr>
            </w:pPr>
            <w:r>
              <w:rPr>
                <w:rFonts w:hint="eastAsia"/>
                <w:bCs/>
                <w:snapToGrid w:val="0"/>
                <w:kern w:val="0"/>
                <w:sz w:val="21"/>
                <w:szCs w:val="21"/>
              </w:rPr>
              <w:t>项目实施过程中，完全避免地下水环境质量受到影响是不可能的。如不采取合理的地下水污染防治措施，废水中的污染物有可能渗入地下潜水，从而影响地下水环境质量。只有采用先进的生产工艺，加强生产管理，防止或减少污染物通过各种污染途径污染地下水，才能减小工程建设对地下水环境的影响程度和影响范围。</w:t>
            </w:r>
          </w:p>
          <w:p>
            <w:pPr>
              <w:adjustRightInd w:val="0"/>
              <w:snapToGrid w:val="0"/>
              <w:ind w:firstLine="420"/>
              <w:rPr>
                <w:bCs/>
                <w:snapToGrid w:val="0"/>
                <w:kern w:val="0"/>
                <w:sz w:val="21"/>
                <w:szCs w:val="21"/>
              </w:rPr>
            </w:pPr>
            <w:r>
              <w:rPr>
                <w:rFonts w:hint="eastAsia"/>
                <w:bCs/>
                <w:snapToGrid w:val="0"/>
                <w:kern w:val="0"/>
                <w:sz w:val="21"/>
                <w:szCs w:val="21"/>
              </w:rPr>
              <w:t>根据本工程建设对地下水环境影响的特点，建议拟建项目地下水环境保护措施按照“源头控制、分区防控、污染监控、应急响应”相结合的原则，从污染物的产生、入渗、扩散、应急响应等方面进行控制。</w:t>
            </w:r>
          </w:p>
          <w:p>
            <w:pPr>
              <w:adjustRightInd w:val="0"/>
              <w:snapToGrid w:val="0"/>
              <w:ind w:firstLine="422"/>
              <w:rPr>
                <w:b/>
                <w:bCs/>
                <w:snapToGrid w:val="0"/>
                <w:kern w:val="0"/>
                <w:sz w:val="21"/>
                <w:szCs w:val="21"/>
              </w:rPr>
            </w:pPr>
            <w:r>
              <w:rPr>
                <w:rFonts w:hint="eastAsia"/>
                <w:b/>
                <w:bCs/>
                <w:snapToGrid w:val="0"/>
                <w:kern w:val="0"/>
                <w:sz w:val="21"/>
                <w:szCs w:val="21"/>
              </w:rPr>
              <w:t>2.5.1源头控制</w:t>
            </w:r>
          </w:p>
          <w:p>
            <w:pPr>
              <w:adjustRightInd w:val="0"/>
              <w:snapToGrid w:val="0"/>
              <w:ind w:firstLine="420"/>
              <w:rPr>
                <w:snapToGrid w:val="0"/>
                <w:kern w:val="0"/>
                <w:sz w:val="21"/>
                <w:szCs w:val="21"/>
              </w:rPr>
            </w:pPr>
            <w:r>
              <w:rPr>
                <w:rFonts w:hint="eastAsia"/>
                <w:snapToGrid w:val="0"/>
                <w:kern w:val="0"/>
                <w:sz w:val="21"/>
                <w:szCs w:val="21"/>
              </w:rPr>
              <w:t>（1）采取先进的钻井方案和钻井液体系，合理选择钻井液密度，实现近平衡压力钻井，降低泥浆环空压耗，降低泥浆激动压力，从而降低井筒中泥浆动压力，尽量避免造成钻井液漏失。对钻井过程中可能发生的泥浆漏失的情况，采用随钻堵漏或停钻循环堵漏方式减少钻井液漏失量。工程导管段利用清水钻井液迅速钻进，在套管的保护下能有效地保护浅层地下水。选用清洁泥浆体系进行钻探。此外，在钻井过程中应加强监控，防止泥浆的扩散污染等。</w:t>
            </w:r>
          </w:p>
          <w:p>
            <w:pPr>
              <w:adjustRightInd w:val="0"/>
              <w:snapToGrid w:val="0"/>
              <w:ind w:firstLine="420"/>
              <w:rPr>
                <w:snapToGrid w:val="0"/>
                <w:kern w:val="0"/>
                <w:sz w:val="21"/>
                <w:szCs w:val="21"/>
              </w:rPr>
            </w:pPr>
            <w:r>
              <w:rPr>
                <w:rFonts w:hint="eastAsia"/>
                <w:snapToGrid w:val="0"/>
                <w:kern w:val="0"/>
                <w:sz w:val="21"/>
                <w:szCs w:val="21"/>
              </w:rPr>
              <w:t>（2）钻井过程中保持平衡操作，同时对钻井过程中的钻井液漏失进行实时监控。一旦发现漏失，立即采取堵漏防控措施，减少漏失量。井场储备足够的堵漏剂，堵漏剂的选取应考虑清洁、无毒、对人体无害，环境污染轻的种类。</w:t>
            </w:r>
          </w:p>
          <w:p>
            <w:pPr>
              <w:adjustRightInd w:val="0"/>
              <w:snapToGrid w:val="0"/>
              <w:ind w:firstLine="420"/>
              <w:rPr>
                <w:snapToGrid w:val="0"/>
                <w:kern w:val="0"/>
                <w:sz w:val="21"/>
                <w:szCs w:val="21"/>
              </w:rPr>
            </w:pPr>
            <w:r>
              <w:rPr>
                <w:rFonts w:hint="eastAsia"/>
                <w:snapToGrid w:val="0"/>
                <w:kern w:val="0"/>
                <w:sz w:val="21"/>
                <w:szCs w:val="21"/>
              </w:rPr>
              <w:t>（3）每开钻井结束后的固井作业可有效封隔地层与套管之间的环空，防治污染地下水。固井作业应提高固井质量，建议采用双凝水泥浆体系固井，可有效防止因为井漏事故造成的地下水环境污染。</w:t>
            </w:r>
          </w:p>
          <w:p>
            <w:pPr>
              <w:adjustRightInd w:val="0"/>
              <w:snapToGrid w:val="0"/>
              <w:ind w:firstLine="420"/>
              <w:rPr>
                <w:snapToGrid w:val="0"/>
                <w:kern w:val="0"/>
                <w:sz w:val="21"/>
                <w:szCs w:val="21"/>
              </w:rPr>
            </w:pPr>
            <w:r>
              <w:rPr>
                <w:rFonts w:hint="eastAsia"/>
                <w:snapToGrid w:val="0"/>
                <w:kern w:val="0"/>
                <w:sz w:val="21"/>
                <w:szCs w:val="21"/>
              </w:rPr>
              <w:t>（4）在钻井完井过程中严格控制新鲜水用量，实行清污分流，减少污水产生量；钻井过程中应加强钻井废水管理，防止出现废水渗漏、外溢或废水池垮塌等事故。</w:t>
            </w:r>
          </w:p>
          <w:p>
            <w:pPr>
              <w:adjustRightInd w:val="0"/>
              <w:snapToGrid w:val="0"/>
              <w:ind w:firstLine="420"/>
              <w:rPr>
                <w:snapToGrid w:val="0"/>
                <w:kern w:val="0"/>
                <w:sz w:val="21"/>
                <w:szCs w:val="21"/>
              </w:rPr>
            </w:pPr>
            <w:r>
              <w:rPr>
                <w:rFonts w:hint="eastAsia"/>
                <w:snapToGrid w:val="0"/>
                <w:kern w:val="0"/>
                <w:sz w:val="21"/>
                <w:szCs w:val="21"/>
              </w:rPr>
              <w:t>（5）加强油料的管理和控制，特别应加强和完善废油的控制措施，其主要产生源发电房、机房、油罐区；同时加强废水中废油的捞取工作，尽可能地控制和减轻钻井废水中油的浓度。</w:t>
            </w:r>
          </w:p>
          <w:p>
            <w:pPr>
              <w:adjustRightInd w:val="0"/>
              <w:snapToGrid w:val="0"/>
              <w:ind w:firstLine="420"/>
              <w:rPr>
                <w:snapToGrid w:val="0"/>
                <w:kern w:val="0"/>
                <w:sz w:val="21"/>
                <w:szCs w:val="21"/>
              </w:rPr>
            </w:pPr>
            <w:r>
              <w:rPr>
                <w:rFonts w:hint="eastAsia"/>
                <w:snapToGrid w:val="0"/>
                <w:kern w:val="0"/>
                <w:sz w:val="21"/>
                <w:szCs w:val="21"/>
              </w:rPr>
              <w:t>（6）加强岩屑、废泥浆及其他固体废弃物收集、运输及暂存、处置等过程的环境管理，严格按有关技术规范和规定落实各项防范措施，确保不对地下水造成污染，防止产生新的环境问题，确保废钻井泥浆循环使用。</w:t>
            </w:r>
          </w:p>
          <w:p>
            <w:pPr>
              <w:adjustRightInd w:val="0"/>
              <w:snapToGrid w:val="0"/>
              <w:ind w:firstLine="420"/>
              <w:rPr>
                <w:snapToGrid w:val="0"/>
                <w:kern w:val="0"/>
                <w:sz w:val="21"/>
                <w:szCs w:val="21"/>
              </w:rPr>
            </w:pPr>
            <w:r>
              <w:rPr>
                <w:rFonts w:hint="eastAsia"/>
                <w:snapToGrid w:val="0"/>
                <w:kern w:val="0"/>
                <w:sz w:val="21"/>
                <w:szCs w:val="21"/>
              </w:rPr>
              <w:t>（7）井场设置清污分流、雨污分流系统。针对污水，将污水排入场内污水截流沟，再依地势或用泵抽入废水罐中。对于清水，场面清水、雨水由场外雨水沟排入自然水系。清污分流排水系统对井场的雨水及钻井废水进行了有效的分离，可以降低因暴雨等自然灾害而导致废水外溢污染浅层地下水的风险。固体废物堆放场应设置防雨设施，并及时处理，防止雨水淋滤导致污染物下渗进入浅层地下水。</w:t>
            </w:r>
          </w:p>
          <w:p>
            <w:pPr>
              <w:adjustRightInd w:val="0"/>
              <w:snapToGrid w:val="0"/>
              <w:ind w:firstLine="420"/>
              <w:rPr>
                <w:snapToGrid w:val="0"/>
                <w:kern w:val="0"/>
                <w:sz w:val="21"/>
                <w:szCs w:val="21"/>
              </w:rPr>
            </w:pPr>
            <w:r>
              <w:rPr>
                <w:rFonts w:hint="eastAsia"/>
                <w:snapToGrid w:val="0"/>
                <w:kern w:val="0"/>
                <w:sz w:val="21"/>
                <w:szCs w:val="21"/>
              </w:rPr>
              <w:t>（8）井场废水收集罐的选址避免地质灾害易发区域及影响区域，钻井期间施工人员应加强暴雨季节水池内水位观测，并及时转运废水，确保水池有足够的富余容量；新建池体高度应至少高出地面30cm，四周应设置截排水沟，防止地面径流进入水池中；暴雨季节加强池体周围挡土墙及边坡巡查，防止边坡失稳及挡土墙失效等导致池体垮塌发生废水外溢等事故。</w:t>
            </w:r>
          </w:p>
          <w:p>
            <w:pPr>
              <w:adjustRightInd w:val="0"/>
              <w:snapToGrid w:val="0"/>
              <w:ind w:firstLine="422"/>
              <w:rPr>
                <w:b/>
                <w:bCs/>
                <w:snapToGrid w:val="0"/>
                <w:kern w:val="0"/>
                <w:sz w:val="21"/>
                <w:szCs w:val="21"/>
              </w:rPr>
            </w:pPr>
            <w:r>
              <w:rPr>
                <w:rFonts w:hint="eastAsia"/>
                <w:b/>
                <w:bCs/>
                <w:snapToGrid w:val="0"/>
                <w:kern w:val="0"/>
                <w:sz w:val="21"/>
                <w:szCs w:val="21"/>
              </w:rPr>
              <w:t>2.5.2分区防渗</w:t>
            </w:r>
          </w:p>
          <w:p>
            <w:pPr>
              <w:adjustRightInd w:val="0"/>
              <w:snapToGrid w:val="0"/>
              <w:ind w:firstLine="420"/>
              <w:rPr>
                <w:snapToGrid w:val="0"/>
                <w:kern w:val="0"/>
                <w:sz w:val="21"/>
                <w:szCs w:val="21"/>
              </w:rPr>
            </w:pPr>
            <w:r>
              <w:rPr>
                <w:rFonts w:hint="eastAsia"/>
                <w:snapToGrid w:val="0"/>
                <w:kern w:val="0"/>
                <w:sz w:val="21"/>
                <w:szCs w:val="21"/>
              </w:rPr>
              <w:t>《环境影响评价技术导则地下水环境》（HJ610-2016）中分区防渗要求、《危险废物贮存污染控制标准》（GB18597-2023）中要求并参照《非常规油气开采污染控制技术规范》（SY∕T 7482-2020）中相关规定，项目通过采取分区防渗措施，加强井场防渗等级，避免钻井过程污染物入渗土壤及地下水环境。按照《非常规油气开采污染控制技术规范》（SY∕T 7482-2020）中要求，方井、钻井基础、循环罐区、清洁化操作平台（包括临时堆放区）、应急池、集酸池（集酸沟）、燃烧池、井场隔油池、发电房基础、危废暂存间、柴油罐区、泥浆储备罐区为重点防渗区，</w:t>
            </w:r>
            <w:r>
              <w:rPr>
                <w:rFonts w:hint="eastAsia" w:hAnsi="宋体"/>
                <w:snapToGrid w:val="0"/>
                <w:kern w:val="0"/>
                <w:sz w:val="21"/>
                <w:szCs w:val="21"/>
              </w:rPr>
              <w:t>除重点防渗区之外的井场平台地面、清污分流区域</w:t>
            </w:r>
            <w:r>
              <w:rPr>
                <w:rFonts w:hint="eastAsia"/>
                <w:snapToGrid w:val="0"/>
                <w:kern w:val="0"/>
                <w:sz w:val="21"/>
                <w:szCs w:val="21"/>
              </w:rPr>
              <w:t>为一般防渗区；防渗具体要求见表2-</w:t>
            </w:r>
            <w:r>
              <w:rPr>
                <w:snapToGrid w:val="0"/>
                <w:kern w:val="0"/>
                <w:sz w:val="21"/>
                <w:szCs w:val="21"/>
              </w:rPr>
              <w:t>10</w:t>
            </w:r>
            <w:r>
              <w:rPr>
                <w:rFonts w:hint="eastAsia"/>
                <w:snapToGrid w:val="0"/>
                <w:kern w:val="0"/>
                <w:sz w:val="21"/>
                <w:szCs w:val="21"/>
              </w:rPr>
              <w:t>。</w:t>
            </w:r>
          </w:p>
          <w:p>
            <w:pPr>
              <w:adjustRightInd w:val="0"/>
              <w:snapToGrid w:val="0"/>
              <w:ind w:firstLine="422"/>
              <w:rPr>
                <w:b/>
                <w:snapToGrid w:val="0"/>
                <w:kern w:val="0"/>
                <w:sz w:val="21"/>
                <w:szCs w:val="21"/>
              </w:rPr>
            </w:pPr>
            <w:r>
              <w:rPr>
                <w:rFonts w:hint="eastAsia"/>
                <w:b/>
                <w:snapToGrid w:val="0"/>
                <w:kern w:val="0"/>
                <w:sz w:val="21"/>
                <w:szCs w:val="21"/>
              </w:rPr>
              <w:t>2.5.3跟踪监测</w:t>
            </w:r>
          </w:p>
          <w:p>
            <w:pPr>
              <w:adjustRightInd w:val="0"/>
              <w:snapToGrid w:val="0"/>
              <w:ind w:firstLine="420"/>
              <w:rPr>
                <w:snapToGrid w:val="0"/>
                <w:kern w:val="0"/>
                <w:sz w:val="21"/>
                <w:szCs w:val="21"/>
              </w:rPr>
            </w:pPr>
            <w:r>
              <w:rPr>
                <w:rFonts w:hint="eastAsia" w:ascii="宋体" w:hAnsi="宋体" w:cs="宋体"/>
                <w:bCs/>
                <w:snapToGrid w:val="0"/>
                <w:kern w:val="0"/>
                <w:sz w:val="21"/>
                <w:szCs w:val="21"/>
              </w:rPr>
              <w:t>根据《排污单位自行监测技术指南 总</w:t>
            </w:r>
            <w:r>
              <w:rPr>
                <w:rFonts w:hAnsi="宋体"/>
                <w:bCs/>
                <w:snapToGrid w:val="0"/>
                <w:kern w:val="0"/>
                <w:sz w:val="21"/>
                <w:szCs w:val="21"/>
              </w:rPr>
              <w:t>则》（</w:t>
            </w:r>
            <w:r>
              <w:rPr>
                <w:bCs/>
                <w:snapToGrid w:val="0"/>
                <w:kern w:val="0"/>
                <w:sz w:val="21"/>
                <w:szCs w:val="21"/>
              </w:rPr>
              <w:t>HJ819-2017</w:t>
            </w:r>
            <w:r>
              <w:rPr>
                <w:rFonts w:hAnsi="宋体"/>
                <w:bCs/>
                <w:snapToGrid w:val="0"/>
                <w:kern w:val="0"/>
                <w:sz w:val="21"/>
                <w:szCs w:val="21"/>
              </w:rPr>
              <w:t>）</w:t>
            </w:r>
            <w:r>
              <w:rPr>
                <w:rFonts w:hint="eastAsia" w:hAnsi="宋体"/>
                <w:bCs/>
                <w:snapToGrid w:val="0"/>
                <w:kern w:val="0"/>
                <w:sz w:val="21"/>
                <w:szCs w:val="21"/>
              </w:rPr>
              <w:t>、《排污单位自行监测技术指南陆上石油天然气开采工业》（HJ 1248-2022）、《工业企业土壤和地下水自行监测技术指南（试行）》（HJ1209</w:t>
            </w:r>
            <w:r>
              <w:rPr>
                <w:rFonts w:hAnsi="宋体"/>
                <w:bCs/>
                <w:snapToGrid w:val="0"/>
                <w:kern w:val="0"/>
                <w:sz w:val="21"/>
                <w:szCs w:val="21"/>
              </w:rPr>
              <w:t>-</w:t>
            </w:r>
            <w:r>
              <w:rPr>
                <w:rFonts w:hint="eastAsia" w:hAnsi="宋体"/>
                <w:bCs/>
                <w:snapToGrid w:val="0"/>
                <w:kern w:val="0"/>
                <w:sz w:val="21"/>
                <w:szCs w:val="21"/>
              </w:rPr>
              <w:t>2021）</w:t>
            </w:r>
            <w:r>
              <w:rPr>
                <w:rFonts w:hAnsi="宋体"/>
                <w:bCs/>
                <w:snapToGrid w:val="0"/>
                <w:kern w:val="0"/>
                <w:sz w:val="21"/>
                <w:szCs w:val="21"/>
              </w:rPr>
              <w:t>要求</w:t>
            </w:r>
            <w:r>
              <w:rPr>
                <w:rFonts w:hint="eastAsia"/>
                <w:snapToGrid w:val="0"/>
                <w:kern w:val="0"/>
                <w:sz w:val="21"/>
                <w:szCs w:val="21"/>
              </w:rPr>
              <w:t>，</w:t>
            </w:r>
            <w:r>
              <w:rPr>
                <w:rFonts w:hAnsi="宋体"/>
                <w:bCs/>
                <w:snapToGrid w:val="0"/>
                <w:kern w:val="0"/>
                <w:sz w:val="21"/>
                <w:szCs w:val="21"/>
              </w:rPr>
              <w:t>结合项目污染物特点，制定项目</w:t>
            </w:r>
            <w:r>
              <w:rPr>
                <w:rFonts w:hint="eastAsia" w:hAnsi="宋体"/>
                <w:bCs/>
                <w:snapToGrid w:val="0"/>
                <w:kern w:val="0"/>
                <w:sz w:val="21"/>
                <w:szCs w:val="21"/>
              </w:rPr>
              <w:t>跟踪监测</w:t>
            </w:r>
            <w:r>
              <w:rPr>
                <w:rFonts w:hAnsi="宋体"/>
                <w:bCs/>
                <w:snapToGrid w:val="0"/>
                <w:kern w:val="0"/>
                <w:sz w:val="21"/>
                <w:szCs w:val="21"/>
              </w:rPr>
              <w:t>计划</w:t>
            </w:r>
            <w:r>
              <w:rPr>
                <w:rFonts w:hint="eastAsia"/>
                <w:snapToGrid w:val="0"/>
                <w:kern w:val="0"/>
                <w:sz w:val="21"/>
                <w:szCs w:val="21"/>
              </w:rPr>
              <w:t>。</w:t>
            </w:r>
          </w:p>
          <w:p>
            <w:pPr>
              <w:adjustRightInd w:val="0"/>
              <w:snapToGrid w:val="0"/>
              <w:ind w:firstLine="420"/>
              <w:rPr>
                <w:snapToGrid w:val="0"/>
                <w:kern w:val="0"/>
                <w:sz w:val="21"/>
                <w:szCs w:val="21"/>
              </w:rPr>
            </w:pPr>
            <w:r>
              <w:rPr>
                <w:rFonts w:hint="eastAsia"/>
                <w:snapToGrid w:val="0"/>
                <w:kern w:val="0"/>
                <w:sz w:val="21"/>
                <w:szCs w:val="21"/>
              </w:rPr>
              <w:t>（1）监测点位</w:t>
            </w:r>
          </w:p>
          <w:p>
            <w:pPr>
              <w:adjustRightInd w:val="0"/>
              <w:snapToGrid w:val="0"/>
              <w:ind w:firstLine="420"/>
              <w:rPr>
                <w:snapToGrid w:val="0"/>
                <w:kern w:val="0"/>
                <w:sz w:val="21"/>
                <w:szCs w:val="21"/>
              </w:rPr>
            </w:pPr>
            <w:r>
              <w:rPr>
                <w:rFonts w:hint="eastAsia"/>
                <w:snapToGrid w:val="0"/>
                <w:kern w:val="0"/>
                <w:sz w:val="21"/>
                <w:szCs w:val="21"/>
              </w:rPr>
              <w:t>非正常工况下应急池废水外溢、泄漏可能引起池体周围地下水水质改变。井场附近分散式地下水井分布较多，事故状态下地下水环境风险较大，应制定地下水环境影响跟踪监测计划，以便及时发现问题，采取措施。</w:t>
            </w:r>
          </w:p>
          <w:p>
            <w:pPr>
              <w:adjustRightInd w:val="0"/>
              <w:snapToGrid w:val="0"/>
              <w:ind w:firstLine="420"/>
              <w:rPr>
                <w:snapToGrid w:val="0"/>
                <w:kern w:val="0"/>
                <w:sz w:val="21"/>
                <w:szCs w:val="21"/>
              </w:rPr>
            </w:pPr>
            <w:r>
              <w:rPr>
                <w:rFonts w:hint="eastAsia"/>
                <w:snapToGrid w:val="0"/>
                <w:kern w:val="0"/>
                <w:sz w:val="21"/>
                <w:szCs w:val="21"/>
              </w:rPr>
              <w:t>在项目拟建场地附近设监控点3个，地下水环境监测点位布置见表5-</w:t>
            </w:r>
            <w:r>
              <w:rPr>
                <w:snapToGrid w:val="0"/>
                <w:kern w:val="0"/>
                <w:sz w:val="21"/>
                <w:szCs w:val="21"/>
              </w:rPr>
              <w:t>4</w:t>
            </w:r>
            <w:r>
              <w:rPr>
                <w:rFonts w:hint="eastAsia"/>
                <w:snapToGrid w:val="0"/>
                <w:kern w:val="0"/>
                <w:sz w:val="21"/>
                <w:szCs w:val="21"/>
              </w:rPr>
              <w:t>。</w:t>
            </w:r>
          </w:p>
          <w:p>
            <w:pPr>
              <w:adjustRightInd w:val="0"/>
              <w:snapToGrid w:val="0"/>
              <w:ind w:firstLine="0" w:firstLineChars="0"/>
              <w:jc w:val="center"/>
              <w:rPr>
                <w:b/>
                <w:snapToGrid w:val="0"/>
                <w:kern w:val="0"/>
                <w:sz w:val="21"/>
                <w:szCs w:val="21"/>
              </w:rPr>
            </w:pPr>
            <w:r>
              <w:rPr>
                <w:rFonts w:hint="eastAsia"/>
                <w:b/>
                <w:snapToGrid w:val="0"/>
                <w:kern w:val="0"/>
                <w:sz w:val="21"/>
                <w:szCs w:val="21"/>
              </w:rPr>
              <w:t>表5-</w:t>
            </w:r>
            <w:r>
              <w:rPr>
                <w:b/>
                <w:snapToGrid w:val="0"/>
                <w:kern w:val="0"/>
                <w:sz w:val="21"/>
                <w:szCs w:val="21"/>
              </w:rPr>
              <w:t xml:space="preserve">4  </w:t>
            </w:r>
            <w:r>
              <w:rPr>
                <w:rFonts w:hint="eastAsia"/>
                <w:b/>
                <w:snapToGrid w:val="0"/>
                <w:kern w:val="0"/>
                <w:sz w:val="21"/>
                <w:szCs w:val="21"/>
              </w:rPr>
              <w:t>地下水环境跟踪监测点位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483"/>
              <w:gridCol w:w="2287"/>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Align w:val="center"/>
                </w:tcPr>
                <w:p>
                  <w:pPr>
                    <w:widowControl/>
                    <w:spacing w:line="240" w:lineRule="auto"/>
                    <w:ind w:firstLine="0" w:firstLineChars="0"/>
                    <w:jc w:val="center"/>
                    <w:rPr>
                      <w:b/>
                      <w:bCs/>
                      <w:snapToGrid w:val="0"/>
                      <w:kern w:val="0"/>
                      <w:sz w:val="21"/>
                      <w:szCs w:val="21"/>
                    </w:rPr>
                  </w:pPr>
                  <w:r>
                    <w:rPr>
                      <w:rFonts w:hint="eastAsia" w:hAnsi="宋体"/>
                      <w:b/>
                      <w:bCs/>
                      <w:snapToGrid w:val="0"/>
                      <w:kern w:val="0"/>
                      <w:sz w:val="21"/>
                      <w:szCs w:val="21"/>
                    </w:rPr>
                    <w:t>编号</w:t>
                  </w:r>
                </w:p>
              </w:tc>
              <w:tc>
                <w:tcPr>
                  <w:tcW w:w="2085" w:type="pct"/>
                  <w:vAlign w:val="center"/>
                </w:tcPr>
                <w:p>
                  <w:pPr>
                    <w:spacing w:line="240" w:lineRule="auto"/>
                    <w:ind w:firstLine="0" w:firstLineChars="0"/>
                    <w:jc w:val="center"/>
                    <w:rPr>
                      <w:b/>
                      <w:bCs/>
                      <w:snapToGrid w:val="0"/>
                      <w:kern w:val="0"/>
                      <w:sz w:val="21"/>
                      <w:szCs w:val="21"/>
                    </w:rPr>
                  </w:pPr>
                  <w:r>
                    <w:rPr>
                      <w:rFonts w:hint="eastAsia" w:hAnsi="宋体"/>
                      <w:b/>
                      <w:bCs/>
                      <w:snapToGrid w:val="0"/>
                      <w:kern w:val="0"/>
                      <w:sz w:val="21"/>
                      <w:szCs w:val="21"/>
                    </w:rPr>
                    <w:t>与项目的方位</w:t>
                  </w:r>
                </w:p>
              </w:tc>
              <w:tc>
                <w:tcPr>
                  <w:tcW w:w="1369" w:type="pct"/>
                  <w:vAlign w:val="center"/>
                </w:tcPr>
                <w:p>
                  <w:pPr>
                    <w:spacing w:line="240" w:lineRule="auto"/>
                    <w:ind w:firstLine="0" w:firstLineChars="0"/>
                    <w:jc w:val="center"/>
                    <w:rPr>
                      <w:b/>
                      <w:bCs/>
                      <w:snapToGrid w:val="0"/>
                      <w:kern w:val="0"/>
                      <w:sz w:val="21"/>
                      <w:szCs w:val="21"/>
                    </w:rPr>
                  </w:pPr>
                  <w:r>
                    <w:rPr>
                      <w:rFonts w:hint="eastAsia" w:hAnsi="宋体"/>
                      <w:b/>
                      <w:bCs/>
                      <w:snapToGrid w:val="0"/>
                      <w:kern w:val="0"/>
                      <w:sz w:val="21"/>
                      <w:szCs w:val="21"/>
                    </w:rPr>
                    <w:t>监测点功能</w:t>
                  </w:r>
                </w:p>
              </w:tc>
              <w:tc>
                <w:tcPr>
                  <w:tcW w:w="1115" w:type="pct"/>
                  <w:vAlign w:val="center"/>
                </w:tcPr>
                <w:p>
                  <w:pPr>
                    <w:spacing w:line="240" w:lineRule="auto"/>
                    <w:ind w:firstLine="0" w:firstLineChars="0"/>
                    <w:jc w:val="center"/>
                    <w:rPr>
                      <w:b/>
                      <w:bCs/>
                      <w:snapToGrid w:val="0"/>
                      <w:kern w:val="0"/>
                      <w:sz w:val="21"/>
                      <w:szCs w:val="21"/>
                    </w:rPr>
                  </w:pPr>
                  <w:r>
                    <w:rPr>
                      <w:rFonts w:hint="eastAsia" w:hAnsi="宋体"/>
                      <w:b/>
                      <w:bCs/>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Align w:val="center"/>
                </w:tcPr>
                <w:p>
                  <w:pPr>
                    <w:widowControl/>
                    <w:spacing w:line="240" w:lineRule="auto"/>
                    <w:ind w:firstLine="0" w:firstLineChars="0"/>
                    <w:jc w:val="center"/>
                    <w:rPr>
                      <w:snapToGrid w:val="0"/>
                      <w:kern w:val="0"/>
                      <w:sz w:val="21"/>
                      <w:szCs w:val="21"/>
                    </w:rPr>
                  </w:pPr>
                  <w:r>
                    <w:rPr>
                      <w:snapToGrid w:val="0"/>
                      <w:kern w:val="0"/>
                      <w:sz w:val="21"/>
                      <w:szCs w:val="21"/>
                    </w:rPr>
                    <w:t>1#</w:t>
                  </w:r>
                </w:p>
              </w:tc>
              <w:tc>
                <w:tcPr>
                  <w:tcW w:w="2085"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w:t>
                  </w:r>
                  <w:r>
                    <w:rPr>
                      <w:rFonts w:hint="eastAsia"/>
                      <w:snapToGrid w:val="0"/>
                      <w:kern w:val="0"/>
                      <w:sz w:val="21"/>
                      <w:szCs w:val="21"/>
                    </w:rPr>
                    <w:t>西南侧397m处水井</w:t>
                  </w:r>
                </w:p>
              </w:tc>
              <w:tc>
                <w:tcPr>
                  <w:tcW w:w="1369" w:type="pct"/>
                  <w:vAlign w:val="center"/>
                </w:tcPr>
                <w:p>
                  <w:pPr>
                    <w:widowControl/>
                    <w:spacing w:line="240" w:lineRule="auto"/>
                    <w:ind w:firstLine="0" w:firstLineChars="0"/>
                    <w:jc w:val="center"/>
                    <w:rPr>
                      <w:snapToGrid w:val="0"/>
                      <w:kern w:val="0"/>
                      <w:sz w:val="21"/>
                      <w:szCs w:val="21"/>
                    </w:rPr>
                  </w:pPr>
                  <w:r>
                    <w:rPr>
                      <w:rFonts w:hint="eastAsia" w:hAnsi="宋体"/>
                      <w:snapToGrid w:val="0"/>
                      <w:kern w:val="0"/>
                      <w:sz w:val="21"/>
                      <w:szCs w:val="21"/>
                    </w:rPr>
                    <w:t>背景值监测点</w:t>
                  </w:r>
                </w:p>
              </w:tc>
              <w:tc>
                <w:tcPr>
                  <w:tcW w:w="1115" w:type="pct"/>
                  <w:vAlign w:val="center"/>
                </w:tcPr>
                <w:p>
                  <w:pPr>
                    <w:widowControl/>
                    <w:spacing w:line="240" w:lineRule="auto"/>
                    <w:ind w:firstLine="0" w:firstLineChars="0"/>
                    <w:jc w:val="center"/>
                    <w:rPr>
                      <w:snapToGrid w:val="0"/>
                      <w:kern w:val="0"/>
                      <w:sz w:val="21"/>
                      <w:szCs w:val="21"/>
                    </w:rPr>
                  </w:pPr>
                  <w:r>
                    <w:rPr>
                      <w:rFonts w:hAnsi="宋体"/>
                      <w:snapToGrid w:val="0"/>
                      <w:kern w:val="0"/>
                      <w:sz w:val="21"/>
                      <w:szCs w:val="21"/>
                    </w:rPr>
                    <w:t>地下水上游方向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Align w:val="center"/>
                </w:tcPr>
                <w:p>
                  <w:pPr>
                    <w:widowControl/>
                    <w:spacing w:line="240" w:lineRule="auto"/>
                    <w:ind w:firstLine="0" w:firstLineChars="0"/>
                    <w:jc w:val="center"/>
                    <w:rPr>
                      <w:snapToGrid w:val="0"/>
                      <w:kern w:val="0"/>
                      <w:sz w:val="21"/>
                      <w:szCs w:val="21"/>
                    </w:rPr>
                  </w:pPr>
                  <w:r>
                    <w:rPr>
                      <w:snapToGrid w:val="0"/>
                      <w:kern w:val="0"/>
                      <w:sz w:val="21"/>
                      <w:szCs w:val="21"/>
                    </w:rPr>
                    <w:t>2#</w:t>
                  </w:r>
                </w:p>
              </w:tc>
              <w:tc>
                <w:tcPr>
                  <w:tcW w:w="2085"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w:t>
                  </w:r>
                  <w:r>
                    <w:rPr>
                      <w:rFonts w:hint="eastAsia"/>
                      <w:snapToGrid w:val="0"/>
                      <w:kern w:val="0"/>
                      <w:sz w:val="21"/>
                      <w:szCs w:val="21"/>
                    </w:rPr>
                    <w:t>东南侧2</w:t>
                  </w:r>
                  <w:r>
                    <w:rPr>
                      <w:snapToGrid w:val="0"/>
                      <w:kern w:val="0"/>
                      <w:sz w:val="21"/>
                      <w:szCs w:val="21"/>
                    </w:rPr>
                    <w:t>49m</w:t>
                  </w:r>
                  <w:r>
                    <w:rPr>
                      <w:rFonts w:hint="eastAsia"/>
                      <w:snapToGrid w:val="0"/>
                      <w:kern w:val="0"/>
                      <w:sz w:val="21"/>
                      <w:szCs w:val="21"/>
                    </w:rPr>
                    <w:t>处水井</w:t>
                  </w:r>
                </w:p>
              </w:tc>
              <w:tc>
                <w:tcPr>
                  <w:tcW w:w="1369" w:type="pct"/>
                  <w:vAlign w:val="center"/>
                </w:tcPr>
                <w:p>
                  <w:pPr>
                    <w:widowControl/>
                    <w:spacing w:line="240" w:lineRule="auto"/>
                    <w:ind w:firstLine="0" w:firstLineChars="0"/>
                    <w:jc w:val="center"/>
                    <w:rPr>
                      <w:snapToGrid w:val="0"/>
                      <w:kern w:val="0"/>
                      <w:sz w:val="21"/>
                      <w:szCs w:val="21"/>
                    </w:rPr>
                  </w:pPr>
                  <w:r>
                    <w:rPr>
                      <w:rFonts w:hint="eastAsia" w:hAnsi="宋体"/>
                      <w:snapToGrid w:val="0"/>
                      <w:kern w:val="0"/>
                      <w:sz w:val="21"/>
                      <w:szCs w:val="21"/>
                    </w:rPr>
                    <w:t>污染扩散监测点</w:t>
                  </w:r>
                </w:p>
              </w:tc>
              <w:tc>
                <w:tcPr>
                  <w:tcW w:w="1115" w:type="pct"/>
                  <w:vAlign w:val="center"/>
                </w:tcPr>
                <w:p>
                  <w:pPr>
                    <w:widowControl/>
                    <w:spacing w:line="240" w:lineRule="auto"/>
                    <w:ind w:firstLine="0" w:firstLineChars="0"/>
                    <w:jc w:val="center"/>
                    <w:rPr>
                      <w:snapToGrid w:val="0"/>
                      <w:kern w:val="0"/>
                      <w:sz w:val="21"/>
                      <w:szCs w:val="21"/>
                    </w:rPr>
                  </w:pPr>
                  <w:r>
                    <w:rPr>
                      <w:rFonts w:hAnsi="宋体"/>
                      <w:snapToGrid w:val="0"/>
                      <w:kern w:val="0"/>
                      <w:sz w:val="21"/>
                      <w:szCs w:val="21"/>
                    </w:rPr>
                    <w:t>地下水下游方向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vAlign w:val="center"/>
                </w:tcPr>
                <w:p>
                  <w:pPr>
                    <w:widowControl/>
                    <w:spacing w:line="240" w:lineRule="auto"/>
                    <w:ind w:firstLine="0" w:firstLineChars="0"/>
                    <w:jc w:val="center"/>
                    <w:rPr>
                      <w:snapToGrid w:val="0"/>
                      <w:kern w:val="0"/>
                      <w:sz w:val="21"/>
                      <w:szCs w:val="21"/>
                    </w:rPr>
                  </w:pPr>
                  <w:r>
                    <w:rPr>
                      <w:snapToGrid w:val="0"/>
                      <w:kern w:val="0"/>
                      <w:sz w:val="21"/>
                      <w:szCs w:val="21"/>
                    </w:rPr>
                    <w:t>3#</w:t>
                  </w:r>
                </w:p>
              </w:tc>
              <w:tc>
                <w:tcPr>
                  <w:tcW w:w="2085"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井口东北侧</w:t>
                  </w:r>
                  <w:r>
                    <w:rPr>
                      <w:rFonts w:hint="eastAsia"/>
                      <w:snapToGrid w:val="0"/>
                      <w:kern w:val="0"/>
                      <w:sz w:val="21"/>
                      <w:szCs w:val="21"/>
                    </w:rPr>
                    <w:t>2</w:t>
                  </w:r>
                  <w:r>
                    <w:rPr>
                      <w:snapToGrid w:val="0"/>
                      <w:kern w:val="0"/>
                      <w:sz w:val="21"/>
                      <w:szCs w:val="21"/>
                    </w:rPr>
                    <w:t>25</w:t>
                  </w:r>
                  <w:r>
                    <w:rPr>
                      <w:rFonts w:hint="eastAsia"/>
                      <w:snapToGrid w:val="0"/>
                      <w:kern w:val="0"/>
                      <w:sz w:val="21"/>
                      <w:szCs w:val="21"/>
                    </w:rPr>
                    <w:t>m处水井</w:t>
                  </w:r>
                </w:p>
              </w:tc>
              <w:tc>
                <w:tcPr>
                  <w:tcW w:w="1369" w:type="pct"/>
                  <w:vAlign w:val="center"/>
                </w:tcPr>
                <w:p>
                  <w:pPr>
                    <w:widowControl/>
                    <w:spacing w:line="240" w:lineRule="auto"/>
                    <w:ind w:firstLine="0" w:firstLineChars="0"/>
                    <w:jc w:val="center"/>
                    <w:rPr>
                      <w:snapToGrid w:val="0"/>
                      <w:kern w:val="0"/>
                      <w:sz w:val="21"/>
                      <w:szCs w:val="21"/>
                    </w:rPr>
                  </w:pPr>
                  <w:r>
                    <w:rPr>
                      <w:rFonts w:hint="eastAsia" w:hAnsi="宋体"/>
                      <w:snapToGrid w:val="0"/>
                      <w:kern w:val="0"/>
                      <w:sz w:val="21"/>
                      <w:szCs w:val="21"/>
                    </w:rPr>
                    <w:t>污染扩散监测点</w:t>
                  </w:r>
                </w:p>
              </w:tc>
              <w:tc>
                <w:tcPr>
                  <w:tcW w:w="1115" w:type="pct"/>
                  <w:vAlign w:val="center"/>
                </w:tcPr>
                <w:p>
                  <w:pPr>
                    <w:widowControl/>
                    <w:spacing w:line="240" w:lineRule="auto"/>
                    <w:ind w:firstLine="0" w:firstLineChars="0"/>
                    <w:jc w:val="center"/>
                    <w:rPr>
                      <w:snapToGrid w:val="0"/>
                      <w:kern w:val="0"/>
                      <w:sz w:val="21"/>
                      <w:szCs w:val="21"/>
                    </w:rPr>
                  </w:pPr>
                  <w:r>
                    <w:rPr>
                      <w:rFonts w:hAnsi="宋体"/>
                      <w:snapToGrid w:val="0"/>
                      <w:kern w:val="0"/>
                      <w:sz w:val="21"/>
                      <w:szCs w:val="21"/>
                    </w:rPr>
                    <w:t>地下水下游方向</w:t>
                  </w:r>
                </w:p>
              </w:tc>
            </w:tr>
          </w:tbl>
          <w:p>
            <w:pPr>
              <w:adjustRightInd w:val="0"/>
              <w:snapToGrid w:val="0"/>
              <w:ind w:firstLine="420"/>
              <w:rPr>
                <w:snapToGrid w:val="0"/>
                <w:kern w:val="0"/>
                <w:sz w:val="21"/>
                <w:szCs w:val="21"/>
              </w:rPr>
            </w:pPr>
            <w:r>
              <w:rPr>
                <w:rFonts w:hint="eastAsia"/>
                <w:snapToGrid w:val="0"/>
                <w:kern w:val="0"/>
                <w:sz w:val="21"/>
                <w:szCs w:val="21"/>
              </w:rPr>
              <w:t>（2）监测内容</w:t>
            </w:r>
          </w:p>
          <w:p>
            <w:pPr>
              <w:adjustRightInd w:val="0"/>
              <w:snapToGrid w:val="0"/>
              <w:ind w:firstLine="420"/>
              <w:rPr>
                <w:snapToGrid w:val="0"/>
                <w:kern w:val="0"/>
                <w:sz w:val="21"/>
                <w:szCs w:val="21"/>
              </w:rPr>
            </w:pPr>
            <w:r>
              <w:rPr>
                <w:rFonts w:hint="eastAsia"/>
                <w:snapToGrid w:val="0"/>
                <w:kern w:val="0"/>
                <w:sz w:val="21"/>
                <w:szCs w:val="21"/>
              </w:rPr>
              <w:t>拟建项目地下水跟踪监测项目、频次及监测因子见下表：</w:t>
            </w:r>
          </w:p>
          <w:p>
            <w:pPr>
              <w:adjustRightInd w:val="0"/>
              <w:snapToGrid w:val="0"/>
              <w:ind w:firstLine="0" w:firstLineChars="0"/>
              <w:jc w:val="center"/>
              <w:rPr>
                <w:b/>
                <w:snapToGrid w:val="0"/>
                <w:kern w:val="0"/>
                <w:sz w:val="21"/>
                <w:szCs w:val="21"/>
              </w:rPr>
            </w:pPr>
            <w:r>
              <w:rPr>
                <w:rFonts w:hint="eastAsia"/>
                <w:b/>
                <w:snapToGrid w:val="0"/>
                <w:kern w:val="0"/>
                <w:sz w:val="21"/>
                <w:szCs w:val="21"/>
              </w:rPr>
              <w:t>表5-</w:t>
            </w:r>
            <w:r>
              <w:rPr>
                <w:b/>
                <w:snapToGrid w:val="0"/>
                <w:kern w:val="0"/>
                <w:sz w:val="21"/>
                <w:szCs w:val="21"/>
              </w:rPr>
              <w:t xml:space="preserve">5  </w:t>
            </w:r>
            <w:r>
              <w:rPr>
                <w:rFonts w:hint="eastAsia"/>
                <w:b/>
                <w:snapToGrid w:val="0"/>
                <w:kern w:val="0"/>
                <w:sz w:val="21"/>
                <w:szCs w:val="21"/>
              </w:rPr>
              <w:t>地下水跟踪监测项目、频次及监测因子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2132"/>
              <w:gridCol w:w="1363"/>
              <w:gridCol w:w="3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22" w:type="dxa"/>
                  <w:vAlign w:val="center"/>
                </w:tcPr>
                <w:p>
                  <w:pPr>
                    <w:spacing w:line="240" w:lineRule="auto"/>
                    <w:ind w:firstLine="0" w:firstLineChars="0"/>
                    <w:jc w:val="center"/>
                    <w:rPr>
                      <w:bCs/>
                      <w:snapToGrid w:val="0"/>
                      <w:kern w:val="0"/>
                      <w:sz w:val="21"/>
                      <w:szCs w:val="21"/>
                    </w:rPr>
                  </w:pPr>
                  <w:r>
                    <w:rPr>
                      <w:rFonts w:hint="eastAsia" w:hAnsi="宋体"/>
                      <w:bCs/>
                      <w:snapToGrid w:val="0"/>
                      <w:kern w:val="0"/>
                      <w:sz w:val="21"/>
                      <w:szCs w:val="21"/>
                    </w:rPr>
                    <w:t>监测阶段</w:t>
                  </w:r>
                </w:p>
              </w:tc>
              <w:tc>
                <w:tcPr>
                  <w:tcW w:w="2229" w:type="dxa"/>
                  <w:vAlign w:val="center"/>
                </w:tcPr>
                <w:p>
                  <w:pPr>
                    <w:spacing w:line="240" w:lineRule="auto"/>
                    <w:ind w:firstLine="0" w:firstLineChars="0"/>
                    <w:jc w:val="center"/>
                    <w:rPr>
                      <w:bCs/>
                      <w:snapToGrid w:val="0"/>
                      <w:kern w:val="0"/>
                      <w:sz w:val="21"/>
                      <w:szCs w:val="21"/>
                    </w:rPr>
                  </w:pPr>
                  <w:r>
                    <w:rPr>
                      <w:rFonts w:hint="eastAsia" w:hAnsi="宋体"/>
                      <w:bCs/>
                      <w:snapToGrid w:val="0"/>
                      <w:kern w:val="0"/>
                      <w:sz w:val="21"/>
                      <w:szCs w:val="21"/>
                    </w:rPr>
                    <w:t>监测时段</w:t>
                  </w:r>
                </w:p>
              </w:tc>
              <w:tc>
                <w:tcPr>
                  <w:tcW w:w="1410" w:type="dxa"/>
                  <w:vAlign w:val="center"/>
                </w:tcPr>
                <w:p>
                  <w:pPr>
                    <w:spacing w:line="240" w:lineRule="auto"/>
                    <w:ind w:firstLine="0" w:firstLineChars="0"/>
                    <w:jc w:val="center"/>
                    <w:rPr>
                      <w:bCs/>
                      <w:snapToGrid w:val="0"/>
                      <w:kern w:val="0"/>
                      <w:sz w:val="21"/>
                      <w:szCs w:val="21"/>
                    </w:rPr>
                  </w:pPr>
                  <w:r>
                    <w:rPr>
                      <w:rFonts w:hint="eastAsia" w:hAnsi="宋体"/>
                      <w:bCs/>
                      <w:snapToGrid w:val="0"/>
                      <w:kern w:val="0"/>
                      <w:sz w:val="21"/>
                      <w:szCs w:val="21"/>
                    </w:rPr>
                    <w:t>监测频率</w:t>
                  </w:r>
                </w:p>
              </w:tc>
              <w:tc>
                <w:tcPr>
                  <w:tcW w:w="3858" w:type="dxa"/>
                  <w:vAlign w:val="center"/>
                </w:tcPr>
                <w:p>
                  <w:pPr>
                    <w:spacing w:line="240" w:lineRule="auto"/>
                    <w:ind w:firstLine="0" w:firstLineChars="0"/>
                    <w:jc w:val="center"/>
                    <w:rPr>
                      <w:bCs/>
                      <w:snapToGrid w:val="0"/>
                      <w:kern w:val="0"/>
                      <w:sz w:val="21"/>
                      <w:szCs w:val="21"/>
                    </w:rPr>
                  </w:pPr>
                  <w:r>
                    <w:rPr>
                      <w:rFonts w:hint="eastAsia" w:hAnsi="宋体"/>
                      <w:bCs/>
                      <w:snapToGrid w:val="0"/>
                      <w:kern w:val="0"/>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22" w:type="dxa"/>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钻井期</w:t>
                  </w:r>
                </w:p>
              </w:tc>
              <w:tc>
                <w:tcPr>
                  <w:tcW w:w="2229" w:type="dxa"/>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钻井过程中发生地下水污染或投诉时监测，完钻验收监测1次</w:t>
                  </w:r>
                </w:p>
              </w:tc>
              <w:tc>
                <w:tcPr>
                  <w:tcW w:w="1410" w:type="dxa"/>
                  <w:vAlign w:val="center"/>
                </w:tcPr>
                <w:p>
                  <w:pPr>
                    <w:spacing w:line="240" w:lineRule="auto"/>
                    <w:ind w:firstLine="0" w:firstLineChars="0"/>
                    <w:jc w:val="center"/>
                    <w:rPr>
                      <w:snapToGrid w:val="0"/>
                      <w:kern w:val="0"/>
                      <w:sz w:val="21"/>
                      <w:szCs w:val="21"/>
                    </w:rPr>
                  </w:pPr>
                  <w:r>
                    <w:rPr>
                      <w:rFonts w:hint="eastAsia" w:hAnsi="宋体"/>
                      <w:snapToGrid w:val="0"/>
                      <w:kern w:val="0"/>
                      <w:sz w:val="21"/>
                      <w:szCs w:val="21"/>
                    </w:rPr>
                    <w:t>每次监测</w:t>
                  </w:r>
                  <w:r>
                    <w:rPr>
                      <w:snapToGrid w:val="0"/>
                      <w:kern w:val="0"/>
                      <w:sz w:val="21"/>
                      <w:szCs w:val="21"/>
                    </w:rPr>
                    <w:t>1</w:t>
                  </w:r>
                  <w:r>
                    <w:rPr>
                      <w:rFonts w:hint="eastAsia" w:hAnsi="宋体"/>
                      <w:snapToGrid w:val="0"/>
                      <w:kern w:val="0"/>
                      <w:sz w:val="21"/>
                      <w:szCs w:val="21"/>
                    </w:rPr>
                    <w:t>天，每天采样1次</w:t>
                  </w:r>
                </w:p>
              </w:tc>
              <w:tc>
                <w:tcPr>
                  <w:tcW w:w="3858" w:type="dxa"/>
                  <w:vAlign w:val="center"/>
                </w:tcPr>
                <w:p>
                  <w:pPr>
                    <w:spacing w:line="240" w:lineRule="auto"/>
                    <w:ind w:firstLine="0" w:firstLineChars="0"/>
                    <w:jc w:val="center"/>
                    <w:rPr>
                      <w:snapToGrid w:val="0"/>
                      <w:kern w:val="0"/>
                      <w:sz w:val="21"/>
                      <w:szCs w:val="21"/>
                    </w:rPr>
                  </w:pPr>
                  <w:r>
                    <w:rPr>
                      <w:sz w:val="21"/>
                    </w:rPr>
                    <w:t>pH、氨氮、硝酸盐、</w:t>
                  </w:r>
                  <w:r>
                    <w:rPr>
                      <w:rFonts w:hint="eastAsia"/>
                      <w:sz w:val="21"/>
                    </w:rPr>
                    <w:t>亚硝酸盐</w:t>
                  </w:r>
                  <w:r>
                    <w:rPr>
                      <w:sz w:val="21"/>
                    </w:rPr>
                    <w:t>、挥发性酚类、氰化物、砷、汞、铬（六价）</w:t>
                  </w:r>
                  <w:r>
                    <w:rPr>
                      <w:rFonts w:hint="eastAsia"/>
                      <w:sz w:val="21"/>
                    </w:rPr>
                    <w:t>、</w:t>
                  </w:r>
                  <w:r>
                    <w:rPr>
                      <w:sz w:val="21"/>
                    </w:rPr>
                    <w:t>总硬度、铁、锰、溶解性总固体、耗氧量、总大肠菌群、</w:t>
                  </w:r>
                  <w:r>
                    <w:rPr>
                      <w:rFonts w:hint="eastAsia"/>
                      <w:sz w:val="21"/>
                    </w:rPr>
                    <w:t>菌落</w:t>
                  </w:r>
                  <w:r>
                    <w:rPr>
                      <w:sz w:val="21"/>
                    </w:rPr>
                    <w:t>总数、石油类、硫化物、</w:t>
                  </w:r>
                  <w:r>
                    <w:rPr>
                      <w:rFonts w:hint="eastAsia"/>
                      <w:sz w:val="21"/>
                    </w:rPr>
                    <w:t>镉、氟化物、铅、</w:t>
                  </w:r>
                  <w:r>
                    <w:rPr>
                      <w:sz w:val="21"/>
                    </w:rPr>
                    <w:t>钡、K</w:t>
                  </w:r>
                  <w:r>
                    <w:rPr>
                      <w:sz w:val="21"/>
                      <w:vertAlign w:val="superscript"/>
                    </w:rPr>
                    <w:t>+</w:t>
                  </w:r>
                  <w:r>
                    <w:rPr>
                      <w:sz w:val="21"/>
                    </w:rPr>
                    <w:t>、Na</w:t>
                  </w:r>
                  <w:r>
                    <w:rPr>
                      <w:sz w:val="21"/>
                      <w:vertAlign w:val="superscript"/>
                    </w:rPr>
                    <w:t>+</w:t>
                  </w:r>
                  <w:r>
                    <w:rPr>
                      <w:sz w:val="21"/>
                    </w:rPr>
                    <w:t>、Ca</w:t>
                  </w:r>
                  <w:r>
                    <w:rPr>
                      <w:sz w:val="21"/>
                      <w:vertAlign w:val="superscript"/>
                    </w:rPr>
                    <w:t>2+</w:t>
                  </w:r>
                  <w:r>
                    <w:rPr>
                      <w:sz w:val="21"/>
                    </w:rPr>
                    <w:t>、Mg</w:t>
                  </w:r>
                  <w:r>
                    <w:rPr>
                      <w:sz w:val="21"/>
                      <w:vertAlign w:val="superscript"/>
                    </w:rPr>
                    <w:t>2+</w:t>
                  </w:r>
                  <w:r>
                    <w:rPr>
                      <w:sz w:val="21"/>
                    </w:rPr>
                    <w:t>、CO</w:t>
                  </w:r>
                  <w:r>
                    <w:rPr>
                      <w:sz w:val="21"/>
                      <w:vertAlign w:val="subscript"/>
                    </w:rPr>
                    <w:t>3</w:t>
                  </w:r>
                  <w:r>
                    <w:rPr>
                      <w:sz w:val="21"/>
                      <w:vertAlign w:val="superscript"/>
                    </w:rPr>
                    <w:t>2-</w:t>
                  </w:r>
                  <w:r>
                    <w:rPr>
                      <w:sz w:val="21"/>
                    </w:rPr>
                    <w:t>、HCO</w:t>
                  </w:r>
                  <w:r>
                    <w:rPr>
                      <w:sz w:val="21"/>
                      <w:vertAlign w:val="subscript"/>
                    </w:rPr>
                    <w:t>3</w:t>
                  </w:r>
                  <w:r>
                    <w:rPr>
                      <w:sz w:val="21"/>
                      <w:vertAlign w:val="superscript"/>
                    </w:rPr>
                    <w:t>-</w:t>
                  </w:r>
                  <w:r>
                    <w:rPr>
                      <w:sz w:val="21"/>
                    </w:rPr>
                    <w:t>、Cl</w:t>
                  </w:r>
                  <w:r>
                    <w:rPr>
                      <w:sz w:val="21"/>
                      <w:vertAlign w:val="superscript"/>
                    </w:rPr>
                    <w:t>-</w:t>
                  </w:r>
                  <w:r>
                    <w:rPr>
                      <w:sz w:val="21"/>
                    </w:rPr>
                    <w:t>、SO</w:t>
                  </w:r>
                  <w:r>
                    <w:rPr>
                      <w:sz w:val="21"/>
                      <w:vertAlign w:val="subscript"/>
                    </w:rPr>
                    <w:t>4</w:t>
                  </w:r>
                  <w:r>
                    <w:rPr>
                      <w:sz w:val="21"/>
                      <w:vertAlign w:val="superscript"/>
                    </w:rPr>
                    <w:t>2-</w:t>
                  </w:r>
                </w:p>
              </w:tc>
            </w:tr>
          </w:tbl>
          <w:p>
            <w:pPr>
              <w:adjustRightInd w:val="0"/>
              <w:snapToGrid w:val="0"/>
              <w:ind w:firstLine="360"/>
              <w:rPr>
                <w:snapToGrid w:val="0"/>
                <w:kern w:val="0"/>
                <w:sz w:val="18"/>
                <w:szCs w:val="18"/>
              </w:rPr>
            </w:pPr>
            <w:r>
              <w:rPr>
                <w:rFonts w:hint="eastAsia"/>
                <w:snapToGrid w:val="0"/>
                <w:kern w:val="0"/>
                <w:sz w:val="18"/>
                <w:szCs w:val="18"/>
              </w:rPr>
              <w:t>注：如遇到特殊情况或发生污染事故，可能影响地下水水质时，可根据实际情况增加采样监测频次。</w:t>
            </w:r>
          </w:p>
          <w:p>
            <w:pPr>
              <w:adjustRightInd w:val="0"/>
              <w:snapToGrid w:val="0"/>
              <w:ind w:firstLine="420"/>
              <w:rPr>
                <w:snapToGrid w:val="0"/>
                <w:kern w:val="0"/>
                <w:sz w:val="21"/>
                <w:szCs w:val="21"/>
              </w:rPr>
            </w:pPr>
            <w:r>
              <w:rPr>
                <w:rFonts w:hint="eastAsia"/>
                <w:snapToGrid w:val="0"/>
                <w:kern w:val="0"/>
                <w:sz w:val="21"/>
                <w:szCs w:val="21"/>
              </w:rPr>
              <w:t>（3）数据管理</w:t>
            </w:r>
          </w:p>
          <w:p>
            <w:pPr>
              <w:adjustRightInd w:val="0"/>
              <w:snapToGrid w:val="0"/>
              <w:ind w:firstLine="420"/>
              <w:rPr>
                <w:snapToGrid w:val="0"/>
                <w:kern w:val="0"/>
                <w:sz w:val="21"/>
                <w:szCs w:val="21"/>
              </w:rPr>
            </w:pPr>
            <w:r>
              <w:rPr>
                <w:rFonts w:hint="eastAsia"/>
                <w:snapToGrid w:val="0"/>
                <w:kern w:val="0"/>
                <w:sz w:val="21"/>
                <w:szCs w:val="21"/>
              </w:rPr>
              <w:t>建设单位应按相关规定妥善保存监测数据。如发现异常或发生事故，加密监测频次，并根据污染物特征增加监测项目，并分析污染原因，确定泄漏污染源，及时采取应急措施。建设单位应建立完善的质量管理体系，实现“质量、安全、环境”三位一体的全面质量管理目标。设立地下水动态监测小组，负责对地下水环境监测和管理，或者委托专业的资质机构完成。建立有关规章制度和岗位责任制。制定风险预警方案，设立应急设施减少环境污染影响。</w:t>
            </w:r>
          </w:p>
          <w:p>
            <w:pPr>
              <w:adjustRightInd w:val="0"/>
              <w:snapToGrid w:val="0"/>
              <w:ind w:firstLine="422"/>
              <w:rPr>
                <w:b/>
                <w:snapToGrid w:val="0"/>
                <w:kern w:val="0"/>
                <w:sz w:val="21"/>
                <w:szCs w:val="21"/>
              </w:rPr>
            </w:pPr>
            <w:r>
              <w:rPr>
                <w:rFonts w:hint="eastAsia"/>
                <w:b/>
                <w:snapToGrid w:val="0"/>
                <w:kern w:val="0"/>
                <w:sz w:val="21"/>
                <w:szCs w:val="21"/>
              </w:rPr>
              <w:t>2.5.4地下水环境管理措施</w:t>
            </w:r>
          </w:p>
          <w:p>
            <w:pPr>
              <w:adjustRightInd w:val="0"/>
              <w:snapToGrid w:val="0"/>
              <w:ind w:firstLine="420"/>
              <w:rPr>
                <w:snapToGrid w:val="0"/>
                <w:kern w:val="0"/>
                <w:sz w:val="21"/>
                <w:szCs w:val="21"/>
              </w:rPr>
            </w:pPr>
            <w:r>
              <w:rPr>
                <w:rFonts w:hint="eastAsia"/>
                <w:snapToGrid w:val="0"/>
                <w:kern w:val="0"/>
                <w:sz w:val="21"/>
                <w:szCs w:val="21"/>
              </w:rPr>
              <w:t>（1）加强各类废水收集、暂存、处理及运输过程中的环境管理，并实施全过程监控，禁止违法违规排放，引发环境污染与纠纷。</w:t>
            </w:r>
          </w:p>
          <w:p>
            <w:pPr>
              <w:adjustRightInd w:val="0"/>
              <w:snapToGrid w:val="0"/>
              <w:ind w:firstLine="420"/>
              <w:rPr>
                <w:snapToGrid w:val="0"/>
                <w:kern w:val="0"/>
                <w:sz w:val="21"/>
                <w:szCs w:val="21"/>
              </w:rPr>
            </w:pPr>
            <w:r>
              <w:rPr>
                <w:rFonts w:hint="eastAsia"/>
                <w:snapToGrid w:val="0"/>
                <w:kern w:val="0"/>
                <w:sz w:val="21"/>
                <w:szCs w:val="21"/>
              </w:rPr>
              <w:t>（2）针对井场各存储池和存储罐，必须按下列要求进行管理：</w:t>
            </w:r>
          </w:p>
          <w:p>
            <w:pPr>
              <w:adjustRightInd w:val="0"/>
              <w:snapToGrid w:val="0"/>
              <w:ind w:firstLine="420"/>
              <w:rPr>
                <w:snapToGrid w:val="0"/>
                <w:kern w:val="0"/>
                <w:sz w:val="21"/>
                <w:szCs w:val="21"/>
              </w:rPr>
            </w:pPr>
            <w:r>
              <w:rPr>
                <w:rFonts w:hint="eastAsia"/>
                <w:snapToGrid w:val="0"/>
                <w:kern w:val="0"/>
                <w:sz w:val="21"/>
                <w:szCs w:val="21"/>
              </w:rPr>
              <w:t>①应严格按工程设计进行施工，确保各类罐体和池体有足够的容积满足工程建设的需要，应留有一定的富裕容量，以容纳暴雨增加的水量，防止废水外溢。</w:t>
            </w:r>
          </w:p>
          <w:p>
            <w:pPr>
              <w:adjustRightInd w:val="0"/>
              <w:snapToGrid w:val="0"/>
              <w:ind w:firstLine="420"/>
              <w:rPr>
                <w:snapToGrid w:val="0"/>
                <w:kern w:val="0"/>
                <w:sz w:val="21"/>
                <w:szCs w:val="21"/>
              </w:rPr>
            </w:pPr>
            <w:r>
              <w:rPr>
                <w:rFonts w:hint="eastAsia"/>
                <w:snapToGrid w:val="0"/>
                <w:kern w:val="0"/>
                <w:sz w:val="21"/>
                <w:szCs w:val="21"/>
              </w:rPr>
              <w:t>②对井场临时储存的废水进行及时转运，减少储存周期，降低外溢风险，特别在汛期来临前，要腾空应急池。</w:t>
            </w:r>
          </w:p>
          <w:p>
            <w:pPr>
              <w:adjustRightInd w:val="0"/>
              <w:snapToGrid w:val="0"/>
              <w:ind w:firstLine="420"/>
              <w:rPr>
                <w:snapToGrid w:val="0"/>
                <w:kern w:val="0"/>
                <w:sz w:val="21"/>
                <w:szCs w:val="21"/>
              </w:rPr>
            </w:pPr>
            <w:r>
              <w:rPr>
                <w:rFonts w:hint="eastAsia"/>
                <w:snapToGrid w:val="0"/>
                <w:kern w:val="0"/>
                <w:sz w:val="21"/>
                <w:szCs w:val="21"/>
              </w:rPr>
              <w:t>③为避免突降大雨引起雨水进入应急池，从而引发废水外溢，应在雨季对废水池加盖防雨蓬布或架设雨蓬。在暴雨季节，加强巡查，降低废水外溢的风险。</w:t>
            </w:r>
          </w:p>
          <w:p>
            <w:pPr>
              <w:adjustRightInd w:val="0"/>
              <w:snapToGrid w:val="0"/>
              <w:ind w:firstLine="420"/>
              <w:rPr>
                <w:snapToGrid w:val="0"/>
                <w:kern w:val="0"/>
                <w:sz w:val="21"/>
                <w:szCs w:val="21"/>
              </w:rPr>
            </w:pPr>
            <w:r>
              <w:rPr>
                <w:rFonts w:hint="eastAsia"/>
                <w:snapToGrid w:val="0"/>
                <w:kern w:val="0"/>
                <w:sz w:val="21"/>
                <w:szCs w:val="21"/>
              </w:rPr>
              <w:t>④现场应设兼职人员进行监督管理，重点是监督各项环保措施的落实情况，确保废水不外溢和渗漏。</w:t>
            </w:r>
          </w:p>
          <w:p>
            <w:pPr>
              <w:adjustRightInd w:val="0"/>
              <w:snapToGrid w:val="0"/>
              <w:ind w:firstLine="420"/>
              <w:rPr>
                <w:snapToGrid w:val="0"/>
                <w:kern w:val="0"/>
                <w:sz w:val="21"/>
                <w:szCs w:val="21"/>
              </w:rPr>
            </w:pPr>
            <w:r>
              <w:rPr>
                <w:rFonts w:hint="eastAsia"/>
                <w:snapToGrid w:val="0"/>
                <w:kern w:val="0"/>
                <w:sz w:val="21"/>
                <w:szCs w:val="21"/>
              </w:rPr>
              <w:t>⑤各类储备罐（废水储罐、泥浆储罐、柴油储罐）均采用防渗罐体，泥浆储罐、柴油储罐为架空式放置，加强日常监管，一旦有物料泄漏，可及时发现并采取应急措施。</w:t>
            </w:r>
          </w:p>
          <w:p>
            <w:pPr>
              <w:adjustRightInd w:val="0"/>
              <w:snapToGrid w:val="0"/>
              <w:ind w:firstLine="420"/>
              <w:rPr>
                <w:snapToGrid w:val="0"/>
                <w:kern w:val="0"/>
                <w:sz w:val="21"/>
                <w:szCs w:val="21"/>
              </w:rPr>
            </w:pPr>
            <w:r>
              <w:rPr>
                <w:rFonts w:hint="eastAsia"/>
                <w:snapToGrid w:val="0"/>
                <w:kern w:val="0"/>
                <w:sz w:val="21"/>
                <w:szCs w:val="21"/>
              </w:rPr>
              <w:t>（3）严格执行废水转运“三联单”制度（即出站单据、进站单据和接收量单据），运输车辆安装GPS，确保废水运输工程的安全性。</w:t>
            </w:r>
          </w:p>
          <w:p>
            <w:pPr>
              <w:adjustRightInd w:val="0"/>
              <w:snapToGrid w:val="0"/>
              <w:ind w:firstLine="422"/>
              <w:rPr>
                <w:b/>
                <w:snapToGrid w:val="0"/>
                <w:kern w:val="0"/>
                <w:sz w:val="21"/>
                <w:szCs w:val="21"/>
              </w:rPr>
            </w:pPr>
            <w:r>
              <w:rPr>
                <w:rFonts w:hint="eastAsia"/>
                <w:b/>
                <w:snapToGrid w:val="0"/>
                <w:kern w:val="0"/>
                <w:sz w:val="21"/>
                <w:szCs w:val="21"/>
              </w:rPr>
              <w:t>2.5.5环境影响应急预案</w:t>
            </w:r>
          </w:p>
          <w:p>
            <w:pPr>
              <w:adjustRightInd w:val="0"/>
              <w:snapToGrid w:val="0"/>
              <w:ind w:firstLine="420"/>
              <w:rPr>
                <w:snapToGrid w:val="0"/>
                <w:kern w:val="0"/>
                <w:sz w:val="21"/>
                <w:szCs w:val="21"/>
              </w:rPr>
            </w:pPr>
            <w:r>
              <w:rPr>
                <w:rFonts w:hint="eastAsia"/>
                <w:snapToGrid w:val="0"/>
                <w:kern w:val="0"/>
                <w:sz w:val="21"/>
                <w:szCs w:val="21"/>
              </w:rPr>
              <w:t>发生地下水环境风险事故时，应急预案详见风险措施。</w:t>
            </w:r>
          </w:p>
          <w:p>
            <w:pPr>
              <w:adjustRightInd w:val="0"/>
              <w:snapToGrid w:val="0"/>
              <w:ind w:firstLine="422"/>
              <w:rPr>
                <w:b/>
                <w:bCs/>
                <w:snapToGrid w:val="0"/>
                <w:kern w:val="0"/>
                <w:sz w:val="21"/>
                <w:szCs w:val="21"/>
              </w:rPr>
            </w:pPr>
            <w:r>
              <w:rPr>
                <w:rFonts w:hint="eastAsia"/>
                <w:b/>
                <w:bCs/>
                <w:snapToGrid w:val="0"/>
                <w:kern w:val="0"/>
                <w:sz w:val="21"/>
                <w:szCs w:val="21"/>
              </w:rPr>
              <w:t>工程采取以上措施后，在一定程度上可以避免污染地下水，措施可行。</w:t>
            </w:r>
          </w:p>
          <w:p>
            <w:pPr>
              <w:adjustRightInd w:val="0"/>
              <w:snapToGrid w:val="0"/>
              <w:ind w:firstLine="0" w:firstLineChars="0"/>
              <w:rPr>
                <w:b/>
                <w:bCs/>
                <w:snapToGrid w:val="0"/>
                <w:kern w:val="0"/>
                <w:sz w:val="21"/>
                <w:szCs w:val="21"/>
              </w:rPr>
            </w:pPr>
            <w:r>
              <w:rPr>
                <w:rFonts w:hint="eastAsia"/>
                <w:b/>
                <w:bCs/>
                <w:snapToGrid w:val="0"/>
                <w:kern w:val="0"/>
                <w:sz w:val="21"/>
                <w:szCs w:val="21"/>
              </w:rPr>
              <w:t>2.6土壤防治措施</w:t>
            </w:r>
          </w:p>
          <w:p>
            <w:pPr>
              <w:adjustRightInd w:val="0"/>
              <w:snapToGrid w:val="0"/>
              <w:ind w:firstLine="420"/>
              <w:rPr>
                <w:bCs/>
                <w:snapToGrid w:val="0"/>
                <w:kern w:val="0"/>
                <w:sz w:val="21"/>
                <w:szCs w:val="21"/>
              </w:rPr>
            </w:pPr>
            <w:r>
              <w:rPr>
                <w:rFonts w:hint="eastAsia"/>
                <w:bCs/>
                <w:snapToGrid w:val="0"/>
                <w:kern w:val="0"/>
                <w:sz w:val="21"/>
                <w:szCs w:val="21"/>
              </w:rPr>
              <w:t>（1）油品或柴油泄漏风险防范措施</w:t>
            </w:r>
          </w:p>
          <w:p>
            <w:pPr>
              <w:adjustRightInd w:val="0"/>
              <w:snapToGrid w:val="0"/>
              <w:ind w:firstLine="420"/>
              <w:rPr>
                <w:bCs/>
                <w:snapToGrid w:val="0"/>
                <w:kern w:val="0"/>
                <w:sz w:val="21"/>
                <w:szCs w:val="21"/>
              </w:rPr>
            </w:pPr>
            <w:r>
              <w:rPr>
                <w:rFonts w:hint="eastAsia"/>
                <w:bCs/>
                <w:snapToGrid w:val="0"/>
                <w:kern w:val="0"/>
                <w:sz w:val="21"/>
                <w:szCs w:val="21"/>
              </w:rPr>
              <w:t>A、加强对柴油的储存管理，应采取减少油品蒸发、防止形成爆炸性油品混合物的一次防护措施。工程采用柴油罐对柴油进行储存，确保呼吸阀、测量孔、接地装置等附件完整可靠，防止油蒸气的产生和积聚。</w:t>
            </w:r>
          </w:p>
          <w:p>
            <w:pPr>
              <w:adjustRightInd w:val="0"/>
              <w:snapToGrid w:val="0"/>
              <w:ind w:firstLine="420"/>
              <w:rPr>
                <w:bCs/>
                <w:snapToGrid w:val="0"/>
                <w:kern w:val="0"/>
                <w:sz w:val="21"/>
                <w:szCs w:val="21"/>
              </w:rPr>
            </w:pPr>
            <w:r>
              <w:rPr>
                <w:rFonts w:hint="eastAsia"/>
                <w:bCs/>
                <w:snapToGrid w:val="0"/>
                <w:kern w:val="0"/>
                <w:sz w:val="21"/>
                <w:szCs w:val="21"/>
              </w:rPr>
              <w:t>B、油罐区设置有围堰，高约0.3m，可防止油罐破损泄漏的柴油污染地表土壤、地表水等。油罐区使用前底部及墙体内侧进行防渗处理。</w:t>
            </w:r>
          </w:p>
          <w:p>
            <w:pPr>
              <w:adjustRightInd w:val="0"/>
              <w:snapToGrid w:val="0"/>
              <w:ind w:firstLine="420"/>
              <w:rPr>
                <w:bCs/>
                <w:snapToGrid w:val="0"/>
                <w:kern w:val="0"/>
                <w:sz w:val="21"/>
                <w:szCs w:val="21"/>
              </w:rPr>
            </w:pPr>
            <w:r>
              <w:rPr>
                <w:rFonts w:hint="eastAsia"/>
                <w:bCs/>
                <w:snapToGrid w:val="0"/>
                <w:kern w:val="0"/>
                <w:sz w:val="21"/>
                <w:szCs w:val="21"/>
              </w:rPr>
              <w:t>C、加强柴油罐、废油桶的维护保养，避免油类、柴油泄漏。</w:t>
            </w:r>
          </w:p>
          <w:p>
            <w:pPr>
              <w:adjustRightInd w:val="0"/>
              <w:snapToGrid w:val="0"/>
              <w:ind w:firstLine="420"/>
              <w:rPr>
                <w:bCs/>
                <w:snapToGrid w:val="0"/>
                <w:kern w:val="0"/>
                <w:sz w:val="21"/>
                <w:szCs w:val="21"/>
              </w:rPr>
            </w:pPr>
            <w:r>
              <w:rPr>
                <w:rFonts w:hint="eastAsia"/>
                <w:bCs/>
                <w:snapToGrid w:val="0"/>
                <w:kern w:val="0"/>
                <w:sz w:val="21"/>
                <w:szCs w:val="21"/>
              </w:rPr>
              <w:t>D、油罐</w:t>
            </w:r>
            <w:r>
              <w:rPr>
                <w:rFonts w:hint="eastAsia"/>
                <w:snapToGrid w:val="0"/>
                <w:kern w:val="0"/>
                <w:sz w:val="21"/>
                <w:szCs w:val="21"/>
              </w:rPr>
              <w:t>采用防渗罐体</w:t>
            </w:r>
            <w:r>
              <w:rPr>
                <w:rFonts w:hint="eastAsia"/>
                <w:bCs/>
                <w:snapToGrid w:val="0"/>
                <w:kern w:val="0"/>
                <w:sz w:val="21"/>
                <w:szCs w:val="21"/>
              </w:rPr>
              <w:t>；对罐体设置围堰其可以降低渗漏的风险。</w:t>
            </w:r>
          </w:p>
          <w:p>
            <w:pPr>
              <w:adjustRightInd w:val="0"/>
              <w:snapToGrid w:val="0"/>
              <w:ind w:firstLine="420"/>
              <w:rPr>
                <w:bCs/>
                <w:snapToGrid w:val="0"/>
                <w:kern w:val="0"/>
                <w:sz w:val="21"/>
                <w:szCs w:val="21"/>
              </w:rPr>
            </w:pPr>
            <w:r>
              <w:rPr>
                <w:rFonts w:hint="eastAsia"/>
                <w:bCs/>
                <w:snapToGrid w:val="0"/>
                <w:kern w:val="0"/>
                <w:sz w:val="21"/>
                <w:szCs w:val="21"/>
              </w:rPr>
              <w:t>（2）应急池中废水泄漏风险防范措施</w:t>
            </w:r>
          </w:p>
          <w:p>
            <w:pPr>
              <w:adjustRightInd w:val="0"/>
              <w:snapToGrid w:val="0"/>
              <w:ind w:firstLine="420"/>
              <w:rPr>
                <w:bCs/>
                <w:snapToGrid w:val="0"/>
                <w:kern w:val="0"/>
                <w:sz w:val="21"/>
                <w:szCs w:val="21"/>
              </w:rPr>
            </w:pPr>
            <w:r>
              <w:rPr>
                <w:rFonts w:hint="eastAsia"/>
                <w:bCs/>
                <w:snapToGrid w:val="0"/>
                <w:kern w:val="0"/>
                <w:sz w:val="21"/>
                <w:szCs w:val="21"/>
              </w:rPr>
              <w:t>A、为防止应急池垮塌，应急池选址避开不良地质或岩土松散的地段等地质结构不稳定的地方，从选址入手防范废水泄漏。</w:t>
            </w:r>
          </w:p>
          <w:p>
            <w:pPr>
              <w:adjustRightInd w:val="0"/>
              <w:snapToGrid w:val="0"/>
              <w:ind w:firstLine="420"/>
              <w:rPr>
                <w:bCs/>
                <w:snapToGrid w:val="0"/>
                <w:kern w:val="0"/>
                <w:sz w:val="21"/>
                <w:szCs w:val="21"/>
              </w:rPr>
            </w:pPr>
            <w:r>
              <w:rPr>
                <w:rFonts w:hint="eastAsia"/>
                <w:bCs/>
                <w:snapToGrid w:val="0"/>
                <w:kern w:val="0"/>
                <w:sz w:val="21"/>
                <w:szCs w:val="21"/>
              </w:rPr>
              <w:t>B、按相关要求规定对应急池进行重点防渗处理。</w:t>
            </w:r>
          </w:p>
          <w:p>
            <w:pPr>
              <w:adjustRightInd w:val="0"/>
              <w:snapToGrid w:val="0"/>
              <w:ind w:firstLine="420"/>
              <w:rPr>
                <w:bCs/>
                <w:snapToGrid w:val="0"/>
                <w:kern w:val="0"/>
                <w:sz w:val="21"/>
                <w:szCs w:val="21"/>
              </w:rPr>
            </w:pPr>
            <w:r>
              <w:rPr>
                <w:rFonts w:hint="eastAsia"/>
                <w:bCs/>
                <w:snapToGrid w:val="0"/>
                <w:kern w:val="0"/>
                <w:sz w:val="21"/>
                <w:szCs w:val="21"/>
              </w:rPr>
              <w:t>C、对井场临时储存的废水进行及时转运，减少废水储存周期，降低废水外溢风险，特别在汛期来临之前要尽量腾空应急池，在暴雨季节，加强对废水池的巡查，降低废水外溢的环境风险。</w:t>
            </w:r>
          </w:p>
          <w:p>
            <w:pPr>
              <w:adjustRightInd w:val="0"/>
              <w:snapToGrid w:val="0"/>
              <w:ind w:firstLine="420"/>
              <w:rPr>
                <w:bCs/>
                <w:snapToGrid w:val="0"/>
                <w:kern w:val="0"/>
                <w:sz w:val="21"/>
                <w:szCs w:val="21"/>
              </w:rPr>
            </w:pPr>
            <w:r>
              <w:rPr>
                <w:rFonts w:hint="eastAsia"/>
                <w:bCs/>
                <w:snapToGrid w:val="0"/>
                <w:kern w:val="0"/>
                <w:sz w:val="21"/>
                <w:szCs w:val="21"/>
              </w:rPr>
              <w:t>（3）废水处置措施泄露防治措施：</w:t>
            </w:r>
          </w:p>
          <w:p>
            <w:pPr>
              <w:adjustRightInd w:val="0"/>
              <w:snapToGrid w:val="0"/>
              <w:ind w:firstLine="420"/>
              <w:rPr>
                <w:bCs/>
                <w:snapToGrid w:val="0"/>
                <w:kern w:val="0"/>
                <w:sz w:val="21"/>
                <w:szCs w:val="21"/>
              </w:rPr>
            </w:pPr>
            <w:r>
              <w:rPr>
                <w:rFonts w:hint="eastAsia"/>
                <w:bCs/>
                <w:snapToGrid w:val="0"/>
                <w:kern w:val="0"/>
                <w:sz w:val="21"/>
                <w:szCs w:val="21"/>
              </w:rPr>
              <w:t>A、废水罐</w:t>
            </w:r>
            <w:r>
              <w:rPr>
                <w:rFonts w:hint="eastAsia"/>
                <w:snapToGrid w:val="0"/>
                <w:kern w:val="0"/>
                <w:sz w:val="21"/>
                <w:szCs w:val="21"/>
              </w:rPr>
              <w:t>采用防渗罐体</w:t>
            </w:r>
            <w:r>
              <w:rPr>
                <w:rFonts w:hint="eastAsia"/>
                <w:bCs/>
                <w:snapToGrid w:val="0"/>
                <w:kern w:val="0"/>
                <w:sz w:val="21"/>
                <w:szCs w:val="21"/>
              </w:rPr>
              <w:t>；对罐体设置围堰其可以降低污水渗漏的风险。并设置备用废水收集罐作为事故应急罐，对散落在井场的污染物及时收集，确保事故时能将泄漏的废水导流至事故应急罐，避免污染物通过地表漫流污染土壤。</w:t>
            </w:r>
          </w:p>
          <w:p>
            <w:pPr>
              <w:adjustRightInd w:val="0"/>
              <w:snapToGrid w:val="0"/>
              <w:ind w:firstLine="420"/>
              <w:rPr>
                <w:bCs/>
                <w:snapToGrid w:val="0"/>
                <w:kern w:val="0"/>
                <w:sz w:val="21"/>
                <w:szCs w:val="21"/>
              </w:rPr>
            </w:pPr>
            <w:r>
              <w:rPr>
                <w:rFonts w:hint="eastAsia"/>
                <w:bCs/>
                <w:snapToGrid w:val="0"/>
                <w:kern w:val="0"/>
                <w:sz w:val="21"/>
                <w:szCs w:val="21"/>
              </w:rPr>
              <w:t>B、加强对废水罐的维护保养，避免废水泄漏。</w:t>
            </w:r>
          </w:p>
          <w:p>
            <w:pPr>
              <w:adjustRightInd w:val="0"/>
              <w:snapToGrid w:val="0"/>
              <w:ind w:firstLine="420"/>
              <w:rPr>
                <w:bCs/>
                <w:snapToGrid w:val="0"/>
                <w:kern w:val="0"/>
                <w:sz w:val="21"/>
                <w:szCs w:val="21"/>
              </w:rPr>
            </w:pPr>
            <w:r>
              <w:rPr>
                <w:rFonts w:hint="eastAsia"/>
                <w:bCs/>
                <w:snapToGrid w:val="0"/>
                <w:kern w:val="0"/>
                <w:sz w:val="21"/>
                <w:szCs w:val="21"/>
              </w:rPr>
              <w:t>C、项目开工前施工单位与当地政府、生态环境局等相关部门建立联系，若有险情发生，应及时人员取得联系，若确认发生废水外溢事故，应及时上报当地政府、生态环境局等相关部门。</w:t>
            </w:r>
          </w:p>
          <w:p>
            <w:pPr>
              <w:adjustRightInd w:val="0"/>
              <w:snapToGrid w:val="0"/>
              <w:ind w:firstLine="420"/>
              <w:rPr>
                <w:bCs/>
                <w:snapToGrid w:val="0"/>
                <w:kern w:val="0"/>
                <w:sz w:val="21"/>
                <w:szCs w:val="21"/>
              </w:rPr>
            </w:pPr>
            <w:r>
              <w:rPr>
                <w:rFonts w:hint="eastAsia"/>
                <w:bCs/>
                <w:snapToGrid w:val="0"/>
                <w:kern w:val="0"/>
                <w:sz w:val="21"/>
                <w:szCs w:val="21"/>
              </w:rPr>
              <w:t>D、要求废水运输单位实施运输车辆登记制度，运输单位应为每台车安装GPS，并纳入废水运输单位的GPS监控系统平台。</w:t>
            </w:r>
          </w:p>
          <w:p>
            <w:pPr>
              <w:adjustRightInd w:val="0"/>
              <w:snapToGrid w:val="0"/>
              <w:ind w:firstLine="420"/>
              <w:rPr>
                <w:bCs/>
                <w:snapToGrid w:val="0"/>
                <w:kern w:val="0"/>
                <w:sz w:val="21"/>
                <w:szCs w:val="21"/>
              </w:rPr>
            </w:pPr>
            <w:r>
              <w:rPr>
                <w:rFonts w:hint="eastAsia"/>
                <w:bCs/>
                <w:snapToGrid w:val="0"/>
                <w:kern w:val="0"/>
                <w:sz w:val="21"/>
                <w:szCs w:val="21"/>
              </w:rPr>
              <w:t>E、转运过程做好转运台账，严格实施交接清单制度，建立废水转运五联单制度；加强罐车装载量管理，严禁超载。</w:t>
            </w:r>
          </w:p>
          <w:p>
            <w:pPr>
              <w:adjustRightInd w:val="0"/>
              <w:snapToGrid w:val="0"/>
              <w:ind w:firstLine="420"/>
              <w:rPr>
                <w:bCs/>
                <w:snapToGrid w:val="0"/>
                <w:kern w:val="0"/>
                <w:sz w:val="21"/>
                <w:szCs w:val="21"/>
              </w:rPr>
            </w:pPr>
            <w:r>
              <w:rPr>
                <w:rFonts w:hint="eastAsia"/>
                <w:bCs/>
                <w:snapToGrid w:val="0"/>
                <w:kern w:val="0"/>
                <w:sz w:val="21"/>
                <w:szCs w:val="21"/>
              </w:rPr>
              <w:t>F、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adjustRightInd w:val="0"/>
              <w:snapToGrid w:val="0"/>
              <w:ind w:firstLine="420"/>
              <w:rPr>
                <w:bCs/>
                <w:snapToGrid w:val="0"/>
                <w:kern w:val="0"/>
                <w:sz w:val="21"/>
                <w:szCs w:val="21"/>
              </w:rPr>
            </w:pPr>
            <w:r>
              <w:rPr>
                <w:rFonts w:hint="eastAsia"/>
                <w:bCs/>
                <w:snapToGrid w:val="0"/>
                <w:kern w:val="0"/>
                <w:sz w:val="21"/>
                <w:szCs w:val="21"/>
              </w:rPr>
              <w:t>G、转运罐车行驶至河流（含河沟、塘堰等）较近位置或者穿越河流（含河沟等）的道路时，应放慢行驶速度。</w:t>
            </w:r>
          </w:p>
          <w:p>
            <w:pPr>
              <w:adjustRightInd w:val="0"/>
              <w:snapToGrid w:val="0"/>
              <w:ind w:firstLine="420"/>
              <w:rPr>
                <w:bCs/>
                <w:snapToGrid w:val="0"/>
                <w:kern w:val="0"/>
                <w:sz w:val="21"/>
                <w:szCs w:val="21"/>
              </w:rPr>
            </w:pPr>
            <w:r>
              <w:rPr>
                <w:rFonts w:hint="eastAsia"/>
                <w:bCs/>
                <w:snapToGrid w:val="0"/>
                <w:kern w:val="0"/>
                <w:sz w:val="21"/>
                <w:szCs w:val="21"/>
              </w:rPr>
              <w:t>H、废水转运尽量避开暴雨时节。</w:t>
            </w:r>
          </w:p>
          <w:p>
            <w:pPr>
              <w:adjustRightInd w:val="0"/>
              <w:snapToGrid w:val="0"/>
              <w:ind w:firstLine="420"/>
              <w:rPr>
                <w:bCs/>
                <w:snapToGrid w:val="0"/>
                <w:kern w:val="0"/>
                <w:sz w:val="21"/>
                <w:szCs w:val="21"/>
              </w:rPr>
            </w:pPr>
            <w:r>
              <w:rPr>
                <w:bCs/>
                <w:snapToGrid w:val="0"/>
                <w:kern w:val="0"/>
                <w:sz w:val="21"/>
                <w:szCs w:val="21"/>
              </w:rPr>
              <w:t>I</w:t>
            </w:r>
            <w:r>
              <w:rPr>
                <w:rFonts w:hint="eastAsia"/>
                <w:bCs/>
                <w:snapToGrid w:val="0"/>
                <w:kern w:val="0"/>
                <w:sz w:val="21"/>
                <w:szCs w:val="21"/>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adjustRightInd w:val="0"/>
              <w:snapToGrid w:val="0"/>
              <w:ind w:firstLine="420"/>
              <w:rPr>
                <w:bCs/>
                <w:snapToGrid w:val="0"/>
                <w:kern w:val="0"/>
                <w:sz w:val="21"/>
                <w:szCs w:val="21"/>
              </w:rPr>
            </w:pPr>
            <w:r>
              <w:rPr>
                <w:bCs/>
                <w:snapToGrid w:val="0"/>
                <w:kern w:val="0"/>
                <w:sz w:val="21"/>
                <w:szCs w:val="21"/>
              </w:rPr>
              <w:t>J</w:t>
            </w:r>
            <w:r>
              <w:rPr>
                <w:rFonts w:hint="eastAsia"/>
                <w:bCs/>
                <w:snapToGrid w:val="0"/>
                <w:kern w:val="0"/>
                <w:sz w:val="21"/>
                <w:szCs w:val="21"/>
              </w:rPr>
              <w:t>、废水承运人员进入井场装卸废水，必须遵守大庆油田有限责任公司</w:t>
            </w:r>
            <w:r>
              <w:rPr>
                <w:bCs/>
                <w:snapToGrid w:val="0"/>
                <w:kern w:val="0"/>
                <w:sz w:val="21"/>
                <w:szCs w:val="21"/>
              </w:rPr>
              <w:t>勘探事业部</w:t>
            </w:r>
            <w:r>
              <w:rPr>
                <w:rFonts w:hint="eastAsia"/>
                <w:bCs/>
                <w:snapToGrid w:val="0"/>
                <w:kern w:val="0"/>
                <w:sz w:val="21"/>
                <w:szCs w:val="21"/>
              </w:rPr>
              <w:t>的有关安全环保管理规定，并服从井站值班人员的管理，不得擅自进入生产装置区和操作井场设备设施。废水车辆运输严格执行签认制度。签认单复印件报属地管理单位安全部门和承运单位备查，保存期不得少于二年。</w:t>
            </w:r>
          </w:p>
          <w:p>
            <w:pPr>
              <w:adjustRightInd w:val="0"/>
              <w:snapToGrid w:val="0"/>
              <w:ind w:firstLine="422"/>
              <w:rPr>
                <w:b/>
                <w:bCs/>
                <w:snapToGrid w:val="0"/>
                <w:kern w:val="0"/>
                <w:sz w:val="21"/>
                <w:szCs w:val="21"/>
              </w:rPr>
            </w:pPr>
            <w:r>
              <w:rPr>
                <w:rFonts w:hint="eastAsia"/>
                <w:b/>
                <w:bCs/>
                <w:snapToGrid w:val="0"/>
                <w:kern w:val="0"/>
                <w:sz w:val="21"/>
                <w:szCs w:val="21"/>
              </w:rPr>
              <w:t>综上所述，通过采取以上措施，拟建工程不会对周边地表水体造成影响。</w:t>
            </w:r>
          </w:p>
          <w:p>
            <w:pPr>
              <w:adjustRightInd w:val="0"/>
              <w:snapToGrid w:val="0"/>
              <w:ind w:firstLine="0" w:firstLineChars="0"/>
              <w:rPr>
                <w:b/>
                <w:bCs/>
                <w:snapToGrid w:val="0"/>
                <w:kern w:val="0"/>
                <w:sz w:val="21"/>
                <w:szCs w:val="21"/>
              </w:rPr>
            </w:pPr>
            <w:r>
              <w:rPr>
                <w:rFonts w:hint="eastAsia"/>
                <w:b/>
                <w:bCs/>
                <w:snapToGrid w:val="0"/>
                <w:kern w:val="0"/>
                <w:sz w:val="21"/>
                <w:szCs w:val="21"/>
              </w:rPr>
              <w:t>2.7环境风险防范措施</w:t>
            </w:r>
          </w:p>
          <w:p>
            <w:pPr>
              <w:adjustRightInd w:val="0"/>
              <w:snapToGrid w:val="0"/>
              <w:ind w:firstLine="420"/>
              <w:rPr>
                <w:bCs/>
                <w:snapToGrid w:val="0"/>
                <w:kern w:val="0"/>
                <w:sz w:val="21"/>
                <w:szCs w:val="21"/>
              </w:rPr>
            </w:pPr>
            <w:r>
              <w:rPr>
                <w:rFonts w:hint="eastAsia"/>
                <w:bCs/>
                <w:snapToGrid w:val="0"/>
                <w:kern w:val="0"/>
                <w:sz w:val="21"/>
                <w:szCs w:val="21"/>
              </w:rPr>
              <w:t>（1）通过地质资料，制定措施防止浅层气可能引发的井喷事故；按标准要求进行设计；井场内进行分区防渗；井场内废水、油料等物质减少暂存周期，及时转运，并定期对暂存罐桶质量进行检查；定期对环境风险事故进行演练；加强管理，定期检查，对员工进行培训等风险防范措施。</w:t>
            </w:r>
          </w:p>
          <w:p>
            <w:pPr>
              <w:adjustRightInd w:val="0"/>
              <w:snapToGrid w:val="0"/>
              <w:ind w:firstLine="420"/>
              <w:rPr>
                <w:b/>
                <w:bCs/>
                <w:snapToGrid w:val="0"/>
                <w:kern w:val="0"/>
                <w:sz w:val="21"/>
                <w:szCs w:val="21"/>
              </w:rPr>
            </w:pPr>
            <w:r>
              <w:rPr>
                <w:rFonts w:hint="eastAsia"/>
                <w:bCs/>
                <w:snapToGrid w:val="0"/>
                <w:kern w:val="0"/>
                <w:sz w:val="21"/>
                <w:szCs w:val="21"/>
              </w:rPr>
              <w:t>（2）其他废水、废油|收集、暂存及转运防止措施详见专题评价及地下水、土壤防治措施。</w:t>
            </w:r>
          </w:p>
          <w:p>
            <w:pPr>
              <w:adjustRightInd w:val="0"/>
              <w:snapToGrid w:val="0"/>
              <w:ind w:firstLine="422"/>
              <w:rPr>
                <w:b/>
                <w:bCs/>
                <w:snapToGrid w:val="0"/>
                <w:kern w:val="0"/>
                <w:sz w:val="21"/>
                <w:szCs w:val="21"/>
              </w:rPr>
            </w:pPr>
            <w:r>
              <w:rPr>
                <w:b/>
                <w:bCs/>
                <w:snapToGrid w:val="0"/>
                <w:kern w:val="0"/>
                <w:sz w:val="21"/>
                <w:szCs w:val="21"/>
              </w:rPr>
              <w:t>环境风险防范措施详见</w:t>
            </w:r>
            <w:r>
              <w:rPr>
                <w:b/>
                <w:bCs/>
                <w:sz w:val="21"/>
                <w:szCs w:val="21"/>
              </w:rPr>
              <w:t>《</w:t>
            </w:r>
            <w:r>
              <w:rPr>
                <w:rFonts w:hint="eastAsia"/>
                <w:b/>
                <w:bCs/>
                <w:sz w:val="21"/>
                <w:szCs w:val="21"/>
              </w:rPr>
              <w:t>平安7井钻井</w:t>
            </w:r>
            <w:r>
              <w:rPr>
                <w:b/>
                <w:bCs/>
                <w:sz w:val="21"/>
                <w:szCs w:val="21"/>
              </w:rPr>
              <w:t>工程环境风险影响评价专题报告》。</w:t>
            </w:r>
          </w:p>
          <w:p>
            <w:pPr>
              <w:adjustRightInd w:val="0"/>
              <w:snapToGrid w:val="0"/>
              <w:ind w:firstLine="422"/>
              <w:rPr>
                <w:b/>
                <w:bCs/>
                <w:snapToGrid w:val="0"/>
                <w:kern w:val="0"/>
                <w:sz w:val="21"/>
                <w:szCs w:val="21"/>
              </w:rPr>
            </w:pPr>
            <w:r>
              <w:rPr>
                <w:rFonts w:hint="eastAsia"/>
                <w:b/>
                <w:bCs/>
                <w:snapToGrid w:val="0"/>
                <w:kern w:val="0"/>
                <w:sz w:val="21"/>
                <w:szCs w:val="21"/>
              </w:rPr>
              <w:t>拟建项目通过采取环境风险防范措施，不会对周边环境造成影响。</w:t>
            </w:r>
          </w:p>
          <w:p>
            <w:pPr>
              <w:adjustRightInd w:val="0"/>
              <w:snapToGrid w:val="0"/>
              <w:ind w:firstLine="0" w:firstLineChars="0"/>
              <w:rPr>
                <w:b/>
                <w:bCs/>
                <w:snapToGrid w:val="0"/>
                <w:kern w:val="0"/>
                <w:sz w:val="21"/>
                <w:szCs w:val="21"/>
              </w:rPr>
            </w:pPr>
            <w:r>
              <w:rPr>
                <w:rFonts w:hint="eastAsia"/>
                <w:b/>
                <w:bCs/>
                <w:snapToGrid w:val="0"/>
                <w:kern w:val="0"/>
                <w:sz w:val="21"/>
                <w:szCs w:val="21"/>
              </w:rPr>
              <w:t>2.8生态防治措施</w:t>
            </w:r>
          </w:p>
          <w:p>
            <w:pPr>
              <w:adjustRightInd w:val="0"/>
              <w:snapToGrid w:val="0"/>
              <w:ind w:firstLine="420"/>
              <w:rPr>
                <w:bCs/>
                <w:snapToGrid w:val="0"/>
                <w:kern w:val="0"/>
                <w:sz w:val="21"/>
                <w:szCs w:val="21"/>
              </w:rPr>
            </w:pPr>
            <w:r>
              <w:rPr>
                <w:rFonts w:hint="eastAsia"/>
                <w:bCs/>
                <w:snapToGrid w:val="0"/>
                <w:kern w:val="0"/>
                <w:sz w:val="21"/>
                <w:szCs w:val="21"/>
              </w:rPr>
              <w:t>（1）严格落实清洁化生产工艺，及时收集处理钻井过程中的污染物，做到污染物不排放，减小对周边生态环境的影响。</w:t>
            </w:r>
          </w:p>
          <w:p>
            <w:pPr>
              <w:adjustRightInd w:val="0"/>
              <w:snapToGrid w:val="0"/>
              <w:ind w:firstLine="420"/>
              <w:rPr>
                <w:bCs/>
                <w:snapToGrid w:val="0"/>
                <w:kern w:val="0"/>
                <w:sz w:val="21"/>
                <w:szCs w:val="21"/>
              </w:rPr>
            </w:pPr>
            <w:r>
              <w:rPr>
                <w:rFonts w:hint="eastAsia"/>
                <w:bCs/>
                <w:snapToGrid w:val="0"/>
                <w:kern w:val="0"/>
                <w:sz w:val="21"/>
                <w:szCs w:val="21"/>
              </w:rPr>
              <w:t>（2）根据施工阶段的不同，对不再使用的临时占地及时采取生态恢复措施，减少临时占地面积、缩短临时占地周期。</w:t>
            </w:r>
          </w:p>
          <w:p>
            <w:pPr>
              <w:adjustRightInd w:val="0"/>
              <w:snapToGrid w:val="0"/>
              <w:ind w:firstLine="420"/>
              <w:rPr>
                <w:bCs/>
                <w:snapToGrid w:val="0"/>
                <w:kern w:val="0"/>
                <w:sz w:val="21"/>
                <w:szCs w:val="21"/>
              </w:rPr>
            </w:pPr>
            <w:r>
              <w:rPr>
                <w:rFonts w:hint="eastAsia"/>
                <w:bCs/>
                <w:snapToGrid w:val="0"/>
                <w:kern w:val="0"/>
                <w:sz w:val="21"/>
                <w:szCs w:val="21"/>
              </w:rPr>
              <w:t>（3）施工过程中，文明施工，有序作业，减少临时占地面积；尽量缩短施工期，使土壤暴露时间缩短，并快速回填；施工结束后，立即采取植被恢复措施，如人工绿化、植物护坡等；表土临时堆放场应选择较平整的场地，且场地使用后尽快恢复植被。</w:t>
            </w:r>
          </w:p>
          <w:p>
            <w:pPr>
              <w:adjustRightInd w:val="0"/>
              <w:snapToGrid w:val="0"/>
              <w:ind w:firstLine="422"/>
              <w:rPr>
                <w:b/>
                <w:bCs/>
                <w:snapToGrid w:val="0"/>
                <w:kern w:val="0"/>
                <w:sz w:val="21"/>
                <w:szCs w:val="21"/>
              </w:rPr>
            </w:pPr>
            <w:r>
              <w:rPr>
                <w:rFonts w:hint="eastAsia"/>
                <w:b/>
                <w:bCs/>
                <w:snapToGrid w:val="0"/>
                <w:kern w:val="0"/>
                <w:sz w:val="21"/>
                <w:szCs w:val="21"/>
              </w:rPr>
              <w:t>通过采取以上措施，可有效降低工程建设对生态环境的影响，减少水土流失。</w:t>
            </w:r>
          </w:p>
          <w:p>
            <w:pPr>
              <w:adjustRightInd w:val="0"/>
              <w:snapToGrid w:val="0"/>
              <w:ind w:firstLine="0" w:firstLineChars="0"/>
              <w:rPr>
                <w:b/>
                <w:bCs/>
                <w:snapToGrid w:val="0"/>
                <w:kern w:val="0"/>
                <w:sz w:val="21"/>
                <w:szCs w:val="21"/>
              </w:rPr>
            </w:pPr>
            <w:r>
              <w:rPr>
                <w:rFonts w:hint="eastAsia"/>
                <w:b/>
                <w:bCs/>
                <w:snapToGrid w:val="0"/>
                <w:kern w:val="0"/>
                <w:sz w:val="21"/>
                <w:szCs w:val="21"/>
              </w:rPr>
              <w:t>3、测试放喷</w:t>
            </w:r>
          </w:p>
          <w:p>
            <w:pPr>
              <w:adjustRightInd w:val="0"/>
              <w:snapToGrid w:val="0"/>
              <w:ind w:firstLine="420"/>
              <w:rPr>
                <w:bCs/>
                <w:snapToGrid w:val="0"/>
                <w:kern w:val="0"/>
                <w:sz w:val="21"/>
                <w:szCs w:val="21"/>
              </w:rPr>
            </w:pPr>
            <w:r>
              <w:rPr>
                <w:rFonts w:hint="eastAsia"/>
                <w:bCs/>
                <w:snapToGrid w:val="0"/>
                <w:kern w:val="0"/>
                <w:sz w:val="21"/>
                <w:szCs w:val="21"/>
              </w:rPr>
              <w:t>天然气燃烧产生的热辐射影响，可能灼伤放喷点周围20~50m范围的农作物。测试放喷在专门的燃烧池中点火放喷，燃烧池是由三面3m高的砖墙组成，采用燃烧池放喷，可以有效减小放喷燃烧产生的热辐射对测试区周围的土壤和植被的灼伤。</w:t>
            </w:r>
          </w:p>
          <w:p>
            <w:pPr>
              <w:adjustRightInd w:val="0"/>
              <w:snapToGrid w:val="0"/>
              <w:ind w:firstLine="422"/>
              <w:rPr>
                <w:b/>
                <w:bCs/>
                <w:spacing w:val="10"/>
                <w:sz w:val="21"/>
                <w:szCs w:val="21"/>
              </w:rPr>
            </w:pPr>
            <w:r>
              <w:rPr>
                <w:rFonts w:hint="eastAsia"/>
                <w:b/>
                <w:bCs/>
                <w:snapToGrid w:val="0"/>
                <w:kern w:val="0"/>
                <w:sz w:val="21"/>
                <w:szCs w:val="21"/>
              </w:rPr>
              <w:t>该工程项目占地较小，施工时间较短，工程完工后临时用地迅速恢复，因此该项目对当地生态环境的影响是有限的、可接受的。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57" w:type="dxa"/>
            <w:tcMar>
              <w:left w:w="28" w:type="dxa"/>
              <w:right w:w="28" w:type="dxa"/>
            </w:tcMar>
            <w:vAlign w:val="center"/>
          </w:tcPr>
          <w:p>
            <w:pPr>
              <w:adjustRightInd w:val="0"/>
              <w:snapToGrid w:val="0"/>
              <w:spacing w:line="240" w:lineRule="auto"/>
              <w:ind w:firstLine="420"/>
              <w:jc w:val="center"/>
              <w:rPr>
                <w:rFonts w:ascii="宋体" w:hAnsi="宋体" w:cs="宋体"/>
                <w:bCs/>
                <w:snapToGrid w:val="0"/>
                <w:kern w:val="0"/>
                <w:sz w:val="21"/>
                <w:szCs w:val="21"/>
              </w:rPr>
            </w:pPr>
            <w:r>
              <w:rPr>
                <w:rFonts w:hint="eastAsia" w:ascii="宋体" w:hAnsi="宋体" w:cs="宋体"/>
                <w:bCs/>
                <w:snapToGrid w:val="0"/>
                <w:kern w:val="0"/>
                <w:sz w:val="21"/>
                <w:szCs w:val="21"/>
              </w:rPr>
              <w:t>运营期生态环境保护措施</w:t>
            </w:r>
          </w:p>
        </w:tc>
        <w:tc>
          <w:tcPr>
            <w:tcW w:w="8867" w:type="dxa"/>
            <w:vAlign w:val="center"/>
          </w:tcPr>
          <w:p>
            <w:pPr>
              <w:adjustRightInd w:val="0"/>
              <w:snapToGrid w:val="0"/>
              <w:ind w:firstLine="420"/>
              <w:rPr>
                <w:bCs/>
                <w:snapToGrid w:val="0"/>
                <w:kern w:val="0"/>
                <w:sz w:val="21"/>
                <w:szCs w:val="21"/>
              </w:rPr>
            </w:pPr>
            <w:r>
              <w:rPr>
                <w:rFonts w:hint="eastAsia"/>
                <w:bCs/>
                <w:snapToGrid w:val="0"/>
                <w:kern w:val="0"/>
                <w:sz w:val="21"/>
                <w:szCs w:val="21"/>
              </w:rPr>
              <w:t>拟建项目为页岩油勘探项目，</w:t>
            </w:r>
            <w:r>
              <w:rPr>
                <w:rFonts w:hint="eastAsia"/>
                <w:snapToGrid w:val="0"/>
                <w:kern w:val="0"/>
                <w:sz w:val="21"/>
                <w:szCs w:val="21"/>
              </w:rPr>
              <w:t>项目勘探结束后若具备商业开采价值，建设单位将实施“探转采”并建设地面站场及管道集输工程等内容，届时需另行环评。</w:t>
            </w:r>
            <w:r>
              <w:rPr>
                <w:rFonts w:hint="eastAsia"/>
                <w:bCs/>
                <w:snapToGrid w:val="0"/>
                <w:kern w:val="0"/>
                <w:sz w:val="21"/>
                <w:szCs w:val="21"/>
              </w:rPr>
              <w:t>勘探结束后若不具备商业开采价值，将井口采用封井器封井，施工结束，污染源也随之消失，并完成废水、固废等污染物治理及临时占地复绿复垦等生态恢复措施。因此，拟建项目无运营期生态环境影响分析。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457" w:type="dxa"/>
            <w:vAlign w:val="center"/>
          </w:tcPr>
          <w:p>
            <w:pPr>
              <w:adjustRightInd w:val="0"/>
              <w:snapToGrid w:val="0"/>
              <w:spacing w:line="240" w:lineRule="auto"/>
              <w:ind w:firstLine="0" w:firstLineChars="0"/>
              <w:jc w:val="center"/>
              <w:rPr>
                <w:bCs/>
                <w:spacing w:val="10"/>
                <w:sz w:val="21"/>
                <w:szCs w:val="21"/>
              </w:rPr>
            </w:pPr>
            <w:r>
              <w:rPr>
                <w:bCs/>
                <w:sz w:val="21"/>
                <w:szCs w:val="21"/>
              </w:rPr>
              <w:t>其他</w:t>
            </w:r>
          </w:p>
        </w:tc>
        <w:tc>
          <w:tcPr>
            <w:tcW w:w="8867" w:type="dxa"/>
            <w:vAlign w:val="center"/>
          </w:tcPr>
          <w:p>
            <w:pPr>
              <w:adjustRightInd w:val="0"/>
              <w:snapToGrid w:val="0"/>
              <w:ind w:firstLine="462"/>
              <w:rPr>
                <w:b/>
                <w:bCs/>
                <w:spacing w:val="10"/>
                <w:sz w:val="21"/>
                <w:szCs w:val="21"/>
              </w:rPr>
            </w:pPr>
            <w:r>
              <w:rPr>
                <w:b/>
                <w:bCs/>
                <w:spacing w:val="10"/>
                <w:sz w:val="21"/>
                <w:szCs w:val="21"/>
              </w:rPr>
              <w:t>1、环境监测计划</w:t>
            </w:r>
          </w:p>
          <w:p>
            <w:pPr>
              <w:adjustRightInd w:val="0"/>
              <w:snapToGrid w:val="0"/>
              <w:ind w:firstLine="420"/>
              <w:rPr>
                <w:bCs/>
                <w:spacing w:val="10"/>
                <w:sz w:val="18"/>
                <w:szCs w:val="21"/>
              </w:rPr>
            </w:pPr>
            <w:r>
              <w:rPr>
                <w:rFonts w:hint="eastAsia" w:ascii="宋体" w:hAnsi="宋体" w:cs="宋体"/>
                <w:bCs/>
                <w:snapToGrid w:val="0"/>
                <w:kern w:val="0"/>
                <w:sz w:val="21"/>
                <w:szCs w:val="21"/>
              </w:rPr>
              <w:t>根据《排污单位自行监测技术指南 总</w:t>
            </w:r>
            <w:r>
              <w:rPr>
                <w:rFonts w:hAnsi="宋体"/>
                <w:bCs/>
                <w:snapToGrid w:val="0"/>
                <w:kern w:val="0"/>
                <w:sz w:val="21"/>
                <w:szCs w:val="21"/>
              </w:rPr>
              <w:t>则》（</w:t>
            </w:r>
            <w:r>
              <w:rPr>
                <w:bCs/>
                <w:snapToGrid w:val="0"/>
                <w:kern w:val="0"/>
                <w:sz w:val="21"/>
                <w:szCs w:val="21"/>
              </w:rPr>
              <w:t>HJ819-2017</w:t>
            </w:r>
            <w:r>
              <w:rPr>
                <w:rFonts w:hAnsi="宋体"/>
                <w:bCs/>
                <w:snapToGrid w:val="0"/>
                <w:kern w:val="0"/>
                <w:sz w:val="21"/>
                <w:szCs w:val="21"/>
              </w:rPr>
              <w:t>）</w:t>
            </w:r>
            <w:r>
              <w:rPr>
                <w:rFonts w:hint="eastAsia" w:hAnsi="宋体"/>
                <w:bCs/>
                <w:snapToGrid w:val="0"/>
                <w:kern w:val="0"/>
                <w:sz w:val="21"/>
                <w:szCs w:val="21"/>
              </w:rPr>
              <w:t>、《排污单位自行监测技术指南陆上石油天然气开采工业》（HJ 1248-2022）</w:t>
            </w:r>
            <w:r>
              <w:rPr>
                <w:rFonts w:hAnsi="宋体"/>
                <w:bCs/>
                <w:snapToGrid w:val="0"/>
                <w:kern w:val="0"/>
                <w:sz w:val="21"/>
                <w:szCs w:val="21"/>
              </w:rPr>
              <w:t>要求，结合项目污染物特点，制定项目环境监测计划，提出如下监测计划：</w:t>
            </w:r>
          </w:p>
          <w:p>
            <w:pPr>
              <w:adjustRightInd w:val="0"/>
              <w:snapToGrid w:val="0"/>
              <w:ind w:firstLine="0" w:firstLineChars="0"/>
              <w:jc w:val="center"/>
              <w:rPr>
                <w:b/>
                <w:sz w:val="21"/>
                <w:szCs w:val="21"/>
              </w:rPr>
            </w:pPr>
          </w:p>
          <w:p>
            <w:pPr>
              <w:adjustRightInd w:val="0"/>
              <w:snapToGrid w:val="0"/>
              <w:ind w:firstLine="0" w:firstLineChars="0"/>
              <w:jc w:val="center"/>
              <w:rPr>
                <w:b/>
                <w:sz w:val="21"/>
                <w:szCs w:val="21"/>
              </w:rPr>
            </w:pPr>
          </w:p>
          <w:p>
            <w:pPr>
              <w:adjustRightInd w:val="0"/>
              <w:snapToGrid w:val="0"/>
              <w:ind w:firstLine="0" w:firstLineChars="0"/>
              <w:jc w:val="center"/>
              <w:rPr>
                <w:b/>
                <w:sz w:val="21"/>
                <w:szCs w:val="21"/>
              </w:rPr>
            </w:pPr>
            <w:r>
              <w:rPr>
                <w:b/>
                <w:sz w:val="21"/>
                <w:szCs w:val="21"/>
              </w:rPr>
              <w:t>表5-6  环境监测计划一览表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43"/>
              <w:gridCol w:w="1258"/>
              <w:gridCol w:w="2402"/>
              <w:gridCol w:w="1776"/>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pct"/>
                  <w:gridSpan w:val="2"/>
                  <w:vAlign w:val="center"/>
                </w:tcPr>
                <w:p>
                  <w:pPr>
                    <w:snapToGrid w:val="0"/>
                    <w:spacing w:line="240" w:lineRule="auto"/>
                    <w:ind w:firstLine="0" w:firstLineChars="0"/>
                    <w:jc w:val="center"/>
                    <w:rPr>
                      <w:b/>
                      <w:snapToGrid w:val="0"/>
                      <w:kern w:val="0"/>
                      <w:sz w:val="21"/>
                      <w:szCs w:val="21"/>
                    </w:rPr>
                  </w:pPr>
                  <w:r>
                    <w:rPr>
                      <w:rFonts w:hint="eastAsia"/>
                      <w:b/>
                      <w:snapToGrid w:val="0"/>
                      <w:kern w:val="0"/>
                      <w:sz w:val="21"/>
                      <w:szCs w:val="21"/>
                    </w:rPr>
                    <w:t>类别</w:t>
                  </w:r>
                </w:p>
              </w:tc>
              <w:tc>
                <w:tcPr>
                  <w:tcW w:w="753" w:type="pct"/>
                  <w:vAlign w:val="center"/>
                </w:tcPr>
                <w:p>
                  <w:pPr>
                    <w:snapToGrid w:val="0"/>
                    <w:spacing w:line="240" w:lineRule="auto"/>
                    <w:ind w:firstLine="0" w:firstLineChars="0"/>
                    <w:jc w:val="center"/>
                    <w:rPr>
                      <w:b/>
                      <w:snapToGrid w:val="0"/>
                      <w:kern w:val="0"/>
                      <w:sz w:val="21"/>
                      <w:szCs w:val="21"/>
                    </w:rPr>
                  </w:pPr>
                  <w:r>
                    <w:rPr>
                      <w:rFonts w:hint="eastAsia"/>
                      <w:b/>
                      <w:snapToGrid w:val="0"/>
                      <w:kern w:val="0"/>
                      <w:sz w:val="21"/>
                      <w:szCs w:val="21"/>
                    </w:rPr>
                    <w:t>监测点位</w:t>
                  </w:r>
                </w:p>
              </w:tc>
              <w:tc>
                <w:tcPr>
                  <w:tcW w:w="1438" w:type="pct"/>
                  <w:vAlign w:val="center"/>
                </w:tcPr>
                <w:p>
                  <w:pPr>
                    <w:snapToGrid w:val="0"/>
                    <w:spacing w:line="240" w:lineRule="auto"/>
                    <w:ind w:firstLine="0" w:firstLineChars="0"/>
                    <w:jc w:val="center"/>
                    <w:rPr>
                      <w:b/>
                      <w:snapToGrid w:val="0"/>
                      <w:kern w:val="0"/>
                      <w:sz w:val="21"/>
                      <w:szCs w:val="21"/>
                    </w:rPr>
                  </w:pPr>
                  <w:r>
                    <w:rPr>
                      <w:rFonts w:hint="eastAsia"/>
                      <w:b/>
                      <w:snapToGrid w:val="0"/>
                      <w:kern w:val="0"/>
                      <w:sz w:val="21"/>
                      <w:szCs w:val="21"/>
                    </w:rPr>
                    <w:t>监测位置</w:t>
                  </w:r>
                </w:p>
              </w:tc>
              <w:tc>
                <w:tcPr>
                  <w:tcW w:w="1063" w:type="pct"/>
                  <w:vAlign w:val="center"/>
                </w:tcPr>
                <w:p>
                  <w:pPr>
                    <w:snapToGrid w:val="0"/>
                    <w:spacing w:line="240" w:lineRule="auto"/>
                    <w:ind w:firstLine="0" w:firstLineChars="0"/>
                    <w:jc w:val="center"/>
                    <w:rPr>
                      <w:b/>
                      <w:snapToGrid w:val="0"/>
                      <w:kern w:val="0"/>
                      <w:sz w:val="21"/>
                      <w:szCs w:val="21"/>
                    </w:rPr>
                  </w:pPr>
                  <w:r>
                    <w:rPr>
                      <w:rFonts w:hint="eastAsia"/>
                      <w:b/>
                      <w:snapToGrid w:val="0"/>
                      <w:kern w:val="0"/>
                      <w:sz w:val="21"/>
                      <w:szCs w:val="21"/>
                    </w:rPr>
                    <w:t>监测项目</w:t>
                  </w:r>
                </w:p>
              </w:tc>
              <w:tc>
                <w:tcPr>
                  <w:tcW w:w="937" w:type="pct"/>
                  <w:vAlign w:val="center"/>
                </w:tcPr>
                <w:p>
                  <w:pPr>
                    <w:snapToGrid w:val="0"/>
                    <w:spacing w:line="240" w:lineRule="auto"/>
                    <w:ind w:firstLine="0" w:firstLineChars="0"/>
                    <w:jc w:val="center"/>
                    <w:rPr>
                      <w:b/>
                      <w:snapToGrid w:val="0"/>
                      <w:kern w:val="0"/>
                      <w:sz w:val="21"/>
                      <w:szCs w:val="21"/>
                    </w:rPr>
                  </w:pPr>
                  <w:r>
                    <w:rPr>
                      <w:rFonts w:hint="eastAsia"/>
                      <w:b/>
                      <w:snapToGrid w:val="0"/>
                      <w:kern w:val="0"/>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24" w:type="pct"/>
                  <w:vMerge w:val="restart"/>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地下水</w:t>
                  </w:r>
                </w:p>
              </w:tc>
              <w:tc>
                <w:tcPr>
                  <w:tcW w:w="385" w:type="pct"/>
                  <w:vMerge w:val="restart"/>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水井</w:t>
                  </w:r>
                </w:p>
              </w:tc>
              <w:tc>
                <w:tcPr>
                  <w:tcW w:w="753" w:type="pct"/>
                  <w:vAlign w:val="center"/>
                </w:tcPr>
                <w:p>
                  <w:pPr>
                    <w:widowControl/>
                    <w:spacing w:line="240" w:lineRule="auto"/>
                    <w:ind w:firstLine="0" w:firstLineChars="0"/>
                    <w:jc w:val="center"/>
                    <w:rPr>
                      <w:snapToGrid w:val="0"/>
                      <w:kern w:val="0"/>
                      <w:sz w:val="21"/>
                      <w:szCs w:val="21"/>
                    </w:rPr>
                  </w:pPr>
                  <w:r>
                    <w:rPr>
                      <w:snapToGrid w:val="0"/>
                      <w:kern w:val="0"/>
                      <w:sz w:val="21"/>
                      <w:szCs w:val="21"/>
                    </w:rPr>
                    <w:t>1#</w:t>
                  </w:r>
                  <w:r>
                    <w:rPr>
                      <w:rFonts w:hint="eastAsia"/>
                      <w:snapToGrid w:val="0"/>
                      <w:kern w:val="0"/>
                      <w:sz w:val="21"/>
                      <w:szCs w:val="21"/>
                    </w:rPr>
                    <w:t>监测点</w:t>
                  </w:r>
                </w:p>
              </w:tc>
              <w:tc>
                <w:tcPr>
                  <w:tcW w:w="1438"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w:t>
                  </w:r>
                  <w:r>
                    <w:rPr>
                      <w:rFonts w:hint="eastAsia"/>
                      <w:snapToGrid w:val="0"/>
                      <w:kern w:val="0"/>
                      <w:sz w:val="21"/>
                      <w:szCs w:val="21"/>
                    </w:rPr>
                    <w:t>西南侧397m处水井</w:t>
                  </w:r>
                </w:p>
              </w:tc>
              <w:tc>
                <w:tcPr>
                  <w:tcW w:w="1063" w:type="pct"/>
                  <w:vMerge w:val="restart"/>
                  <w:vAlign w:val="center"/>
                </w:tcPr>
                <w:p>
                  <w:pPr>
                    <w:spacing w:line="240" w:lineRule="auto"/>
                    <w:ind w:firstLine="0" w:firstLineChars="0"/>
                    <w:jc w:val="center"/>
                    <w:rPr>
                      <w:snapToGrid w:val="0"/>
                      <w:kern w:val="0"/>
                      <w:sz w:val="21"/>
                      <w:szCs w:val="21"/>
                    </w:rPr>
                  </w:pPr>
                  <w:r>
                    <w:rPr>
                      <w:sz w:val="21"/>
                    </w:rPr>
                    <w:t>pH、氨氮、硝酸盐、</w:t>
                  </w:r>
                  <w:r>
                    <w:rPr>
                      <w:rFonts w:hint="eastAsia"/>
                      <w:sz w:val="21"/>
                    </w:rPr>
                    <w:t>亚硝酸盐</w:t>
                  </w:r>
                  <w:r>
                    <w:rPr>
                      <w:sz w:val="21"/>
                    </w:rPr>
                    <w:t>、挥发性酚类、氰化物、砷、汞、铬（六价）</w:t>
                  </w:r>
                  <w:r>
                    <w:rPr>
                      <w:rFonts w:hint="eastAsia"/>
                      <w:sz w:val="21"/>
                    </w:rPr>
                    <w:t>、</w:t>
                  </w:r>
                  <w:r>
                    <w:rPr>
                      <w:sz w:val="21"/>
                    </w:rPr>
                    <w:t>总硬度、铁、锰、溶解性总固体、耗氧量、总大肠菌群、</w:t>
                  </w:r>
                  <w:r>
                    <w:rPr>
                      <w:rFonts w:hint="eastAsia"/>
                      <w:sz w:val="21"/>
                    </w:rPr>
                    <w:t>菌落</w:t>
                  </w:r>
                  <w:r>
                    <w:rPr>
                      <w:sz w:val="21"/>
                    </w:rPr>
                    <w:t>总数、石油类、硫化物、</w:t>
                  </w:r>
                  <w:r>
                    <w:rPr>
                      <w:rFonts w:hint="eastAsia"/>
                      <w:sz w:val="21"/>
                    </w:rPr>
                    <w:t>镉、氟化物、铅、</w:t>
                  </w:r>
                  <w:r>
                    <w:rPr>
                      <w:sz w:val="21"/>
                    </w:rPr>
                    <w:t>钡、K</w:t>
                  </w:r>
                  <w:r>
                    <w:rPr>
                      <w:sz w:val="21"/>
                      <w:vertAlign w:val="superscript"/>
                    </w:rPr>
                    <w:t>+</w:t>
                  </w:r>
                  <w:r>
                    <w:rPr>
                      <w:sz w:val="21"/>
                    </w:rPr>
                    <w:t>、Na</w:t>
                  </w:r>
                  <w:r>
                    <w:rPr>
                      <w:sz w:val="21"/>
                      <w:vertAlign w:val="superscript"/>
                    </w:rPr>
                    <w:t>+</w:t>
                  </w:r>
                  <w:r>
                    <w:rPr>
                      <w:sz w:val="21"/>
                    </w:rPr>
                    <w:t>、Ca</w:t>
                  </w:r>
                  <w:r>
                    <w:rPr>
                      <w:sz w:val="21"/>
                      <w:vertAlign w:val="superscript"/>
                    </w:rPr>
                    <w:t>2+</w:t>
                  </w:r>
                  <w:r>
                    <w:rPr>
                      <w:sz w:val="21"/>
                    </w:rPr>
                    <w:t>、Mg</w:t>
                  </w:r>
                  <w:r>
                    <w:rPr>
                      <w:sz w:val="21"/>
                      <w:vertAlign w:val="superscript"/>
                    </w:rPr>
                    <w:t>2+</w:t>
                  </w:r>
                  <w:r>
                    <w:rPr>
                      <w:sz w:val="21"/>
                    </w:rPr>
                    <w:t>、CO</w:t>
                  </w:r>
                  <w:r>
                    <w:rPr>
                      <w:sz w:val="21"/>
                      <w:vertAlign w:val="subscript"/>
                    </w:rPr>
                    <w:t>3</w:t>
                  </w:r>
                  <w:r>
                    <w:rPr>
                      <w:sz w:val="21"/>
                      <w:vertAlign w:val="superscript"/>
                    </w:rPr>
                    <w:t>2-</w:t>
                  </w:r>
                  <w:r>
                    <w:rPr>
                      <w:sz w:val="21"/>
                    </w:rPr>
                    <w:t>、HCO</w:t>
                  </w:r>
                  <w:r>
                    <w:rPr>
                      <w:sz w:val="21"/>
                      <w:vertAlign w:val="subscript"/>
                    </w:rPr>
                    <w:t>3</w:t>
                  </w:r>
                  <w:r>
                    <w:rPr>
                      <w:sz w:val="21"/>
                      <w:vertAlign w:val="superscript"/>
                    </w:rPr>
                    <w:t>-</w:t>
                  </w:r>
                  <w:r>
                    <w:rPr>
                      <w:sz w:val="21"/>
                    </w:rPr>
                    <w:t>、Cl</w:t>
                  </w:r>
                  <w:r>
                    <w:rPr>
                      <w:sz w:val="21"/>
                      <w:vertAlign w:val="superscript"/>
                    </w:rPr>
                    <w:t>-</w:t>
                  </w:r>
                  <w:r>
                    <w:rPr>
                      <w:sz w:val="21"/>
                    </w:rPr>
                    <w:t>、SO</w:t>
                  </w:r>
                  <w:r>
                    <w:rPr>
                      <w:sz w:val="21"/>
                      <w:vertAlign w:val="subscript"/>
                    </w:rPr>
                    <w:t>4</w:t>
                  </w:r>
                  <w:r>
                    <w:rPr>
                      <w:sz w:val="21"/>
                      <w:vertAlign w:val="superscript"/>
                    </w:rPr>
                    <w:t>2-</w:t>
                  </w:r>
                </w:p>
              </w:tc>
              <w:tc>
                <w:tcPr>
                  <w:tcW w:w="937" w:type="pct"/>
                  <w:vMerge w:val="restar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钻井过程中发生地下水污染或投诉时监测，</w:t>
                  </w:r>
                  <w:r>
                    <w:rPr>
                      <w:rFonts w:hint="eastAsia"/>
                      <w:snapToGrid w:val="0"/>
                      <w:kern w:val="0"/>
                      <w:sz w:val="21"/>
                    </w:rPr>
                    <w:t>完钻</w:t>
                  </w:r>
                  <w:r>
                    <w:rPr>
                      <w:snapToGrid w:val="0"/>
                      <w:kern w:val="0"/>
                      <w:sz w:val="21"/>
                    </w:rPr>
                    <w:t>验收监测</w:t>
                  </w:r>
                  <w:r>
                    <w:rPr>
                      <w:rFonts w:hint="eastAsia"/>
                      <w:snapToGrid w:val="0"/>
                      <w:kern w:val="0"/>
                      <w:sz w:val="21"/>
                    </w:rPr>
                    <w:t>1</w:t>
                  </w:r>
                  <w:r>
                    <w:rPr>
                      <w:snapToGrid w:val="0"/>
                      <w:kern w:val="0"/>
                      <w:sz w:val="21"/>
                    </w:rPr>
                    <w:t>次，每次监测1天，每天采样1次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24" w:type="pct"/>
                  <w:vMerge w:val="continue"/>
                  <w:vAlign w:val="center"/>
                </w:tcPr>
                <w:p>
                  <w:pPr>
                    <w:widowControl/>
                    <w:spacing w:line="240" w:lineRule="auto"/>
                    <w:ind w:firstLine="0" w:firstLineChars="0"/>
                    <w:jc w:val="center"/>
                    <w:rPr>
                      <w:snapToGrid w:val="0"/>
                      <w:kern w:val="0"/>
                      <w:sz w:val="21"/>
                      <w:szCs w:val="21"/>
                    </w:rPr>
                  </w:pPr>
                </w:p>
              </w:tc>
              <w:tc>
                <w:tcPr>
                  <w:tcW w:w="385" w:type="pct"/>
                  <w:vMerge w:val="continue"/>
                  <w:vAlign w:val="center"/>
                </w:tcPr>
                <w:p>
                  <w:pPr>
                    <w:widowControl/>
                    <w:spacing w:line="240" w:lineRule="auto"/>
                    <w:ind w:firstLine="0" w:firstLineChars="0"/>
                    <w:jc w:val="center"/>
                    <w:rPr>
                      <w:snapToGrid w:val="0"/>
                      <w:kern w:val="0"/>
                      <w:sz w:val="21"/>
                      <w:szCs w:val="21"/>
                    </w:rPr>
                  </w:pPr>
                </w:p>
              </w:tc>
              <w:tc>
                <w:tcPr>
                  <w:tcW w:w="753" w:type="pct"/>
                  <w:vAlign w:val="center"/>
                </w:tcPr>
                <w:p>
                  <w:pPr>
                    <w:widowControl/>
                    <w:spacing w:line="240" w:lineRule="auto"/>
                    <w:ind w:firstLine="0" w:firstLineChars="0"/>
                    <w:jc w:val="center"/>
                    <w:rPr>
                      <w:snapToGrid w:val="0"/>
                      <w:kern w:val="0"/>
                      <w:sz w:val="21"/>
                      <w:szCs w:val="21"/>
                    </w:rPr>
                  </w:pPr>
                  <w:r>
                    <w:rPr>
                      <w:snapToGrid w:val="0"/>
                      <w:kern w:val="0"/>
                      <w:sz w:val="21"/>
                      <w:szCs w:val="21"/>
                    </w:rPr>
                    <w:t>2#</w:t>
                  </w:r>
                  <w:r>
                    <w:rPr>
                      <w:rFonts w:hint="eastAsia"/>
                      <w:snapToGrid w:val="0"/>
                      <w:kern w:val="0"/>
                      <w:sz w:val="21"/>
                      <w:szCs w:val="21"/>
                    </w:rPr>
                    <w:t>监测点</w:t>
                  </w:r>
                </w:p>
              </w:tc>
              <w:tc>
                <w:tcPr>
                  <w:tcW w:w="1438"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w:t>
                  </w:r>
                  <w:r>
                    <w:rPr>
                      <w:rFonts w:hint="eastAsia"/>
                      <w:snapToGrid w:val="0"/>
                      <w:kern w:val="0"/>
                      <w:sz w:val="21"/>
                      <w:szCs w:val="21"/>
                    </w:rPr>
                    <w:t>东南侧2</w:t>
                  </w:r>
                  <w:r>
                    <w:rPr>
                      <w:snapToGrid w:val="0"/>
                      <w:kern w:val="0"/>
                      <w:sz w:val="21"/>
                      <w:szCs w:val="21"/>
                    </w:rPr>
                    <w:t>49m</w:t>
                  </w:r>
                  <w:r>
                    <w:rPr>
                      <w:rFonts w:hint="eastAsia"/>
                      <w:snapToGrid w:val="0"/>
                      <w:kern w:val="0"/>
                      <w:sz w:val="21"/>
                      <w:szCs w:val="21"/>
                    </w:rPr>
                    <w:t>处水井</w:t>
                  </w:r>
                </w:p>
              </w:tc>
              <w:tc>
                <w:tcPr>
                  <w:tcW w:w="1063" w:type="pct"/>
                  <w:vMerge w:val="continue"/>
                  <w:vAlign w:val="center"/>
                </w:tcPr>
                <w:p>
                  <w:pPr>
                    <w:widowControl/>
                    <w:spacing w:line="240" w:lineRule="auto"/>
                    <w:ind w:firstLine="0" w:firstLineChars="0"/>
                    <w:jc w:val="center"/>
                    <w:rPr>
                      <w:snapToGrid w:val="0"/>
                      <w:kern w:val="0"/>
                      <w:sz w:val="21"/>
                      <w:szCs w:val="21"/>
                    </w:rPr>
                  </w:pPr>
                </w:p>
              </w:tc>
              <w:tc>
                <w:tcPr>
                  <w:tcW w:w="937" w:type="pct"/>
                  <w:vMerge w:val="continue"/>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widowControl/>
                    <w:spacing w:line="240" w:lineRule="auto"/>
                    <w:ind w:firstLine="0" w:firstLineChars="0"/>
                    <w:jc w:val="center"/>
                    <w:rPr>
                      <w:snapToGrid w:val="0"/>
                      <w:kern w:val="0"/>
                      <w:sz w:val="21"/>
                      <w:szCs w:val="21"/>
                    </w:rPr>
                  </w:pPr>
                </w:p>
              </w:tc>
              <w:tc>
                <w:tcPr>
                  <w:tcW w:w="385" w:type="pct"/>
                  <w:vMerge w:val="continue"/>
                  <w:vAlign w:val="center"/>
                </w:tcPr>
                <w:p>
                  <w:pPr>
                    <w:widowControl/>
                    <w:spacing w:line="240" w:lineRule="auto"/>
                    <w:ind w:firstLine="0" w:firstLineChars="0"/>
                    <w:jc w:val="center"/>
                    <w:rPr>
                      <w:snapToGrid w:val="0"/>
                      <w:kern w:val="0"/>
                      <w:sz w:val="21"/>
                      <w:szCs w:val="21"/>
                    </w:rPr>
                  </w:pPr>
                </w:p>
              </w:tc>
              <w:tc>
                <w:tcPr>
                  <w:tcW w:w="753" w:type="pct"/>
                  <w:vAlign w:val="center"/>
                </w:tcPr>
                <w:p>
                  <w:pPr>
                    <w:widowControl/>
                    <w:spacing w:line="240" w:lineRule="auto"/>
                    <w:ind w:firstLine="0" w:firstLineChars="0"/>
                    <w:jc w:val="center"/>
                    <w:rPr>
                      <w:snapToGrid w:val="0"/>
                      <w:kern w:val="0"/>
                      <w:sz w:val="21"/>
                      <w:szCs w:val="21"/>
                    </w:rPr>
                  </w:pPr>
                  <w:r>
                    <w:rPr>
                      <w:snapToGrid w:val="0"/>
                      <w:kern w:val="0"/>
                      <w:sz w:val="21"/>
                      <w:szCs w:val="21"/>
                    </w:rPr>
                    <w:t>3#</w:t>
                  </w:r>
                  <w:r>
                    <w:rPr>
                      <w:rFonts w:hint="eastAsia"/>
                      <w:snapToGrid w:val="0"/>
                      <w:kern w:val="0"/>
                      <w:sz w:val="21"/>
                      <w:szCs w:val="21"/>
                    </w:rPr>
                    <w:t>监测点</w:t>
                  </w:r>
                </w:p>
              </w:tc>
              <w:tc>
                <w:tcPr>
                  <w:tcW w:w="1438" w:type="pct"/>
                  <w:vAlign w:val="center"/>
                </w:tcPr>
                <w:p>
                  <w:pPr>
                    <w:widowControl/>
                    <w:spacing w:line="240" w:lineRule="auto"/>
                    <w:ind w:firstLine="0" w:firstLineChars="0"/>
                    <w:jc w:val="center"/>
                    <w:rPr>
                      <w:snapToGrid w:val="0"/>
                      <w:kern w:val="0"/>
                      <w:sz w:val="21"/>
                      <w:szCs w:val="21"/>
                    </w:rPr>
                  </w:pPr>
                  <w:r>
                    <w:rPr>
                      <w:snapToGrid w:val="0"/>
                      <w:kern w:val="0"/>
                      <w:sz w:val="21"/>
                      <w:szCs w:val="21"/>
                    </w:rPr>
                    <w:t>井口东北侧</w:t>
                  </w:r>
                  <w:r>
                    <w:rPr>
                      <w:rFonts w:hint="eastAsia"/>
                      <w:snapToGrid w:val="0"/>
                      <w:kern w:val="0"/>
                      <w:sz w:val="21"/>
                      <w:szCs w:val="21"/>
                    </w:rPr>
                    <w:t>2</w:t>
                  </w:r>
                  <w:r>
                    <w:rPr>
                      <w:snapToGrid w:val="0"/>
                      <w:kern w:val="0"/>
                      <w:sz w:val="21"/>
                      <w:szCs w:val="21"/>
                    </w:rPr>
                    <w:t>25</w:t>
                  </w:r>
                  <w:r>
                    <w:rPr>
                      <w:rFonts w:hint="eastAsia"/>
                      <w:snapToGrid w:val="0"/>
                      <w:kern w:val="0"/>
                      <w:sz w:val="21"/>
                      <w:szCs w:val="21"/>
                    </w:rPr>
                    <w:t>m处水井</w:t>
                  </w:r>
                </w:p>
              </w:tc>
              <w:tc>
                <w:tcPr>
                  <w:tcW w:w="1063" w:type="pct"/>
                  <w:vMerge w:val="continue"/>
                  <w:vAlign w:val="center"/>
                </w:tcPr>
                <w:p>
                  <w:pPr>
                    <w:widowControl/>
                    <w:spacing w:line="240" w:lineRule="auto"/>
                    <w:ind w:firstLine="0" w:firstLineChars="0"/>
                    <w:jc w:val="center"/>
                    <w:rPr>
                      <w:snapToGrid w:val="0"/>
                      <w:kern w:val="0"/>
                      <w:sz w:val="21"/>
                      <w:szCs w:val="21"/>
                    </w:rPr>
                  </w:pPr>
                </w:p>
              </w:tc>
              <w:tc>
                <w:tcPr>
                  <w:tcW w:w="937" w:type="pct"/>
                  <w:vMerge w:val="continue"/>
                  <w:vAlign w:val="center"/>
                </w:tcPr>
                <w:p>
                  <w:pPr>
                    <w:widowControl/>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pct"/>
                  <w:gridSpan w:val="2"/>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土壤</w:t>
                  </w:r>
                </w:p>
              </w:tc>
              <w:tc>
                <w:tcPr>
                  <w:tcW w:w="753" w:type="pct"/>
                  <w:vAlign w:val="center"/>
                </w:tcPr>
                <w:p>
                  <w:pPr>
                    <w:widowControl/>
                    <w:spacing w:line="240" w:lineRule="auto"/>
                    <w:ind w:firstLine="0" w:firstLineChars="0"/>
                    <w:jc w:val="center"/>
                    <w:rPr>
                      <w:snapToGrid w:val="0"/>
                      <w:kern w:val="0"/>
                      <w:sz w:val="21"/>
                      <w:szCs w:val="21"/>
                    </w:rPr>
                  </w:pPr>
                  <w:r>
                    <w:rPr>
                      <w:snapToGrid w:val="0"/>
                      <w:kern w:val="0"/>
                      <w:sz w:val="21"/>
                      <w:szCs w:val="21"/>
                    </w:rPr>
                    <w:t>1</w:t>
                  </w:r>
                  <w:r>
                    <w:rPr>
                      <w:rFonts w:hint="eastAsia"/>
                      <w:snapToGrid w:val="0"/>
                      <w:kern w:val="0"/>
                      <w:sz w:val="21"/>
                      <w:szCs w:val="21"/>
                    </w:rPr>
                    <w:t>#</w:t>
                  </w:r>
                </w:p>
              </w:tc>
              <w:tc>
                <w:tcPr>
                  <w:tcW w:w="1438" w:type="pct"/>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清洁化操作平台旁</w:t>
                  </w:r>
                </w:p>
              </w:tc>
              <w:tc>
                <w:tcPr>
                  <w:tcW w:w="1063" w:type="pct"/>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pH、石油烃（</w:t>
                  </w:r>
                  <w:r>
                    <w:rPr>
                      <w:snapToGrid w:val="0"/>
                      <w:kern w:val="0"/>
                      <w:sz w:val="21"/>
                      <w:szCs w:val="21"/>
                    </w:rPr>
                    <w:t>C</w:t>
                  </w:r>
                  <w:r>
                    <w:rPr>
                      <w:snapToGrid w:val="0"/>
                      <w:kern w:val="0"/>
                      <w:sz w:val="21"/>
                      <w:szCs w:val="21"/>
                      <w:vertAlign w:val="subscript"/>
                    </w:rPr>
                    <w:t>10</w:t>
                  </w:r>
                  <w:r>
                    <w:rPr>
                      <w:snapToGrid w:val="0"/>
                      <w:kern w:val="0"/>
                      <w:sz w:val="21"/>
                      <w:szCs w:val="21"/>
                    </w:rPr>
                    <w:t>-C</w:t>
                  </w:r>
                  <w:r>
                    <w:rPr>
                      <w:snapToGrid w:val="0"/>
                      <w:kern w:val="0"/>
                      <w:sz w:val="21"/>
                      <w:szCs w:val="21"/>
                      <w:vertAlign w:val="subscript"/>
                    </w:rPr>
                    <w:t>40</w:t>
                  </w:r>
                  <w:r>
                    <w:rPr>
                      <w:rFonts w:hint="eastAsia"/>
                      <w:snapToGrid w:val="0"/>
                      <w:kern w:val="0"/>
                      <w:sz w:val="21"/>
                      <w:szCs w:val="21"/>
                    </w:rPr>
                    <w:t>）、硫化物、氯化物、石油类、</w:t>
                  </w:r>
                  <w:r>
                    <w:rPr>
                      <w:rFonts w:hint="eastAsia"/>
                      <w:snapToGrid w:val="0"/>
                      <w:kern w:val="0"/>
                      <w:sz w:val="21"/>
                    </w:rPr>
                    <w:t>石油烃（C</w:t>
                  </w:r>
                  <w:r>
                    <w:rPr>
                      <w:rFonts w:hint="eastAsia"/>
                      <w:snapToGrid w:val="0"/>
                      <w:kern w:val="0"/>
                      <w:sz w:val="21"/>
                      <w:vertAlign w:val="subscript"/>
                    </w:rPr>
                    <w:t>6</w:t>
                  </w:r>
                  <w:r>
                    <w:rPr>
                      <w:rFonts w:hint="eastAsia"/>
                      <w:snapToGrid w:val="0"/>
                      <w:kern w:val="0"/>
                      <w:sz w:val="21"/>
                    </w:rPr>
                    <w:t>~C</w:t>
                  </w:r>
                  <w:r>
                    <w:rPr>
                      <w:rFonts w:hint="eastAsia"/>
                      <w:snapToGrid w:val="0"/>
                      <w:kern w:val="0"/>
                      <w:sz w:val="21"/>
                      <w:vertAlign w:val="subscript"/>
                    </w:rPr>
                    <w:t>9</w:t>
                  </w:r>
                  <w:r>
                    <w:rPr>
                      <w:rFonts w:hint="eastAsia"/>
                      <w:snapToGrid w:val="0"/>
                      <w:kern w:val="0"/>
                      <w:sz w:val="21"/>
                    </w:rPr>
                    <w:t>）、</w:t>
                  </w:r>
                  <w:r>
                    <w:rPr>
                      <w:rFonts w:hint="eastAsia"/>
                      <w:snapToGrid w:val="0"/>
                      <w:kern w:val="0"/>
                      <w:sz w:val="21"/>
                      <w:szCs w:val="21"/>
                    </w:rPr>
                    <w:t>汞、砷、六价铬、</w:t>
                  </w:r>
                  <w:r>
                    <w:rPr>
                      <w:rFonts w:hint="eastAsia" w:hAnsi="宋体"/>
                      <w:snapToGrid w:val="0"/>
                      <w:kern w:val="0"/>
                      <w:sz w:val="21"/>
                    </w:rPr>
                    <w:t>钡</w:t>
                  </w:r>
                </w:p>
              </w:tc>
              <w:tc>
                <w:tcPr>
                  <w:tcW w:w="937" w:type="pct"/>
                  <w:vAlign w:val="center"/>
                </w:tcPr>
                <w:p>
                  <w:pPr>
                    <w:snapToGrid w:val="0"/>
                    <w:spacing w:line="240" w:lineRule="auto"/>
                    <w:ind w:firstLine="0" w:firstLineChars="0"/>
                    <w:jc w:val="center"/>
                    <w:rPr>
                      <w:snapToGrid w:val="0"/>
                      <w:kern w:val="0"/>
                      <w:sz w:val="21"/>
                      <w:szCs w:val="21"/>
                    </w:rPr>
                  </w:pPr>
                  <w:r>
                    <w:rPr>
                      <w:rFonts w:hint="eastAsia" w:hAnsi="宋体"/>
                      <w:snapToGrid w:val="0"/>
                      <w:kern w:val="0"/>
                      <w:sz w:val="21"/>
                      <w:szCs w:val="21"/>
                    </w:rPr>
                    <w:t>钻井过程中发生地下水污染或投诉时监测，</w:t>
                  </w:r>
                  <w:r>
                    <w:rPr>
                      <w:rFonts w:hint="eastAsia"/>
                      <w:snapToGrid w:val="0"/>
                      <w:kern w:val="0"/>
                      <w:sz w:val="21"/>
                      <w:szCs w:val="21"/>
                    </w:rPr>
                    <w:t>完钻验收监测1次，每次监测1天，每天采样1次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snapToGrid w:val="0"/>
                    <w:spacing w:line="240" w:lineRule="auto"/>
                    <w:ind w:firstLine="0" w:firstLineChars="0"/>
                    <w:rPr>
                      <w:snapToGrid w:val="0"/>
                      <w:kern w:val="0"/>
                      <w:sz w:val="21"/>
                      <w:szCs w:val="21"/>
                    </w:rPr>
                  </w:pPr>
                  <w:r>
                    <w:rPr>
                      <w:rFonts w:hint="eastAsia"/>
                      <w:snapToGrid w:val="0"/>
                      <w:kern w:val="0"/>
                      <w:sz w:val="21"/>
                      <w:szCs w:val="21"/>
                    </w:rPr>
                    <w:t>固废：记录运营期各类固废产生量、处置量、储存量、危险废物详细记录具体去向</w:t>
                  </w:r>
                </w:p>
              </w:tc>
            </w:tr>
          </w:tbl>
          <w:p>
            <w:pPr>
              <w:adjustRightInd w:val="0"/>
              <w:snapToGrid w:val="0"/>
              <w:ind w:firstLine="0" w:firstLineChars="0"/>
              <w:rPr>
                <w:bCs/>
                <w:spacing w:val="1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457" w:type="dxa"/>
            <w:vAlign w:val="center"/>
          </w:tcPr>
          <w:p>
            <w:pPr>
              <w:adjustRightInd w:val="0"/>
              <w:snapToGrid w:val="0"/>
              <w:spacing w:line="240" w:lineRule="auto"/>
              <w:ind w:firstLine="0" w:firstLineChars="0"/>
              <w:jc w:val="center"/>
              <w:rPr>
                <w:bCs/>
                <w:spacing w:val="10"/>
                <w:sz w:val="21"/>
                <w:szCs w:val="21"/>
              </w:rPr>
            </w:pPr>
            <w:r>
              <w:rPr>
                <w:bCs/>
                <w:sz w:val="21"/>
                <w:szCs w:val="21"/>
              </w:rPr>
              <w:t>环保投资</w:t>
            </w:r>
          </w:p>
        </w:tc>
        <w:tc>
          <w:tcPr>
            <w:tcW w:w="8867" w:type="dxa"/>
            <w:vAlign w:val="center"/>
          </w:tcPr>
          <w:p>
            <w:pPr>
              <w:adjustRightInd w:val="0"/>
              <w:snapToGrid w:val="0"/>
              <w:ind w:firstLine="420"/>
              <w:rPr>
                <w:bCs/>
                <w:snapToGrid w:val="0"/>
                <w:kern w:val="0"/>
                <w:sz w:val="21"/>
                <w:szCs w:val="21"/>
              </w:rPr>
            </w:pPr>
            <w:r>
              <w:rPr>
                <w:rFonts w:hint="eastAsia" w:hAnsi="宋体"/>
                <w:bCs/>
                <w:snapToGrid w:val="0"/>
                <w:kern w:val="0"/>
                <w:sz w:val="21"/>
                <w:szCs w:val="21"/>
              </w:rPr>
              <w:t>平安</w:t>
            </w:r>
            <w:r>
              <w:rPr>
                <w:rFonts w:hAnsi="宋体"/>
                <w:bCs/>
                <w:snapToGrid w:val="0"/>
                <w:kern w:val="0"/>
                <w:sz w:val="21"/>
                <w:szCs w:val="21"/>
              </w:rPr>
              <w:t>7井钻井项目总投资</w:t>
            </w:r>
            <w:r>
              <w:rPr>
                <w:snapToGrid w:val="0"/>
                <w:kern w:val="0"/>
                <w:sz w:val="21"/>
                <w:szCs w:val="21"/>
              </w:rPr>
              <w:t>75</w:t>
            </w:r>
            <w:r>
              <w:rPr>
                <w:rFonts w:hint="eastAsia"/>
                <w:snapToGrid w:val="0"/>
                <w:kern w:val="0"/>
                <w:sz w:val="21"/>
                <w:szCs w:val="21"/>
              </w:rPr>
              <w:t>00</w:t>
            </w:r>
            <w:r>
              <w:rPr>
                <w:rFonts w:hAnsi="宋体"/>
                <w:bCs/>
                <w:snapToGrid w:val="0"/>
                <w:kern w:val="0"/>
                <w:sz w:val="21"/>
                <w:szCs w:val="21"/>
              </w:rPr>
              <w:t>万元，环保投资457.9万元，占总投资的6.1%。环保投资主要用于废水治理、固体废物处理、噪声污染防治，以及施工迹地生态恢复等，符合该项目的实际特点。具体情况见表</w:t>
            </w:r>
            <w:r>
              <w:rPr>
                <w:bCs/>
                <w:snapToGrid w:val="0"/>
                <w:kern w:val="0"/>
                <w:sz w:val="21"/>
                <w:szCs w:val="21"/>
              </w:rPr>
              <w:t>5-7</w:t>
            </w:r>
            <w:r>
              <w:rPr>
                <w:rFonts w:hAnsi="宋体"/>
                <w:bCs/>
                <w:snapToGrid w:val="0"/>
                <w:kern w:val="0"/>
                <w:sz w:val="21"/>
                <w:szCs w:val="21"/>
              </w:rPr>
              <w:t>。</w:t>
            </w:r>
          </w:p>
          <w:p>
            <w:pPr>
              <w:adjustRightInd w:val="0"/>
              <w:snapToGrid w:val="0"/>
              <w:ind w:firstLine="0" w:firstLineChars="0"/>
              <w:jc w:val="center"/>
              <w:rPr>
                <w:rFonts w:hAnsi="宋体"/>
                <w:b/>
                <w:bCs/>
                <w:snapToGrid w:val="0"/>
                <w:kern w:val="0"/>
                <w:sz w:val="21"/>
                <w:szCs w:val="21"/>
              </w:rPr>
            </w:pPr>
            <w:r>
              <w:rPr>
                <w:rFonts w:hint="eastAsia" w:hAnsi="宋体"/>
                <w:b/>
                <w:bCs/>
                <w:snapToGrid w:val="0"/>
                <w:kern w:val="0"/>
                <w:sz w:val="21"/>
                <w:szCs w:val="21"/>
              </w:rPr>
              <w:t>表5-</w:t>
            </w:r>
            <w:r>
              <w:rPr>
                <w:rFonts w:hAnsi="宋体"/>
                <w:b/>
                <w:bCs/>
                <w:snapToGrid w:val="0"/>
                <w:kern w:val="0"/>
                <w:sz w:val="21"/>
                <w:szCs w:val="21"/>
              </w:rPr>
              <w:t xml:space="preserve">7  </w:t>
            </w:r>
            <w:r>
              <w:rPr>
                <w:rFonts w:hint="eastAsia" w:hAnsi="宋体"/>
                <w:b/>
                <w:bCs/>
                <w:snapToGrid w:val="0"/>
                <w:kern w:val="0"/>
                <w:sz w:val="21"/>
                <w:szCs w:val="21"/>
              </w:rPr>
              <w:t>拟建项目环保措施及总投资估算一览表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342"/>
              <w:gridCol w:w="4828"/>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Align w:val="center"/>
                </w:tcPr>
                <w:p>
                  <w:pPr>
                    <w:autoSpaceDE w:val="0"/>
                    <w:autoSpaceDN w:val="0"/>
                    <w:spacing w:line="240" w:lineRule="auto"/>
                    <w:ind w:firstLine="0" w:firstLineChars="0"/>
                    <w:jc w:val="center"/>
                    <w:rPr>
                      <w:b/>
                      <w:snapToGrid w:val="0"/>
                      <w:kern w:val="0"/>
                      <w:sz w:val="21"/>
                      <w:szCs w:val="21"/>
                    </w:rPr>
                  </w:pPr>
                  <w:r>
                    <w:rPr>
                      <w:b/>
                      <w:snapToGrid w:val="0"/>
                      <w:kern w:val="0"/>
                      <w:sz w:val="21"/>
                      <w:szCs w:val="21"/>
                    </w:rPr>
                    <w:t>环境因素</w:t>
                  </w:r>
                </w:p>
              </w:tc>
              <w:tc>
                <w:tcPr>
                  <w:tcW w:w="1387" w:type="dxa"/>
                  <w:vAlign w:val="center"/>
                </w:tcPr>
                <w:p>
                  <w:pPr>
                    <w:autoSpaceDE w:val="0"/>
                    <w:autoSpaceDN w:val="0"/>
                    <w:spacing w:line="240" w:lineRule="auto"/>
                    <w:ind w:firstLine="0" w:firstLineChars="0"/>
                    <w:jc w:val="center"/>
                    <w:rPr>
                      <w:b/>
                      <w:snapToGrid w:val="0"/>
                      <w:kern w:val="0"/>
                      <w:sz w:val="21"/>
                      <w:szCs w:val="21"/>
                    </w:rPr>
                  </w:pPr>
                  <w:r>
                    <w:rPr>
                      <w:b/>
                      <w:snapToGrid w:val="0"/>
                      <w:kern w:val="0"/>
                      <w:sz w:val="21"/>
                      <w:szCs w:val="21"/>
                    </w:rPr>
                    <w:t>建设内容</w:t>
                  </w:r>
                </w:p>
              </w:tc>
              <w:tc>
                <w:tcPr>
                  <w:tcW w:w="5082" w:type="dxa"/>
                  <w:vAlign w:val="center"/>
                </w:tcPr>
                <w:p>
                  <w:pPr>
                    <w:autoSpaceDE w:val="0"/>
                    <w:autoSpaceDN w:val="0"/>
                    <w:spacing w:line="240" w:lineRule="auto"/>
                    <w:ind w:firstLine="0" w:firstLineChars="0"/>
                    <w:jc w:val="center"/>
                    <w:rPr>
                      <w:b/>
                      <w:snapToGrid w:val="0"/>
                      <w:kern w:val="0"/>
                      <w:sz w:val="21"/>
                      <w:szCs w:val="21"/>
                    </w:rPr>
                  </w:pPr>
                  <w:r>
                    <w:rPr>
                      <w:b/>
                      <w:snapToGrid w:val="0"/>
                      <w:kern w:val="0"/>
                      <w:sz w:val="21"/>
                      <w:szCs w:val="21"/>
                    </w:rPr>
                    <w:t>拟采取的环保措施</w:t>
                  </w:r>
                </w:p>
              </w:tc>
              <w:tc>
                <w:tcPr>
                  <w:tcW w:w="1150" w:type="dxa"/>
                  <w:vAlign w:val="center"/>
                </w:tcPr>
                <w:p>
                  <w:pPr>
                    <w:autoSpaceDE w:val="0"/>
                    <w:autoSpaceDN w:val="0"/>
                    <w:spacing w:line="240" w:lineRule="auto"/>
                    <w:ind w:firstLine="0" w:firstLineChars="0"/>
                    <w:jc w:val="center"/>
                    <w:rPr>
                      <w:b/>
                      <w:snapToGrid w:val="0"/>
                      <w:kern w:val="0"/>
                      <w:sz w:val="21"/>
                      <w:szCs w:val="21"/>
                    </w:rPr>
                  </w:pPr>
                  <w:r>
                    <w:rPr>
                      <w:b/>
                      <w:snapToGrid w:val="0"/>
                      <w:kern w:val="0"/>
                      <w:sz w:val="21"/>
                      <w:szCs w:val="21"/>
                    </w:rPr>
                    <w:t>投资</w:t>
                  </w:r>
                </w:p>
                <w:p>
                  <w:pPr>
                    <w:autoSpaceDE w:val="0"/>
                    <w:autoSpaceDN w:val="0"/>
                    <w:spacing w:line="240" w:lineRule="auto"/>
                    <w:ind w:firstLine="0" w:firstLineChars="0"/>
                    <w:jc w:val="center"/>
                    <w:rPr>
                      <w:b/>
                      <w:snapToGrid w:val="0"/>
                      <w:kern w:val="0"/>
                      <w:sz w:val="21"/>
                      <w:szCs w:val="21"/>
                    </w:rPr>
                  </w:pPr>
                  <w:r>
                    <w:rPr>
                      <w:b/>
                      <w:snapToGrid w:val="0"/>
                      <w:kern w:val="0"/>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地表水</w:t>
                  </w:r>
                </w:p>
              </w:tc>
              <w:tc>
                <w:tcPr>
                  <w:tcW w:w="1387"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钻前施工废水</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隔油沉淀后洒水抑尘</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井场清污分流</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非污染区雨水排入井场四周边沟</w:t>
                  </w:r>
                  <w:r>
                    <w:rPr>
                      <w:rFonts w:hint="eastAsia"/>
                      <w:snapToGrid w:val="0"/>
                      <w:kern w:val="0"/>
                      <w:sz w:val="21"/>
                      <w:szCs w:val="21"/>
                    </w:rPr>
                    <w:t>，</w:t>
                  </w:r>
                  <w:r>
                    <w:rPr>
                      <w:snapToGrid w:val="0"/>
                      <w:kern w:val="0"/>
                      <w:sz w:val="21"/>
                      <w:szCs w:val="21"/>
                    </w:rPr>
                    <w:t>经隔油池处理后排入井场外自然水系</w:t>
                  </w:r>
                  <w:r>
                    <w:rPr>
                      <w:rFonts w:hint="eastAsia"/>
                      <w:snapToGrid w:val="0"/>
                      <w:kern w:val="0"/>
                      <w:sz w:val="21"/>
                      <w:szCs w:val="21"/>
                    </w:rPr>
                    <w:t>；</w:t>
                  </w:r>
                  <w:r>
                    <w:rPr>
                      <w:snapToGrid w:val="0"/>
                      <w:kern w:val="0"/>
                      <w:sz w:val="21"/>
                      <w:szCs w:val="21"/>
                    </w:rPr>
                    <w:t>污染区</w:t>
                  </w:r>
                  <w:r>
                    <w:rPr>
                      <w:rFonts w:hint="eastAsia"/>
                      <w:snapToGrid w:val="0"/>
                      <w:kern w:val="0"/>
                      <w:sz w:val="21"/>
                      <w:szCs w:val="21"/>
                    </w:rPr>
                    <w:t>雨水</w:t>
                  </w:r>
                  <w:r>
                    <w:rPr>
                      <w:snapToGrid w:val="0"/>
                      <w:kern w:val="0"/>
                      <w:sz w:val="21"/>
                      <w:szCs w:val="21"/>
                    </w:rPr>
                    <w:t>经集水坑和方井收集后由污水泵泵入废水罐中内</w:t>
                  </w:r>
                  <w:r>
                    <w:rPr>
                      <w:rFonts w:hint="eastAsia"/>
                      <w:snapToGrid w:val="0"/>
                      <w:kern w:val="0"/>
                      <w:sz w:val="21"/>
                      <w:szCs w:val="21"/>
                    </w:rPr>
                    <w:t>，</w:t>
                  </w:r>
                  <w:r>
                    <w:rPr>
                      <w:snapToGrid w:val="0"/>
                      <w:kern w:val="0"/>
                      <w:sz w:val="21"/>
                      <w:szCs w:val="21"/>
                    </w:rPr>
                    <w:t>随钻处理后优先回用于水基泥浆补水</w:t>
                  </w:r>
                  <w:r>
                    <w:rPr>
                      <w:rFonts w:hint="eastAsia"/>
                      <w:snapToGrid w:val="0"/>
                      <w:kern w:val="0"/>
                      <w:sz w:val="21"/>
                      <w:szCs w:val="21"/>
                    </w:rPr>
                    <w:t>，</w:t>
                  </w:r>
                  <w:r>
                    <w:rPr>
                      <w:snapToGrid w:val="0"/>
                      <w:kern w:val="0"/>
                      <w:sz w:val="21"/>
                      <w:szCs w:val="21"/>
                    </w:rPr>
                    <w:t>不能回用时拉运至</w:t>
                  </w:r>
                  <w:r>
                    <w:rPr>
                      <w:rFonts w:hint="eastAsia"/>
                      <w:snapToGrid w:val="0"/>
                      <w:kern w:val="0"/>
                      <w:sz w:val="21"/>
                      <w:szCs w:val="21"/>
                    </w:rPr>
                    <w:t>四川鑫泓废水处理厂</w:t>
                  </w:r>
                  <w:r>
                    <w:rPr>
                      <w:rFonts w:hint="eastAsia" w:hAnsi="宋体"/>
                      <w:bCs/>
                      <w:snapToGrid w:val="0"/>
                      <w:kern w:val="0"/>
                      <w:sz w:val="21"/>
                      <w:szCs w:val="21"/>
                    </w:rPr>
                    <w:t>达标处理</w:t>
                  </w:r>
                  <w:r>
                    <w:rPr>
                      <w:snapToGrid w:val="0"/>
                      <w:kern w:val="0"/>
                      <w:sz w:val="21"/>
                      <w:szCs w:val="21"/>
                    </w:rPr>
                    <w:t>。</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钻井废水回用处理及临时储存设施</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建设清洁化操作场地，设置4个40</w:t>
                  </w:r>
                  <w:r>
                    <w:rPr>
                      <w:snapToGrid w:val="0"/>
                      <w:kern w:val="0"/>
                      <w:sz w:val="21"/>
                    </w:rPr>
                    <w:t>m</w:t>
                  </w:r>
                  <w:r>
                    <w:rPr>
                      <w:snapToGrid w:val="0"/>
                      <w:kern w:val="0"/>
                      <w:sz w:val="21"/>
                      <w:vertAlign w:val="superscript"/>
                    </w:rPr>
                    <w:t>3</w:t>
                  </w:r>
                  <w:r>
                    <w:rPr>
                      <w:snapToGrid w:val="0"/>
                      <w:kern w:val="0"/>
                      <w:sz w:val="21"/>
                    </w:rPr>
                    <w:t>废水罐</w:t>
                  </w:r>
                  <w:r>
                    <w:rPr>
                      <w:snapToGrid w:val="0"/>
                      <w:kern w:val="0"/>
                      <w:sz w:val="21"/>
                      <w:szCs w:val="21"/>
                    </w:rPr>
                    <w:t>用于废水的预处理及临时存储。</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钻井废水处置</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废水</w:t>
                  </w:r>
                  <w:r>
                    <w:rPr>
                      <w:rFonts w:hint="eastAsia"/>
                      <w:snapToGrid w:val="0"/>
                      <w:kern w:val="0"/>
                      <w:sz w:val="21"/>
                      <w:szCs w:val="21"/>
                    </w:rPr>
                    <w:t>优先回用，不能回用部分</w:t>
                  </w:r>
                  <w:r>
                    <w:rPr>
                      <w:snapToGrid w:val="0"/>
                      <w:kern w:val="0"/>
                      <w:sz w:val="21"/>
                      <w:szCs w:val="21"/>
                    </w:rPr>
                    <w:t>用罐车运至</w:t>
                  </w:r>
                  <w:r>
                    <w:rPr>
                      <w:rFonts w:hint="eastAsia"/>
                      <w:snapToGrid w:val="0"/>
                      <w:kern w:val="0"/>
                      <w:sz w:val="21"/>
                      <w:szCs w:val="21"/>
                    </w:rPr>
                    <w:t>四川鑫泓废水处理厂</w:t>
                  </w:r>
                  <w:r>
                    <w:rPr>
                      <w:snapToGrid w:val="0"/>
                      <w:kern w:val="0"/>
                      <w:sz w:val="21"/>
                      <w:szCs w:val="21"/>
                    </w:rPr>
                    <w:t>进行达标处理，并建立转移联单制度。</w:t>
                  </w:r>
                </w:p>
              </w:tc>
              <w:tc>
                <w:tcPr>
                  <w:tcW w:w="1150" w:type="dxa"/>
                  <w:vAlign w:val="bottom"/>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 xml:space="preserve">162.8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生活污水处理设施</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施工人员生活污水通过井队</w:t>
                  </w:r>
                  <w:r>
                    <w:rPr>
                      <w:rFonts w:hint="eastAsia" w:hAnsi="宋体"/>
                      <w:snapToGrid w:val="0"/>
                      <w:kern w:val="0"/>
                      <w:sz w:val="21"/>
                      <w:szCs w:val="21"/>
                    </w:rPr>
                    <w:t>生活污水经旱厕收集后</w:t>
                  </w:r>
                  <w:r>
                    <w:rPr>
                      <w:rFonts w:cs="Arial"/>
                      <w:snapToGrid w:val="0"/>
                      <w:kern w:val="0"/>
                      <w:sz w:val="21"/>
                    </w:rPr>
                    <w:t>用于周边农田施肥</w:t>
                  </w:r>
                  <w:r>
                    <w:rPr>
                      <w:rFonts w:hint="eastAsia" w:hAnsi="宋体"/>
                      <w:snapToGrid w:val="0"/>
                      <w:kern w:val="0"/>
                      <w:sz w:val="21"/>
                      <w:szCs w:val="21"/>
                    </w:rPr>
                    <w:t>。</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地下水</w:t>
                  </w: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井场防渗</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对</w:t>
                  </w:r>
                  <w:r>
                    <w:rPr>
                      <w:rFonts w:hint="eastAsia"/>
                      <w:snapToGrid w:val="0"/>
                      <w:kern w:val="0"/>
                      <w:sz w:val="21"/>
                      <w:szCs w:val="21"/>
                    </w:rPr>
                    <w:t>方井、钻井基础、循环罐区、清洁化操作平台（包括临时堆放区）、应急池、集酸池（集酸沟）、燃烧池、井场隔油池、发电房基础、危废暂存间、泥浆储备罐区、柴油罐区等区域</w:t>
                  </w:r>
                  <w:r>
                    <w:rPr>
                      <w:snapToGrid w:val="0"/>
                      <w:kern w:val="0"/>
                      <w:sz w:val="21"/>
                      <w:szCs w:val="21"/>
                    </w:rPr>
                    <w:t>进行重点防渗。</w:t>
                  </w:r>
                </w:p>
              </w:tc>
              <w:tc>
                <w:tcPr>
                  <w:tcW w:w="1150"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纳入主体工程投资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清洁原料</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采用对环境影响较小的钻井液，采用套管和水泥固井防止地下水污染。设计中做好及时堵漏准备，防止钻井液漏失进入地下水。</w:t>
                  </w:r>
                </w:p>
              </w:tc>
              <w:tc>
                <w:tcPr>
                  <w:tcW w:w="1150"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纳入主体工程投资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表层地层保护</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为了消除钻井液在地表窜漏影响表层地下水，采用套管固封地表流沙层。</w:t>
                  </w:r>
                </w:p>
              </w:tc>
              <w:tc>
                <w:tcPr>
                  <w:tcW w:w="1150"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纳入主体工程投资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大气</w:t>
                  </w:r>
                </w:p>
              </w:tc>
              <w:tc>
                <w:tcPr>
                  <w:tcW w:w="1387" w:type="dxa"/>
                  <w:vAlign w:val="center"/>
                </w:tcPr>
                <w:p>
                  <w:pPr>
                    <w:autoSpaceDE w:val="0"/>
                    <w:autoSpaceDN w:val="0"/>
                    <w:spacing w:line="240" w:lineRule="auto"/>
                    <w:ind w:firstLine="0" w:firstLineChars="0"/>
                    <w:jc w:val="center"/>
                    <w:rPr>
                      <w:snapToGrid w:val="0"/>
                      <w:kern w:val="0"/>
                      <w:sz w:val="21"/>
                      <w:szCs w:val="21"/>
                    </w:rPr>
                  </w:pPr>
                  <w:r>
                    <w:rPr>
                      <w:rFonts w:hAnsi="宋体"/>
                      <w:snapToGrid w:val="0"/>
                      <w:kern w:val="0"/>
                      <w:sz w:val="21"/>
                      <w:szCs w:val="21"/>
                    </w:rPr>
                    <w:t>钻前工程施工废气</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Ansi="宋体"/>
                      <w:snapToGrid w:val="0"/>
                      <w:kern w:val="0"/>
                      <w:sz w:val="21"/>
                      <w:szCs w:val="21"/>
                    </w:rPr>
                    <w:t>扬尘及时清扫洒落物料、洒水降尘等措施；机械尾气间断施工、污染物排放量小</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rFonts w:hAnsi="宋体"/>
                      <w:bCs/>
                      <w:snapToGrid w:val="0"/>
                      <w:kern w:val="0"/>
                      <w:sz w:val="21"/>
                      <w:szCs w:val="21"/>
                    </w:rPr>
                    <w:t>柴油发电机</w:t>
                  </w:r>
                  <w:r>
                    <w:rPr>
                      <w:rFonts w:hAnsi="宋体"/>
                      <w:snapToGrid w:val="0"/>
                      <w:kern w:val="0"/>
                      <w:sz w:val="21"/>
                      <w:szCs w:val="21"/>
                    </w:rPr>
                    <w:t>废气</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通过</w:t>
                  </w:r>
                  <w:r>
                    <w:rPr>
                      <w:rFonts w:hAnsi="宋体"/>
                      <w:bCs/>
                      <w:snapToGrid w:val="0"/>
                      <w:kern w:val="0"/>
                      <w:sz w:val="21"/>
                      <w:szCs w:val="21"/>
                    </w:rPr>
                    <w:t>柴油发电机</w:t>
                  </w:r>
                  <w:r>
                    <w:rPr>
                      <w:rFonts w:hint="eastAsia"/>
                      <w:snapToGrid w:val="0"/>
                      <w:kern w:val="0"/>
                      <w:sz w:val="21"/>
                      <w:szCs w:val="21"/>
                    </w:rPr>
                    <w:t>自带尾气净化装置达标排放</w:t>
                  </w:r>
                </w:p>
              </w:tc>
              <w:tc>
                <w:tcPr>
                  <w:tcW w:w="1150"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纳入主体工程投资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测试放喷废气</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针对测试放喷废气主要采用地面灼烧处理，采用短火焰灼烧器，修建燃烧池及</w:t>
                  </w:r>
                  <w:r>
                    <w:rPr>
                      <w:rFonts w:hint="eastAsia"/>
                      <w:snapToGrid w:val="0"/>
                      <w:kern w:val="0"/>
                      <w:sz w:val="21"/>
                      <w:szCs w:val="21"/>
                    </w:rPr>
                    <w:t>挡火墙</w:t>
                  </w:r>
                  <w:r>
                    <w:rPr>
                      <w:snapToGrid w:val="0"/>
                      <w:kern w:val="0"/>
                      <w:sz w:val="21"/>
                      <w:szCs w:val="21"/>
                    </w:rPr>
                    <w:t>减低辐射影响，内层采用耐火砖修建。</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噪声</w:t>
                  </w: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减震隔声降噪</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选用低噪声的施工机械和工艺，加强各种施工设备的维护和保养。对震动较大的固定机械设备加装基座减震。</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临时搬迁或房屋功能置换</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对受噪声影响较大的居民协商通过临时搬迁或租用其房屋作拟建项目生活区用房的方式解决噪声污染问题，取得居民谅解，避免环保纠纷。</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固体废物</w:t>
                  </w:r>
                </w:p>
              </w:tc>
              <w:tc>
                <w:tcPr>
                  <w:tcW w:w="1387"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土石方</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耕植土堆放场堆放，并篷布遮盖，完钻后用于绿化恢复</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生活垃圾处置</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设置垃圾箱作为固定生活垃圾堆放点，定期清运交当地环卫部门统一处理。</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水基钻井岩屑、废水基泥浆和废水罐污泥</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属于一般工业固体废物，</w:t>
                  </w:r>
                  <w:r>
                    <w:rPr>
                      <w:rFonts w:hint="eastAsia"/>
                      <w:snapToGrid w:val="0"/>
                      <w:kern w:val="0"/>
                      <w:sz w:val="21"/>
                      <w:szCs w:val="21"/>
                    </w:rPr>
                    <w:t>定期外运制烧结砖</w:t>
                  </w:r>
                  <w:r>
                    <w:rPr>
                      <w:snapToGrid w:val="0"/>
                      <w:kern w:val="0"/>
                      <w:sz w:val="21"/>
                      <w:szCs w:val="21"/>
                    </w:rPr>
                    <w:t>。</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油基岩屑</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收集后定期拉运至有资质的单位进行处置</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废油</w:t>
                  </w:r>
                </w:p>
              </w:tc>
              <w:tc>
                <w:tcPr>
                  <w:tcW w:w="5082" w:type="dxa"/>
                  <w:vAlign w:val="center"/>
                </w:tcPr>
                <w:p>
                  <w:pPr>
                    <w:autoSpaceDE w:val="0"/>
                    <w:autoSpaceDN w:val="0"/>
                    <w:spacing w:line="240" w:lineRule="auto"/>
                    <w:ind w:firstLine="0" w:firstLineChars="0"/>
                    <w:jc w:val="center"/>
                    <w:rPr>
                      <w:snapToGrid w:val="0"/>
                      <w:kern w:val="0"/>
                      <w:sz w:val="21"/>
                      <w:szCs w:val="21"/>
                    </w:rPr>
                  </w:pPr>
                  <w:r>
                    <w:rPr>
                      <w:rFonts w:hint="eastAsia"/>
                      <w:snapToGrid w:val="0"/>
                      <w:kern w:val="0"/>
                      <w:sz w:val="21"/>
                      <w:szCs w:val="21"/>
                    </w:rPr>
                    <w:t>收集后交由相应资质类别的危废处理单位拉运处置</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含油废棉纱手套</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暂存于</w:t>
                  </w:r>
                  <w:r>
                    <w:rPr>
                      <w:rFonts w:hAnsi="宋体"/>
                      <w:snapToGrid w:val="0"/>
                      <w:kern w:val="0"/>
                      <w:sz w:val="21"/>
                      <w:szCs w:val="21"/>
                    </w:rPr>
                    <w:t>危废暂存间</w:t>
                  </w:r>
                  <w:r>
                    <w:rPr>
                      <w:snapToGrid w:val="0"/>
                      <w:kern w:val="0"/>
                      <w:sz w:val="21"/>
                      <w:szCs w:val="21"/>
                    </w:rPr>
                    <w:t>，交有资质单位处置</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生态</w:t>
                  </w: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水土保持</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井场</w:t>
                  </w:r>
                  <w:r>
                    <w:rPr>
                      <w:rFonts w:hint="eastAsia"/>
                      <w:snapToGrid w:val="0"/>
                      <w:kern w:val="0"/>
                      <w:sz w:val="21"/>
                      <w:szCs w:val="21"/>
                    </w:rPr>
                    <w:t>后场硬化、前场铺设碎石</w:t>
                  </w:r>
                  <w:r>
                    <w:rPr>
                      <w:snapToGrid w:val="0"/>
                      <w:kern w:val="0"/>
                      <w:sz w:val="21"/>
                      <w:szCs w:val="21"/>
                    </w:rPr>
                    <w:t>减少雨水冲刷；场地周围修临时排水沟；表土单独堆放；表土场采取拦挡、排水措施，采取防雨布临时遮挡措施。</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燃烧池、应急池覆土回填及绿化</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放喷管线出口位置修建燃烧池，建</w:t>
                  </w:r>
                  <w:r>
                    <w:rPr>
                      <w:rFonts w:hint="eastAsia"/>
                      <w:snapToGrid w:val="0"/>
                      <w:kern w:val="0"/>
                      <w:sz w:val="21"/>
                      <w:szCs w:val="21"/>
                    </w:rPr>
                    <w:t>挡火墙</w:t>
                  </w:r>
                  <w:r>
                    <w:rPr>
                      <w:snapToGrid w:val="0"/>
                      <w:kern w:val="0"/>
                      <w:sz w:val="21"/>
                      <w:szCs w:val="21"/>
                    </w:rPr>
                    <w:t>减小热辐射。完井拆除的应急池和集酸池表面覆土回填，种植当地适生草本植被恢复。并设置标志，禁止用于种植深根作物。</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耕植土堆放场</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设置挡土墙减少水土流失，需要对占地进行土壤改良后适宜旱作，进行复垦。耕植土堆放平整，夯实，周边设置了堡坎减少水土流失。</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100" w:type="dxa"/>
                  <w:vMerge w:val="continue"/>
                  <w:vAlign w:val="center"/>
                </w:tcPr>
                <w:p>
                  <w:pPr>
                    <w:widowControl/>
                    <w:spacing w:line="240" w:lineRule="auto"/>
                    <w:ind w:firstLine="0" w:firstLineChars="0"/>
                    <w:jc w:val="center"/>
                    <w:rPr>
                      <w:snapToGrid w:val="0"/>
                      <w:kern w:val="0"/>
                      <w:sz w:val="21"/>
                      <w:szCs w:val="21"/>
                    </w:rPr>
                  </w:pPr>
                </w:p>
              </w:tc>
              <w:tc>
                <w:tcPr>
                  <w:tcW w:w="1387"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补偿、减少影响范围、生态恢复</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根据《中华人民共和国土地管理法》规定相关地方规定对工程占地进行补偿。严格划定施工作业范围，严禁砍伐野外植被。板房搬迁后，进行土地复垦。</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487" w:type="dxa"/>
                  <w:gridSpan w:val="2"/>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闭井期环保措施</w:t>
                  </w:r>
                </w:p>
              </w:tc>
              <w:tc>
                <w:tcPr>
                  <w:tcW w:w="5082"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井场土地复垦，确保与周边现状环境一致</w:t>
                  </w:r>
                </w:p>
              </w:tc>
              <w:tc>
                <w:tcPr>
                  <w:tcW w:w="115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环境风险</w:t>
                  </w:r>
                </w:p>
              </w:tc>
              <w:tc>
                <w:tcPr>
                  <w:tcW w:w="6469" w:type="dxa"/>
                  <w:gridSpan w:val="2"/>
                  <w:vAlign w:val="center"/>
                </w:tcPr>
                <w:p>
                  <w:pPr>
                    <w:spacing w:line="240" w:lineRule="auto"/>
                    <w:ind w:firstLine="0" w:firstLineChars="0"/>
                    <w:rPr>
                      <w:snapToGrid w:val="0"/>
                      <w:kern w:val="0"/>
                      <w:sz w:val="21"/>
                      <w:szCs w:val="21"/>
                    </w:rPr>
                  </w:pPr>
                  <w:r>
                    <w:rPr>
                      <w:snapToGrid w:val="0"/>
                      <w:kern w:val="0"/>
                      <w:sz w:val="21"/>
                    </w:rPr>
                    <w:t>废水、油类储存转运泄漏防范措施</w:t>
                  </w:r>
                </w:p>
              </w:tc>
              <w:tc>
                <w:tcPr>
                  <w:tcW w:w="1150" w:type="dxa"/>
                  <w:vMerge w:val="restart"/>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6469" w:type="dxa"/>
                  <w:gridSpan w:val="2"/>
                  <w:vAlign w:val="center"/>
                </w:tcPr>
                <w:p>
                  <w:pPr>
                    <w:spacing w:line="240" w:lineRule="auto"/>
                    <w:ind w:firstLine="0" w:firstLineChars="0"/>
                    <w:rPr>
                      <w:snapToGrid w:val="0"/>
                      <w:kern w:val="0"/>
                      <w:sz w:val="21"/>
                      <w:szCs w:val="21"/>
                    </w:rPr>
                  </w:pPr>
                  <w:r>
                    <w:rPr>
                      <w:snapToGrid w:val="0"/>
                      <w:kern w:val="0"/>
                      <w:sz w:val="21"/>
                    </w:rPr>
                    <w:t>周边农户宣传、职工环保培训；编制应急预案及培训、演练等</w:t>
                  </w:r>
                </w:p>
              </w:tc>
              <w:tc>
                <w:tcPr>
                  <w:tcW w:w="1150" w:type="dxa"/>
                  <w:vMerge w:val="continue"/>
                  <w:vAlign w:val="center"/>
                </w:tcPr>
                <w:p>
                  <w:pPr>
                    <w:autoSpaceDE w:val="0"/>
                    <w:autoSpaceDN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00" w:type="dxa"/>
                  <w:vMerge w:val="continue"/>
                  <w:vAlign w:val="center"/>
                </w:tcPr>
                <w:p>
                  <w:pPr>
                    <w:autoSpaceDE w:val="0"/>
                    <w:autoSpaceDN w:val="0"/>
                    <w:spacing w:line="240" w:lineRule="auto"/>
                    <w:ind w:firstLine="0" w:firstLineChars="0"/>
                    <w:jc w:val="center"/>
                    <w:rPr>
                      <w:snapToGrid w:val="0"/>
                      <w:kern w:val="0"/>
                      <w:sz w:val="21"/>
                      <w:szCs w:val="21"/>
                    </w:rPr>
                  </w:pPr>
                </w:p>
              </w:tc>
              <w:tc>
                <w:tcPr>
                  <w:tcW w:w="6469" w:type="dxa"/>
                  <w:gridSpan w:val="2"/>
                  <w:vAlign w:val="center"/>
                </w:tcPr>
                <w:p>
                  <w:pPr>
                    <w:spacing w:line="240" w:lineRule="auto"/>
                    <w:ind w:firstLine="0" w:firstLineChars="0"/>
                    <w:jc w:val="center"/>
                    <w:rPr>
                      <w:snapToGrid w:val="0"/>
                      <w:kern w:val="0"/>
                      <w:sz w:val="21"/>
                      <w:szCs w:val="21"/>
                    </w:rPr>
                  </w:pPr>
                  <w:r>
                    <w:rPr>
                      <w:snapToGrid w:val="0"/>
                      <w:kern w:val="0"/>
                      <w:sz w:val="21"/>
                    </w:rPr>
                    <w:t>应急疏散</w:t>
                  </w:r>
                </w:p>
              </w:tc>
              <w:tc>
                <w:tcPr>
                  <w:tcW w:w="1150" w:type="dxa"/>
                  <w:vMerge w:val="continue"/>
                  <w:vAlign w:val="center"/>
                </w:tcPr>
                <w:p>
                  <w:pPr>
                    <w:autoSpaceDE w:val="0"/>
                    <w:autoSpaceDN w:val="0"/>
                    <w:spacing w:line="240" w:lineRule="auto"/>
                    <w:ind w:firstLine="0" w:firstLineChars="0"/>
                    <w:jc w:val="center"/>
                    <w:rPr>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00" w:type="dxa"/>
                  <w:vAlign w:val="center"/>
                </w:tcPr>
                <w:p>
                  <w:pPr>
                    <w:autoSpaceDE w:val="0"/>
                    <w:autoSpaceDN w:val="0"/>
                    <w:spacing w:line="240" w:lineRule="auto"/>
                    <w:ind w:firstLine="0" w:firstLineChars="0"/>
                    <w:jc w:val="center"/>
                    <w:rPr>
                      <w:snapToGrid w:val="0"/>
                      <w:kern w:val="0"/>
                      <w:sz w:val="21"/>
                      <w:szCs w:val="21"/>
                    </w:rPr>
                  </w:pPr>
                  <w:r>
                    <w:rPr>
                      <w:snapToGrid w:val="0"/>
                      <w:kern w:val="0"/>
                      <w:sz w:val="21"/>
                      <w:szCs w:val="21"/>
                    </w:rPr>
                    <w:t>合计投资</w:t>
                  </w:r>
                </w:p>
              </w:tc>
              <w:tc>
                <w:tcPr>
                  <w:tcW w:w="7619" w:type="dxa"/>
                  <w:gridSpan w:val="3"/>
                  <w:vAlign w:val="center"/>
                </w:tcPr>
                <w:p>
                  <w:pPr>
                    <w:autoSpaceDE w:val="0"/>
                    <w:autoSpaceDN w:val="0"/>
                    <w:spacing w:line="240" w:lineRule="auto"/>
                    <w:ind w:firstLine="0" w:firstLineChars="0"/>
                    <w:jc w:val="center"/>
                    <w:rPr>
                      <w:snapToGrid w:val="0"/>
                      <w:kern w:val="0"/>
                      <w:sz w:val="21"/>
                      <w:szCs w:val="21"/>
                    </w:rPr>
                  </w:pPr>
                  <w:r>
                    <w:rPr>
                      <w:rFonts w:hAnsi="宋体"/>
                      <w:bCs/>
                      <w:snapToGrid w:val="0"/>
                      <w:kern w:val="0"/>
                      <w:sz w:val="21"/>
                      <w:szCs w:val="21"/>
                    </w:rPr>
                    <w:t>457.9</w:t>
                  </w:r>
                  <w:r>
                    <w:rPr>
                      <w:snapToGrid w:val="0"/>
                      <w:kern w:val="0"/>
                      <w:sz w:val="21"/>
                      <w:szCs w:val="21"/>
                    </w:rPr>
                    <w:t>万元</w:t>
                  </w:r>
                </w:p>
              </w:tc>
            </w:tr>
          </w:tbl>
          <w:p>
            <w:pPr>
              <w:adjustRightInd w:val="0"/>
              <w:snapToGrid w:val="0"/>
              <w:ind w:firstLine="460"/>
              <w:rPr>
                <w:bCs/>
                <w:spacing w:val="10"/>
                <w:sz w:val="21"/>
                <w:szCs w:val="21"/>
              </w:rPr>
            </w:pPr>
          </w:p>
        </w:tc>
      </w:tr>
    </w:tbl>
    <w:p>
      <w:pPr>
        <w:ind w:firstLine="420"/>
        <w:rPr>
          <w:sz w:val="21"/>
          <w:szCs w:val="21"/>
        </w:rPr>
        <w:sectPr>
          <w:pgSz w:w="11907" w:h="16840"/>
          <w:pgMar w:top="1440" w:right="1440" w:bottom="1440" w:left="1440" w:header="851" w:footer="1077" w:gutter="0"/>
          <w:cols w:space="425" w:num="1"/>
          <w:docGrid w:linePitch="312" w:charSpace="0"/>
        </w:sectPr>
      </w:pPr>
    </w:p>
    <w:p>
      <w:pPr>
        <w:pStyle w:val="2"/>
        <w:rPr>
          <w:rFonts w:eastAsia="宋体"/>
          <w:snapToGrid w:val="0"/>
          <w:color w:val="auto"/>
          <w:sz w:val="24"/>
          <w:szCs w:val="21"/>
        </w:rPr>
      </w:pPr>
      <w:r>
        <w:rPr>
          <w:rFonts w:eastAsia="宋体"/>
          <w:snapToGrid w:val="0"/>
          <w:color w:val="auto"/>
          <w:sz w:val="24"/>
          <w:szCs w:val="21"/>
        </w:rPr>
        <w:t>六、生态环境保护措施监督检查清单</w:t>
      </w:r>
    </w:p>
    <w:tbl>
      <w:tblPr>
        <w:tblStyle w:val="22"/>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799"/>
        <w:gridCol w:w="857"/>
        <w:gridCol w:w="2526"/>
        <w:gridCol w:w="2154"/>
        <w:gridCol w:w="1089"/>
        <w:gridCol w:w="8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op w:val="single" w:color="auto" w:sz="4" w:space="0"/>
              <w:left w:val="single" w:color="auto" w:sz="4" w:space="0"/>
              <w:bottom w:val="single" w:color="auto" w:sz="4" w:space="0"/>
              <w:tl2br w:val="single" w:color="auto" w:sz="4" w:space="0"/>
            </w:tcBorders>
          </w:tcPr>
          <w:p>
            <w:pPr>
              <w:pStyle w:val="20"/>
              <w:adjustRightInd w:val="0"/>
              <w:snapToGrid w:val="0"/>
              <w:spacing w:before="0" w:beforeAutospacing="0" w:after="0" w:afterAutospacing="0" w:line="240" w:lineRule="auto"/>
              <w:ind w:firstLine="0" w:firstLineChars="0"/>
              <w:jc w:val="right"/>
              <w:outlineLvl w:val="0"/>
              <w:rPr>
                <w:rFonts w:cs="宋体"/>
                <w:snapToGrid w:val="0"/>
                <w:sz w:val="21"/>
                <w:szCs w:val="21"/>
              </w:rPr>
            </w:pPr>
            <w:r>
              <w:rPr>
                <w:rFonts w:hint="eastAsia" w:cs="宋体"/>
                <w:snapToGrid w:val="0"/>
                <w:sz w:val="21"/>
                <w:szCs w:val="21"/>
              </w:rPr>
              <w:t>内容</w:t>
            </w:r>
          </w:p>
          <w:p>
            <w:pPr>
              <w:pStyle w:val="20"/>
              <w:adjustRightInd w:val="0"/>
              <w:snapToGrid w:val="0"/>
              <w:spacing w:before="0" w:beforeAutospacing="0" w:after="0" w:afterAutospacing="0" w:line="240" w:lineRule="auto"/>
              <w:ind w:firstLine="0" w:firstLineChars="0"/>
              <w:outlineLvl w:val="0"/>
              <w:rPr>
                <w:rFonts w:cs="宋体"/>
                <w:snapToGrid w:val="0"/>
                <w:sz w:val="21"/>
                <w:szCs w:val="21"/>
              </w:rPr>
            </w:pPr>
          </w:p>
          <w:p>
            <w:pPr>
              <w:pStyle w:val="20"/>
              <w:adjustRightInd w:val="0"/>
              <w:snapToGrid w:val="0"/>
              <w:spacing w:before="0" w:beforeAutospacing="0" w:after="0" w:afterAutospacing="0" w:line="240" w:lineRule="auto"/>
              <w:ind w:firstLine="0" w:firstLineChars="0"/>
              <w:outlineLvl w:val="0"/>
              <w:rPr>
                <w:rFonts w:cs="宋体"/>
                <w:snapToGrid w:val="0"/>
                <w:sz w:val="21"/>
                <w:szCs w:val="21"/>
              </w:rPr>
            </w:pPr>
          </w:p>
          <w:p>
            <w:pPr>
              <w:pStyle w:val="20"/>
              <w:adjustRightInd w:val="0"/>
              <w:snapToGrid w:val="0"/>
              <w:spacing w:before="0" w:beforeAutospacing="0" w:after="0" w:afterAutospacing="0" w:line="240" w:lineRule="auto"/>
              <w:ind w:firstLine="0" w:firstLineChars="0"/>
              <w:outlineLvl w:val="0"/>
              <w:rPr>
                <w:rFonts w:cs="宋体"/>
                <w:snapToGrid w:val="0"/>
                <w:sz w:val="21"/>
                <w:szCs w:val="21"/>
              </w:rPr>
            </w:pPr>
            <w:r>
              <w:rPr>
                <w:rFonts w:hint="eastAsia" w:cs="宋体"/>
                <w:snapToGrid w:val="0"/>
                <w:sz w:val="21"/>
                <w:szCs w:val="21"/>
              </w:rPr>
              <w:t>要素</w:t>
            </w:r>
          </w:p>
        </w:tc>
        <w:tc>
          <w:tcPr>
            <w:tcW w:w="3386" w:type="pct"/>
            <w:gridSpan w:val="4"/>
            <w:tcBorders>
              <w:top w:val="single" w:color="auto" w:sz="4" w:space="0"/>
              <w:bottom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施工期</w:t>
            </w:r>
          </w:p>
        </w:tc>
        <w:tc>
          <w:tcPr>
            <w:tcW w:w="1021" w:type="pct"/>
            <w:gridSpan w:val="2"/>
            <w:tcBorders>
              <w:top w:val="single" w:color="auto" w:sz="4" w:space="0"/>
              <w:bottom w:val="single" w:color="auto" w:sz="4" w:space="0"/>
              <w:right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p>
        </w:tc>
        <w:tc>
          <w:tcPr>
            <w:tcW w:w="2235" w:type="pct"/>
            <w:gridSpan w:val="3"/>
            <w:tcBorders>
              <w:top w:val="single" w:color="auto" w:sz="4" w:space="0"/>
              <w:bottom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环境保护措施</w:t>
            </w:r>
          </w:p>
        </w:tc>
        <w:tc>
          <w:tcPr>
            <w:tcW w:w="1151" w:type="pct"/>
            <w:tcBorders>
              <w:top w:val="single" w:color="auto" w:sz="4" w:space="0"/>
              <w:bottom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验收要求</w:t>
            </w:r>
          </w:p>
        </w:tc>
        <w:tc>
          <w:tcPr>
            <w:tcW w:w="582" w:type="pct"/>
            <w:tcBorders>
              <w:top w:val="single" w:color="auto" w:sz="4" w:space="0"/>
              <w:bottom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环境保护措施</w:t>
            </w:r>
          </w:p>
        </w:tc>
        <w:tc>
          <w:tcPr>
            <w:tcW w:w="439" w:type="pct"/>
            <w:tcBorders>
              <w:top w:val="single" w:color="auto" w:sz="4" w:space="0"/>
              <w:bottom w:val="single" w:color="auto" w:sz="4" w:space="0"/>
              <w:right w:val="single" w:color="auto" w:sz="4" w:space="0"/>
            </w:tcBorders>
            <w:vAlign w:val="center"/>
          </w:tcPr>
          <w:p>
            <w:pPr>
              <w:pStyle w:val="20"/>
              <w:adjustRightInd w:val="0"/>
              <w:snapToGrid w:val="0"/>
              <w:spacing w:before="0" w:beforeAutospacing="0" w:after="0" w:afterAutospacing="0" w:line="240" w:lineRule="auto"/>
              <w:ind w:firstLine="0" w:firstLineChars="0"/>
              <w:jc w:val="center"/>
              <w:outlineLvl w:val="0"/>
              <w:rPr>
                <w:rFonts w:cs="宋体"/>
                <w:snapToGrid w:val="0"/>
                <w:sz w:val="21"/>
                <w:szCs w:val="21"/>
              </w:rPr>
            </w:pPr>
            <w:r>
              <w:rPr>
                <w:rFonts w:hint="eastAsia" w:cs="宋体"/>
                <w:snapToGrid w:val="0"/>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陆生生态</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napToGrid w:val="0"/>
                <w:kern w:val="0"/>
                <w:sz w:val="21"/>
                <w:szCs w:val="21"/>
              </w:rPr>
              <w:t>井场</w:t>
            </w:r>
            <w:r>
              <w:rPr>
                <w:rFonts w:hint="eastAsia"/>
                <w:snapToGrid w:val="0"/>
                <w:kern w:val="0"/>
                <w:sz w:val="21"/>
                <w:szCs w:val="21"/>
              </w:rPr>
              <w:t>后场、前场硬化，</w:t>
            </w:r>
            <w:r>
              <w:rPr>
                <w:snapToGrid w:val="0"/>
                <w:kern w:val="0"/>
                <w:sz w:val="21"/>
                <w:szCs w:val="21"/>
              </w:rPr>
              <w:t>减少雨水冲刷</w:t>
            </w:r>
            <w:r>
              <w:rPr>
                <w:rFonts w:hAnsi="宋体"/>
                <w:snapToGrid w:val="0"/>
                <w:kern w:val="0"/>
                <w:sz w:val="21"/>
                <w:szCs w:val="21"/>
              </w:rPr>
              <w:t>；场地周围修临时排水沟；</w:t>
            </w:r>
            <w:r>
              <w:rPr>
                <w:rFonts w:hint="eastAsia" w:hAnsi="宋体"/>
                <w:snapToGrid w:val="0"/>
                <w:kern w:val="0"/>
                <w:sz w:val="21"/>
                <w:szCs w:val="21"/>
              </w:rPr>
              <w:t>耕植土</w:t>
            </w:r>
            <w:r>
              <w:rPr>
                <w:rFonts w:hAnsi="宋体"/>
                <w:snapToGrid w:val="0"/>
                <w:kern w:val="0"/>
                <w:sz w:val="21"/>
                <w:szCs w:val="21"/>
              </w:rPr>
              <w:t>单独堆放，</w:t>
            </w:r>
            <w:r>
              <w:rPr>
                <w:rFonts w:hint="eastAsia" w:hAnsi="宋体"/>
                <w:snapToGrid w:val="0"/>
                <w:kern w:val="0"/>
                <w:sz w:val="21"/>
                <w:szCs w:val="21"/>
              </w:rPr>
              <w:t>耕植土堆放场</w:t>
            </w:r>
            <w:r>
              <w:rPr>
                <w:rFonts w:hAnsi="宋体"/>
                <w:snapToGrid w:val="0"/>
                <w:kern w:val="0"/>
                <w:sz w:val="21"/>
                <w:szCs w:val="21"/>
              </w:rPr>
              <w:t>采取拦挡、排水措施，采取防雨布临时遮挡措施；放喷管线出口处修建燃烧池、</w:t>
            </w:r>
            <w:r>
              <w:rPr>
                <w:rFonts w:hint="eastAsia"/>
                <w:snapToGrid w:val="0"/>
                <w:kern w:val="0"/>
                <w:sz w:val="21"/>
                <w:szCs w:val="21"/>
              </w:rPr>
              <w:t>挡火墙</w:t>
            </w:r>
            <w:r>
              <w:rPr>
                <w:rFonts w:hAnsi="宋体"/>
                <w:snapToGrid w:val="0"/>
                <w:kern w:val="0"/>
                <w:sz w:val="21"/>
                <w:szCs w:val="21"/>
              </w:rPr>
              <w:t>；临时占地应清理建构筑物，翻耕覆土，进行复垦</w:t>
            </w:r>
          </w:p>
        </w:tc>
        <w:tc>
          <w:tcPr>
            <w:tcW w:w="1151" w:type="pct"/>
            <w:tcBorders>
              <w:top w:val="single" w:color="auto" w:sz="4" w:space="0"/>
              <w:bottom w:val="single" w:color="auto" w:sz="4" w:space="0"/>
            </w:tcBorders>
            <w:shd w:val="clear" w:color="auto" w:fill="auto"/>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工程结束后及时进行覆土、复耕、复绿</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水生生态</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地表水环境</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钻前工程：井队施工人员生活污水依托周边农户已建设施；钻井工程：井队施工人员生活污水经旱厕收集后</w:t>
            </w:r>
            <w:r>
              <w:rPr>
                <w:rFonts w:cs="Arial"/>
                <w:snapToGrid w:val="0"/>
                <w:kern w:val="0"/>
                <w:sz w:val="21"/>
                <w:szCs w:val="21"/>
              </w:rPr>
              <w:t>用于周边农田施肥</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建立转移联单制度，具备交接清单、处置协议</w:t>
            </w:r>
          </w:p>
        </w:tc>
        <w:tc>
          <w:tcPr>
            <w:tcW w:w="582"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vMerge w:val="restar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修建清洁化操作场地；钻井废水、方井雨水优先回用，不可回用部分拉运至四川鑫泓废水处理厂；洗井废水暂存于重叠罐内回用于压裂液配置，压裂返排液应急池加碱中和后优先回用，约</w:t>
            </w:r>
            <w:r>
              <w:rPr>
                <w:rFonts w:hAnsi="宋体"/>
                <w:snapToGrid w:val="0"/>
                <w:kern w:val="0"/>
                <w:sz w:val="21"/>
                <w:szCs w:val="21"/>
              </w:rPr>
              <w:t>90%</w:t>
            </w:r>
            <w:r>
              <w:rPr>
                <w:rFonts w:hint="eastAsia" w:hAnsi="宋体"/>
                <w:snapToGrid w:val="0"/>
                <w:kern w:val="0"/>
                <w:sz w:val="21"/>
                <w:szCs w:val="21"/>
              </w:rPr>
              <w:t>优先回用于探矿区内其他钻井工程回用于压裂液配置，剩余部分拉运至四川鑫泓废水处理厂</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建立转移联单制度，具备交接清单、处置协议</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地下水及土壤环境</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按照防渗规范，划分重点防渗区域及一般防渗区域，重点防渗区域：等效粘土层</w:t>
            </w:r>
            <w:r>
              <w:rPr>
                <w:snapToGrid w:val="0"/>
                <w:kern w:val="0"/>
                <w:sz w:val="21"/>
                <w:szCs w:val="21"/>
              </w:rPr>
              <w:t>≥</w:t>
            </w:r>
            <w:r>
              <w:rPr>
                <w:rFonts w:hint="eastAsia"/>
                <w:snapToGrid w:val="0"/>
                <w:kern w:val="0"/>
                <w:sz w:val="21"/>
                <w:szCs w:val="21"/>
              </w:rPr>
              <w:t>6m，k</w:t>
            </w:r>
            <w:r>
              <w:rPr>
                <w:snapToGrid w:val="0"/>
                <w:kern w:val="0"/>
                <w:sz w:val="21"/>
                <w:szCs w:val="21"/>
              </w:rPr>
              <w:t>≤</w:t>
            </w:r>
            <w:r>
              <w:rPr>
                <w:rFonts w:hint="eastAsia"/>
                <w:snapToGrid w:val="0"/>
                <w:kern w:val="0"/>
                <w:sz w:val="21"/>
                <w:szCs w:val="21"/>
              </w:rPr>
              <w:t>1</w:t>
            </w:r>
            <w:r>
              <w:rPr>
                <w:snapToGrid w:val="0"/>
                <w:kern w:val="0"/>
                <w:sz w:val="21"/>
                <w:szCs w:val="21"/>
              </w:rPr>
              <w:t>×</w:t>
            </w:r>
            <w:r>
              <w:rPr>
                <w:rFonts w:hint="eastAsia"/>
                <w:snapToGrid w:val="0"/>
                <w:kern w:val="0"/>
                <w:sz w:val="21"/>
                <w:szCs w:val="21"/>
              </w:rPr>
              <w:t>10</w:t>
            </w:r>
            <w:r>
              <w:rPr>
                <w:rFonts w:hint="eastAsia"/>
                <w:snapToGrid w:val="0"/>
                <w:kern w:val="0"/>
                <w:sz w:val="21"/>
                <w:szCs w:val="21"/>
                <w:vertAlign w:val="superscript"/>
              </w:rPr>
              <w:t>-7</w:t>
            </w:r>
            <w:r>
              <w:rPr>
                <w:rFonts w:hint="eastAsia"/>
                <w:snapToGrid w:val="0"/>
                <w:kern w:val="0"/>
                <w:sz w:val="21"/>
                <w:szCs w:val="21"/>
              </w:rPr>
              <w:t>cm/s；一般防渗区：等效粘土层</w:t>
            </w:r>
            <w:r>
              <w:rPr>
                <w:snapToGrid w:val="0"/>
                <w:kern w:val="0"/>
                <w:sz w:val="21"/>
                <w:szCs w:val="21"/>
              </w:rPr>
              <w:t>≥</w:t>
            </w:r>
            <w:r>
              <w:rPr>
                <w:rFonts w:hint="eastAsia"/>
                <w:snapToGrid w:val="0"/>
                <w:kern w:val="0"/>
                <w:sz w:val="21"/>
                <w:szCs w:val="21"/>
              </w:rPr>
              <w:t>1.5m，k</w:t>
            </w:r>
            <w:r>
              <w:rPr>
                <w:snapToGrid w:val="0"/>
                <w:kern w:val="0"/>
                <w:sz w:val="21"/>
                <w:szCs w:val="21"/>
              </w:rPr>
              <w:t>≤</w:t>
            </w:r>
            <w:r>
              <w:rPr>
                <w:rFonts w:hint="eastAsia"/>
                <w:snapToGrid w:val="0"/>
                <w:kern w:val="0"/>
                <w:sz w:val="21"/>
                <w:szCs w:val="21"/>
              </w:rPr>
              <w:t>1</w:t>
            </w:r>
            <w:r>
              <w:rPr>
                <w:snapToGrid w:val="0"/>
                <w:kern w:val="0"/>
                <w:sz w:val="21"/>
                <w:szCs w:val="21"/>
              </w:rPr>
              <w:t>×</w:t>
            </w:r>
            <w:r>
              <w:rPr>
                <w:rFonts w:hint="eastAsia"/>
                <w:snapToGrid w:val="0"/>
                <w:kern w:val="0"/>
                <w:sz w:val="21"/>
                <w:szCs w:val="21"/>
              </w:rPr>
              <w:t>10</w:t>
            </w:r>
            <w:r>
              <w:rPr>
                <w:rFonts w:hint="eastAsia"/>
                <w:snapToGrid w:val="0"/>
                <w:kern w:val="0"/>
                <w:sz w:val="21"/>
                <w:szCs w:val="21"/>
                <w:vertAlign w:val="superscript"/>
              </w:rPr>
              <w:t>-7</w:t>
            </w:r>
            <w:r>
              <w:rPr>
                <w:rFonts w:hint="eastAsia"/>
                <w:snapToGrid w:val="0"/>
                <w:kern w:val="0"/>
                <w:sz w:val="21"/>
                <w:szCs w:val="21"/>
              </w:rPr>
              <w:t>cm/s，危废暂存间基础满足至少1m厚黏土层（渗透系数不大于10</w:t>
            </w:r>
            <w:r>
              <w:rPr>
                <w:rFonts w:hint="eastAsia"/>
                <w:snapToGrid w:val="0"/>
                <w:kern w:val="0"/>
                <w:sz w:val="21"/>
                <w:szCs w:val="21"/>
                <w:vertAlign w:val="superscript"/>
              </w:rPr>
              <w:t>-7</w:t>
            </w:r>
            <w:r>
              <w:rPr>
                <w:rFonts w:hint="eastAsia"/>
                <w:snapToGrid w:val="0"/>
                <w:kern w:val="0"/>
                <w:sz w:val="21"/>
                <w:szCs w:val="21"/>
              </w:rPr>
              <w:t>cm/s），或至少2mm厚高密度聚乙烯膜等人工防渗材料（渗透系数不大于10</w:t>
            </w:r>
            <w:r>
              <w:rPr>
                <w:rFonts w:hint="eastAsia"/>
                <w:snapToGrid w:val="0"/>
                <w:kern w:val="0"/>
                <w:sz w:val="21"/>
                <w:szCs w:val="21"/>
                <w:vertAlign w:val="superscript"/>
              </w:rPr>
              <w:t>-10</w:t>
            </w:r>
            <w:r>
              <w:rPr>
                <w:rFonts w:hint="eastAsia"/>
                <w:snapToGrid w:val="0"/>
                <w:kern w:val="0"/>
                <w:sz w:val="21"/>
                <w:szCs w:val="21"/>
              </w:rPr>
              <w:t>cm/s）</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分区防渗满足要求，土壤和地下水例行监测点位环境质量监测结果满足土壤和地下水标准要求，未受到污染</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声环境</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设置发电房，内部设置隔声材料，优化平面布局，加设减震垫</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按要求设置相应的噪声控制措施</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振动</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大气环境</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测试废气：采用地面灼烧处理，修建主燃烧池、副燃烧池各1座</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修建A类主燃烧池、副燃烧池各1座</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固体废物</w:t>
            </w: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Times New Roman" w:eastAsia="宋体"/>
                <w:snapToGrid w:val="0"/>
                <w:kern w:val="0"/>
                <w:sz w:val="21"/>
              </w:rPr>
            </w:pPr>
            <w:r>
              <w:rPr>
                <w:rFonts w:hint="eastAsia" w:ascii="Times New Roman" w:hAnsi="Times New Roman" w:eastAsia="宋体"/>
                <w:snapToGrid w:val="0"/>
                <w:kern w:val="0"/>
                <w:sz w:val="21"/>
              </w:rPr>
              <w:t>钻井生活垃圾：设置垃圾箱收集，完钻后统一收集交由当地环卫部门集中卫生填埋处置</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合理处置，现场无遗留</w:t>
            </w:r>
          </w:p>
        </w:tc>
        <w:tc>
          <w:tcPr>
            <w:tcW w:w="582"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vMerge w:val="restar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Times New Roman" w:eastAsia="宋体"/>
                <w:snapToGrid w:val="0"/>
                <w:kern w:val="0"/>
                <w:sz w:val="21"/>
              </w:rPr>
            </w:pPr>
            <w:r>
              <w:rPr>
                <w:rFonts w:hint="eastAsia" w:ascii="Times New Roman" w:hAnsi="Times New Roman" w:eastAsia="宋体"/>
                <w:snapToGrid w:val="0"/>
                <w:kern w:val="0"/>
                <w:sz w:val="21"/>
              </w:rPr>
              <w:t>废水基泥浆、水基岩屑、沉淀罐污泥：在岩屑堆放场暂存，定期外运进行资源化利用</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建立转移联单制度，具备交接清单、处置协议</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Times New Roman" w:eastAsia="宋体"/>
                <w:snapToGrid w:val="0"/>
                <w:kern w:val="0"/>
                <w:sz w:val="21"/>
              </w:rPr>
            </w:pPr>
            <w:r>
              <w:rPr>
                <w:rFonts w:hint="eastAsia" w:ascii="Times New Roman" w:hAnsi="Times New Roman" w:eastAsia="宋体"/>
                <w:snapToGrid w:val="0"/>
                <w:kern w:val="0"/>
                <w:sz w:val="21"/>
              </w:rPr>
              <w:t>油基岩屑：收集后暂存于危废暂存间内定期拉运至有资质的单位进行处置</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建立转移联单制度，具备交接清单、处置协议</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Times New Roman" w:eastAsia="宋体"/>
                <w:snapToGrid w:val="0"/>
                <w:kern w:val="0"/>
                <w:sz w:val="21"/>
              </w:rPr>
            </w:pPr>
            <w:r>
              <w:rPr>
                <w:rFonts w:hint="eastAsia" w:ascii="Times New Roman" w:hAnsi="Times New Roman" w:eastAsia="宋体"/>
                <w:snapToGrid w:val="0"/>
                <w:kern w:val="0"/>
                <w:sz w:val="21"/>
              </w:rPr>
              <w:t>废油：收集后由企业内部资源化利用</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具备交接清单</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Times New Roman" w:eastAsia="宋体"/>
                <w:snapToGrid w:val="0"/>
                <w:kern w:val="0"/>
                <w:sz w:val="21"/>
              </w:rPr>
            </w:pPr>
            <w:r>
              <w:rPr>
                <w:rFonts w:hint="eastAsia" w:ascii="Times New Roman" w:hAnsi="Times New Roman" w:eastAsia="宋体"/>
                <w:snapToGrid w:val="0"/>
                <w:kern w:val="0"/>
                <w:sz w:val="21"/>
              </w:rPr>
              <w:t>废含油棉纱手套：收集至危废暂存间暂存后定期交由有资质的单位处置</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r>
              <w:rPr>
                <w:rFonts w:hAnsi="宋体"/>
                <w:snapToGrid w:val="0"/>
                <w:kern w:val="0"/>
                <w:sz w:val="21"/>
                <w:szCs w:val="21"/>
              </w:rPr>
              <w:t>建立转移联单制度，具备交接清单、处置协议</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2235" w:type="pct"/>
            <w:gridSpan w:val="3"/>
            <w:tcBorders>
              <w:top w:val="single" w:color="auto" w:sz="4" w:space="0"/>
              <w:bottom w:val="single" w:color="auto" w:sz="4" w:space="0"/>
            </w:tcBorders>
            <w:vAlign w:val="center"/>
          </w:tcPr>
          <w:p>
            <w:pPr>
              <w:pStyle w:val="6"/>
              <w:spacing w:line="240" w:lineRule="auto"/>
              <w:ind w:firstLine="0" w:firstLineChars="0"/>
              <w:jc w:val="center"/>
              <w:rPr>
                <w:rFonts w:ascii="Times New Roman" w:hAnsi="宋体" w:eastAsia="宋体"/>
                <w:snapToGrid w:val="0"/>
                <w:kern w:val="0"/>
                <w:sz w:val="21"/>
              </w:rPr>
            </w:pPr>
            <w:r>
              <w:rPr>
                <w:rFonts w:hint="eastAsia" w:ascii="Times New Roman" w:hAnsi="宋体" w:eastAsia="宋体"/>
                <w:snapToGrid w:val="0"/>
                <w:kern w:val="0"/>
                <w:sz w:val="21"/>
              </w:rPr>
              <w:t>废包装材料：收集后定期运至就近的废品回收站进行处理</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合理处置</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电磁环境</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环境风险</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sz w:val="21"/>
                <w:szCs w:val="21"/>
              </w:rPr>
              <w:t>井场采用清污分流制，站场设置应急池、污水截流沟及隔油池，场内设置排水沟，事故情况泄漏物料泵入应急池。废水罐、柴油罐区、重叠罐区设置围堤(30cm高)、岩屑收集罐设置围堤(50cm高)、配备应急物资（提升泵及其排水管线）</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sz w:val="21"/>
                <w:szCs w:val="21"/>
              </w:rPr>
              <w:t>落实风险防范措施</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环境监测</w:t>
            </w:r>
          </w:p>
        </w:tc>
        <w:tc>
          <w:tcPr>
            <w:tcW w:w="427"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地下水</w:t>
            </w:r>
          </w:p>
        </w:tc>
        <w:tc>
          <w:tcPr>
            <w:tcW w:w="458"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r>
              <w:rPr>
                <w:rFonts w:hint="eastAsia"/>
                <w:snapToGrid w:val="0"/>
                <w:kern w:val="0"/>
                <w:sz w:val="21"/>
                <w:szCs w:val="21"/>
              </w:rPr>
              <w:t>监测点</w:t>
            </w:r>
          </w:p>
        </w:tc>
        <w:tc>
          <w:tcPr>
            <w:tcW w:w="1350" w:type="pct"/>
            <w:tcBorders>
              <w:top w:val="single" w:color="auto" w:sz="4" w:space="0"/>
              <w:bottom w:val="single" w:color="auto" w:sz="4" w:space="0"/>
            </w:tcBorders>
            <w:vAlign w:val="center"/>
          </w:tcPr>
          <w:p>
            <w:pPr>
              <w:pStyle w:val="108"/>
              <w:widowControl w:val="0"/>
              <w:ind w:left="-60" w:leftChars="-25" w:right="-60" w:rightChars="-25"/>
            </w:pPr>
            <w:r>
              <w:rPr>
                <w:rFonts w:hint="eastAsia"/>
              </w:rPr>
              <w:t>1</w:t>
            </w:r>
            <w:r>
              <w:t>#监测点：井口</w:t>
            </w:r>
            <w:r>
              <w:rPr>
                <w:rFonts w:hint="eastAsia"/>
              </w:rPr>
              <w:t>西南侧397m处水井</w:t>
            </w:r>
          </w:p>
        </w:tc>
        <w:tc>
          <w:tcPr>
            <w:tcW w:w="1151"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钻井过程中发生地下水污染或投诉时监测，</w:t>
            </w:r>
            <w:r>
              <w:rPr>
                <w:rFonts w:hint="eastAsia"/>
                <w:snapToGrid w:val="0"/>
                <w:kern w:val="0"/>
                <w:sz w:val="21"/>
                <w:szCs w:val="21"/>
              </w:rPr>
              <w:t>完钻</w:t>
            </w:r>
            <w:r>
              <w:rPr>
                <w:snapToGrid w:val="0"/>
                <w:kern w:val="0"/>
                <w:sz w:val="21"/>
                <w:szCs w:val="21"/>
              </w:rPr>
              <w:t>验收监测1次，每次监测1天，每天采样1次</w:t>
            </w:r>
          </w:p>
        </w:tc>
        <w:tc>
          <w:tcPr>
            <w:tcW w:w="582"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vMerge w:val="restar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427"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458"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p>
        </w:tc>
        <w:tc>
          <w:tcPr>
            <w:tcW w:w="1350" w:type="pct"/>
            <w:tcBorders>
              <w:top w:val="single" w:color="auto" w:sz="4" w:space="0"/>
              <w:bottom w:val="single" w:color="auto" w:sz="4" w:space="0"/>
            </w:tcBorders>
            <w:vAlign w:val="center"/>
          </w:tcPr>
          <w:p>
            <w:pPr>
              <w:pStyle w:val="108"/>
              <w:widowControl w:val="0"/>
              <w:ind w:left="-60" w:leftChars="-25" w:right="-60" w:rightChars="-25"/>
            </w:pPr>
            <w:r>
              <w:rPr>
                <w:rFonts w:hint="eastAsia"/>
              </w:rPr>
              <w:t>2</w:t>
            </w:r>
            <w:r>
              <w:t>#监测点：井口</w:t>
            </w:r>
            <w:r>
              <w:rPr>
                <w:rFonts w:hint="eastAsia"/>
              </w:rPr>
              <w:t>东南侧2</w:t>
            </w:r>
            <w:r>
              <w:t>49m</w:t>
            </w:r>
            <w:r>
              <w:rPr>
                <w:rFonts w:hint="eastAsia"/>
              </w:rPr>
              <w:t>处水井</w:t>
            </w:r>
          </w:p>
        </w:tc>
        <w:tc>
          <w:tcPr>
            <w:tcW w:w="1151"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427"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458"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highlight w:val="yellow"/>
              </w:rPr>
            </w:pPr>
          </w:p>
        </w:tc>
        <w:tc>
          <w:tcPr>
            <w:tcW w:w="1350" w:type="pct"/>
            <w:tcBorders>
              <w:top w:val="single" w:color="auto" w:sz="4" w:space="0"/>
              <w:bottom w:val="single" w:color="auto" w:sz="4" w:space="0"/>
            </w:tcBorders>
            <w:vAlign w:val="center"/>
          </w:tcPr>
          <w:p>
            <w:pPr>
              <w:pStyle w:val="108"/>
              <w:widowControl w:val="0"/>
              <w:ind w:left="-60" w:leftChars="-25" w:right="-60" w:rightChars="-25"/>
            </w:pPr>
            <w:r>
              <w:rPr>
                <w:rFonts w:hint="eastAsia"/>
              </w:rPr>
              <w:t>3</w:t>
            </w:r>
            <w:r>
              <w:t>#监测点：井口东北侧</w:t>
            </w:r>
            <w:r>
              <w:rPr>
                <w:rFonts w:hint="eastAsia"/>
              </w:rPr>
              <w:t>2</w:t>
            </w:r>
            <w:r>
              <w:t>25</w:t>
            </w:r>
            <w:r>
              <w:rPr>
                <w:rFonts w:hint="eastAsia"/>
              </w:rPr>
              <w:t>m处水井</w:t>
            </w:r>
          </w:p>
        </w:tc>
        <w:tc>
          <w:tcPr>
            <w:tcW w:w="1151"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427"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458"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监测项目</w:t>
            </w:r>
          </w:p>
        </w:tc>
        <w:tc>
          <w:tcPr>
            <w:tcW w:w="1350" w:type="pct"/>
            <w:tcBorders>
              <w:top w:val="single" w:color="auto" w:sz="4" w:space="0"/>
              <w:bottom w:val="single" w:color="auto" w:sz="4" w:space="0"/>
            </w:tcBorders>
            <w:vAlign w:val="center"/>
          </w:tcPr>
          <w:p>
            <w:pPr>
              <w:spacing w:line="240" w:lineRule="auto"/>
              <w:ind w:firstLine="0" w:firstLineChars="0"/>
              <w:jc w:val="center"/>
              <w:rPr>
                <w:snapToGrid w:val="0"/>
                <w:kern w:val="0"/>
                <w:sz w:val="21"/>
                <w:szCs w:val="21"/>
              </w:rPr>
            </w:pPr>
            <w:r>
              <w:rPr>
                <w:sz w:val="21"/>
                <w:szCs w:val="21"/>
              </w:rPr>
              <w:t>pH、氨氮、硝酸盐、</w:t>
            </w:r>
            <w:r>
              <w:rPr>
                <w:rFonts w:hint="eastAsia"/>
                <w:sz w:val="21"/>
                <w:szCs w:val="21"/>
              </w:rPr>
              <w:t>亚硝酸盐</w:t>
            </w:r>
            <w:r>
              <w:rPr>
                <w:sz w:val="21"/>
                <w:szCs w:val="21"/>
              </w:rPr>
              <w:t>、挥发性酚类、氰化物、砷、汞、铬（六价）</w:t>
            </w:r>
            <w:r>
              <w:rPr>
                <w:rFonts w:hint="eastAsia"/>
                <w:sz w:val="21"/>
                <w:szCs w:val="21"/>
              </w:rPr>
              <w:t>、</w:t>
            </w:r>
            <w:r>
              <w:rPr>
                <w:sz w:val="21"/>
                <w:szCs w:val="21"/>
              </w:rPr>
              <w:t>总硬度、铁、锰、溶解性总固体、耗氧量、总大肠菌群、</w:t>
            </w:r>
            <w:r>
              <w:rPr>
                <w:rFonts w:hint="eastAsia"/>
                <w:sz w:val="21"/>
                <w:szCs w:val="21"/>
              </w:rPr>
              <w:t>菌落</w:t>
            </w:r>
            <w:r>
              <w:rPr>
                <w:sz w:val="21"/>
                <w:szCs w:val="21"/>
              </w:rPr>
              <w:t>总数、石油类、硫化物、</w:t>
            </w:r>
            <w:r>
              <w:rPr>
                <w:rFonts w:hint="eastAsia"/>
                <w:sz w:val="21"/>
                <w:szCs w:val="21"/>
              </w:rPr>
              <w:t>镉、氟化物、铅、</w:t>
            </w:r>
            <w:r>
              <w:rPr>
                <w:sz w:val="21"/>
                <w:szCs w:val="21"/>
              </w:rPr>
              <w:t>钡、K</w:t>
            </w:r>
            <w:r>
              <w:rPr>
                <w:sz w:val="21"/>
                <w:szCs w:val="21"/>
                <w:vertAlign w:val="superscript"/>
              </w:rPr>
              <w:t>+</w:t>
            </w:r>
            <w:r>
              <w:rPr>
                <w:sz w:val="21"/>
                <w:szCs w:val="21"/>
              </w:rPr>
              <w:t>、Na</w:t>
            </w:r>
            <w:r>
              <w:rPr>
                <w:sz w:val="21"/>
                <w:szCs w:val="21"/>
                <w:vertAlign w:val="superscript"/>
              </w:rPr>
              <w:t>+</w:t>
            </w:r>
            <w:r>
              <w:rPr>
                <w:sz w:val="21"/>
                <w:szCs w:val="21"/>
              </w:rPr>
              <w:t>、Ca</w:t>
            </w:r>
            <w:r>
              <w:rPr>
                <w:sz w:val="21"/>
                <w:szCs w:val="21"/>
                <w:vertAlign w:val="superscript"/>
              </w:rPr>
              <w:t>2+</w:t>
            </w:r>
            <w:r>
              <w:rPr>
                <w:sz w:val="21"/>
                <w:szCs w:val="21"/>
              </w:rPr>
              <w:t>、Mg</w:t>
            </w:r>
            <w:r>
              <w:rPr>
                <w:sz w:val="21"/>
                <w:szCs w:val="21"/>
                <w:vertAlign w:val="superscript"/>
              </w:rPr>
              <w:t>2+</w:t>
            </w:r>
            <w:r>
              <w:rPr>
                <w:sz w:val="21"/>
                <w:szCs w:val="21"/>
              </w:rPr>
              <w:t>、CO</w:t>
            </w:r>
            <w:r>
              <w:rPr>
                <w:sz w:val="21"/>
                <w:szCs w:val="21"/>
                <w:vertAlign w:val="subscript"/>
              </w:rPr>
              <w:t>3</w:t>
            </w:r>
            <w:r>
              <w:rPr>
                <w:sz w:val="21"/>
                <w:szCs w:val="21"/>
                <w:vertAlign w:val="superscript"/>
              </w:rPr>
              <w:t>2-</w:t>
            </w:r>
            <w:r>
              <w:rPr>
                <w:sz w:val="21"/>
                <w:szCs w:val="21"/>
              </w:rPr>
              <w:t>、HCO</w:t>
            </w:r>
            <w:r>
              <w:rPr>
                <w:sz w:val="21"/>
                <w:szCs w:val="21"/>
                <w:vertAlign w:val="subscript"/>
              </w:rPr>
              <w:t>3</w:t>
            </w:r>
            <w:r>
              <w:rPr>
                <w:sz w:val="21"/>
                <w:szCs w:val="21"/>
                <w:vertAlign w:val="superscript"/>
              </w:rPr>
              <w:t>-</w:t>
            </w:r>
            <w:r>
              <w:rPr>
                <w:sz w:val="21"/>
                <w:szCs w:val="21"/>
              </w:rPr>
              <w:t>、Cl</w:t>
            </w:r>
            <w:r>
              <w:rPr>
                <w:sz w:val="21"/>
                <w:szCs w:val="21"/>
                <w:vertAlign w:val="superscript"/>
              </w:rPr>
              <w:t>-</w:t>
            </w:r>
            <w:r>
              <w:rPr>
                <w:sz w:val="21"/>
                <w:szCs w:val="21"/>
              </w:rPr>
              <w:t>、SO</w:t>
            </w:r>
            <w:r>
              <w:rPr>
                <w:sz w:val="21"/>
                <w:szCs w:val="21"/>
                <w:vertAlign w:val="subscript"/>
              </w:rPr>
              <w:t>4</w:t>
            </w:r>
            <w:r>
              <w:rPr>
                <w:sz w:val="21"/>
                <w:szCs w:val="21"/>
                <w:vertAlign w:val="superscript"/>
              </w:rPr>
              <w:t>2-</w:t>
            </w:r>
          </w:p>
        </w:tc>
        <w:tc>
          <w:tcPr>
            <w:tcW w:w="1151"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427"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土壤</w:t>
            </w:r>
          </w:p>
        </w:tc>
        <w:tc>
          <w:tcPr>
            <w:tcW w:w="458"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监测点</w:t>
            </w:r>
          </w:p>
        </w:tc>
        <w:tc>
          <w:tcPr>
            <w:tcW w:w="1350"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1</w:t>
            </w:r>
            <w:r>
              <w:rPr>
                <w:snapToGrid w:val="0"/>
                <w:kern w:val="0"/>
                <w:sz w:val="21"/>
                <w:szCs w:val="21"/>
              </w:rPr>
              <w:t>#监测点：</w:t>
            </w:r>
            <w:r>
              <w:rPr>
                <w:rFonts w:hint="eastAsia"/>
                <w:snapToGrid w:val="0"/>
                <w:kern w:val="0"/>
                <w:sz w:val="21"/>
                <w:szCs w:val="21"/>
              </w:rPr>
              <w:t>清洁化操作平台旁</w:t>
            </w:r>
          </w:p>
        </w:tc>
        <w:tc>
          <w:tcPr>
            <w:tcW w:w="1151" w:type="pct"/>
            <w:vMerge w:val="restar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hAnsi="宋体"/>
                <w:snapToGrid w:val="0"/>
                <w:kern w:val="0"/>
                <w:sz w:val="21"/>
                <w:szCs w:val="21"/>
              </w:rPr>
              <w:t>钻井过程中发生地下水污染或投诉时监测，</w:t>
            </w:r>
            <w:r>
              <w:rPr>
                <w:rFonts w:hint="eastAsia"/>
                <w:snapToGrid w:val="0"/>
                <w:kern w:val="0"/>
                <w:sz w:val="21"/>
                <w:szCs w:val="21"/>
              </w:rPr>
              <w:t>完钻验收监测1次，每次监测1天，每天采样1次</w:t>
            </w: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p>
        </w:tc>
        <w:tc>
          <w:tcPr>
            <w:tcW w:w="427"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458"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监测项目</w:t>
            </w:r>
          </w:p>
        </w:tc>
        <w:tc>
          <w:tcPr>
            <w:tcW w:w="1350" w:type="pct"/>
            <w:tcBorders>
              <w:top w:val="single" w:color="auto" w:sz="4" w:space="0"/>
              <w:bottom w:val="single" w:color="auto" w:sz="4" w:space="0"/>
            </w:tcBorders>
            <w:vAlign w:val="center"/>
          </w:tcPr>
          <w:p>
            <w:pPr>
              <w:snapToGrid w:val="0"/>
              <w:spacing w:line="240" w:lineRule="auto"/>
              <w:ind w:firstLine="0" w:firstLineChars="0"/>
              <w:jc w:val="center"/>
              <w:rPr>
                <w:snapToGrid w:val="0"/>
                <w:kern w:val="0"/>
                <w:sz w:val="21"/>
                <w:szCs w:val="21"/>
              </w:rPr>
            </w:pPr>
            <w:r>
              <w:rPr>
                <w:rFonts w:hint="eastAsia"/>
                <w:snapToGrid w:val="0"/>
                <w:kern w:val="0"/>
                <w:sz w:val="21"/>
                <w:szCs w:val="21"/>
              </w:rPr>
              <w:t>pH、石油烃（</w:t>
            </w:r>
            <w:r>
              <w:rPr>
                <w:snapToGrid w:val="0"/>
                <w:kern w:val="0"/>
                <w:sz w:val="21"/>
                <w:szCs w:val="21"/>
              </w:rPr>
              <w:t>C</w:t>
            </w:r>
            <w:r>
              <w:rPr>
                <w:snapToGrid w:val="0"/>
                <w:kern w:val="0"/>
                <w:sz w:val="21"/>
                <w:szCs w:val="21"/>
                <w:vertAlign w:val="subscript"/>
              </w:rPr>
              <w:t>10</w:t>
            </w:r>
            <w:r>
              <w:rPr>
                <w:snapToGrid w:val="0"/>
                <w:kern w:val="0"/>
                <w:sz w:val="21"/>
                <w:szCs w:val="21"/>
              </w:rPr>
              <w:t>-C</w:t>
            </w:r>
            <w:r>
              <w:rPr>
                <w:snapToGrid w:val="0"/>
                <w:kern w:val="0"/>
                <w:sz w:val="21"/>
                <w:szCs w:val="21"/>
                <w:vertAlign w:val="subscript"/>
              </w:rPr>
              <w:t>40</w:t>
            </w:r>
            <w:r>
              <w:rPr>
                <w:rFonts w:hint="eastAsia"/>
                <w:snapToGrid w:val="0"/>
                <w:kern w:val="0"/>
                <w:sz w:val="21"/>
                <w:szCs w:val="21"/>
              </w:rPr>
              <w:t>）、硫化物、氯化物、石油类、石油烃（C</w:t>
            </w:r>
            <w:r>
              <w:rPr>
                <w:rFonts w:hint="eastAsia"/>
                <w:snapToGrid w:val="0"/>
                <w:kern w:val="0"/>
                <w:sz w:val="21"/>
                <w:szCs w:val="21"/>
                <w:vertAlign w:val="subscript"/>
              </w:rPr>
              <w:t>6</w:t>
            </w:r>
            <w:r>
              <w:rPr>
                <w:rFonts w:hint="eastAsia"/>
                <w:snapToGrid w:val="0"/>
                <w:kern w:val="0"/>
                <w:sz w:val="21"/>
                <w:szCs w:val="21"/>
              </w:rPr>
              <w:t>~C</w:t>
            </w:r>
            <w:r>
              <w:rPr>
                <w:rFonts w:hint="eastAsia"/>
                <w:snapToGrid w:val="0"/>
                <w:kern w:val="0"/>
                <w:sz w:val="21"/>
                <w:szCs w:val="21"/>
                <w:vertAlign w:val="subscript"/>
              </w:rPr>
              <w:t>9</w:t>
            </w:r>
            <w:r>
              <w:rPr>
                <w:rFonts w:hint="eastAsia"/>
                <w:snapToGrid w:val="0"/>
                <w:kern w:val="0"/>
                <w:sz w:val="21"/>
                <w:szCs w:val="21"/>
              </w:rPr>
              <w:t>）、汞、砷、六价铬、</w:t>
            </w:r>
            <w:r>
              <w:rPr>
                <w:rFonts w:hint="eastAsia" w:hAnsi="宋体"/>
                <w:snapToGrid w:val="0"/>
                <w:kern w:val="0"/>
                <w:sz w:val="21"/>
                <w:szCs w:val="21"/>
              </w:rPr>
              <w:t>钡</w:t>
            </w:r>
          </w:p>
        </w:tc>
        <w:tc>
          <w:tcPr>
            <w:tcW w:w="1151"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p>
        </w:tc>
        <w:tc>
          <w:tcPr>
            <w:tcW w:w="582" w:type="pct"/>
            <w:vMerge w:val="continue"/>
            <w:tcBorders>
              <w:top w:val="single" w:color="auto" w:sz="4" w:space="0"/>
              <w:bottom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c>
          <w:tcPr>
            <w:tcW w:w="439"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Ansi="宋体"/>
                <w:snapToGrid w:val="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op w:val="single" w:color="auto" w:sz="4" w:space="0"/>
              <w:left w:val="single" w:color="auto" w:sz="4" w:space="0"/>
              <w:bottom w:val="single" w:color="auto" w:sz="4" w:space="0"/>
            </w:tcBorders>
            <w:vAlign w:val="center"/>
          </w:tcPr>
          <w:p>
            <w:pPr>
              <w:adjustRightInd w:val="0"/>
              <w:snapToGrid w:val="0"/>
              <w:spacing w:line="240" w:lineRule="auto"/>
              <w:ind w:firstLine="0" w:firstLineChars="0"/>
              <w:jc w:val="center"/>
              <w:rPr>
                <w:rFonts w:ascii="宋体" w:hAnsi="宋体" w:cs="宋体"/>
                <w:snapToGrid w:val="0"/>
                <w:kern w:val="0"/>
                <w:sz w:val="21"/>
                <w:szCs w:val="21"/>
              </w:rPr>
            </w:pPr>
            <w:r>
              <w:rPr>
                <w:rFonts w:hint="eastAsia" w:ascii="宋体" w:hAnsi="宋体" w:cs="宋体"/>
                <w:snapToGrid w:val="0"/>
                <w:kern w:val="0"/>
                <w:sz w:val="21"/>
                <w:szCs w:val="21"/>
              </w:rPr>
              <w:t>其他</w:t>
            </w:r>
          </w:p>
        </w:tc>
        <w:tc>
          <w:tcPr>
            <w:tcW w:w="2235" w:type="pct"/>
            <w:gridSpan w:val="3"/>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1151"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582" w:type="pct"/>
            <w:tcBorders>
              <w:top w:val="single" w:color="auto" w:sz="4" w:space="0"/>
              <w:bottom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c>
          <w:tcPr>
            <w:tcW w:w="439"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napToGrid w:val="0"/>
                <w:kern w:val="0"/>
                <w:sz w:val="21"/>
                <w:szCs w:val="21"/>
              </w:rPr>
            </w:pPr>
            <w:r>
              <w:rPr>
                <w:rFonts w:hAnsi="宋体"/>
                <w:snapToGrid w:val="0"/>
                <w:kern w:val="0"/>
                <w:sz w:val="21"/>
                <w:szCs w:val="21"/>
              </w:rPr>
              <w:t>无</w:t>
            </w:r>
          </w:p>
        </w:tc>
      </w:tr>
    </w:tbl>
    <w:p>
      <w:pPr>
        <w:pStyle w:val="20"/>
        <w:spacing w:before="0" w:beforeAutospacing="0" w:line="14" w:lineRule="auto"/>
        <w:ind w:firstLine="420"/>
        <w:rPr>
          <w:rFonts w:ascii="Times New Roman" w:hAnsi="Times New Roman"/>
          <w:snapToGrid w:val="0"/>
          <w:sz w:val="21"/>
          <w:szCs w:val="21"/>
        </w:rPr>
      </w:pPr>
    </w:p>
    <w:p>
      <w:pPr>
        <w:pStyle w:val="20"/>
        <w:spacing w:before="0" w:beforeAutospacing="0" w:line="14" w:lineRule="auto"/>
        <w:ind w:firstLine="420"/>
        <w:rPr>
          <w:rFonts w:ascii="Times New Roman" w:hAnsi="Times New Roman"/>
          <w:snapToGrid w:val="0"/>
          <w:sz w:val="21"/>
          <w:szCs w:val="21"/>
        </w:rPr>
      </w:pPr>
    </w:p>
    <w:p>
      <w:pPr>
        <w:pStyle w:val="20"/>
        <w:spacing w:before="0" w:beforeAutospacing="0" w:line="14" w:lineRule="auto"/>
        <w:ind w:firstLine="420"/>
        <w:rPr>
          <w:rFonts w:ascii="Times New Roman" w:hAnsi="Times New Roman"/>
          <w:snapToGrid w:val="0"/>
          <w:sz w:val="21"/>
          <w:szCs w:val="21"/>
        </w:rPr>
      </w:pPr>
      <w:r>
        <w:rPr>
          <w:rFonts w:ascii="Times New Roman" w:hAnsi="Times New Roman"/>
          <w:snapToGrid w:val="0"/>
          <w:sz w:val="21"/>
          <w:szCs w:val="21"/>
        </w:rPr>
        <w:br w:type="page"/>
      </w:r>
    </w:p>
    <w:p>
      <w:pPr>
        <w:pStyle w:val="2"/>
        <w:rPr>
          <w:rFonts w:eastAsia="宋体"/>
          <w:snapToGrid w:val="0"/>
          <w:color w:val="auto"/>
          <w:sz w:val="24"/>
          <w:szCs w:val="21"/>
        </w:rPr>
      </w:pPr>
      <w:r>
        <w:rPr>
          <w:rFonts w:eastAsia="宋体"/>
          <w:snapToGrid w:val="0"/>
          <w:color w:val="auto"/>
          <w:sz w:val="24"/>
          <w:szCs w:val="21"/>
        </w:rPr>
        <w:t>七、结论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49" w:hRule="atLeast"/>
          <w:jc w:val="center"/>
        </w:trPr>
        <w:tc>
          <w:tcPr>
            <w:tcW w:w="5000" w:type="pct"/>
          </w:tcPr>
          <w:p>
            <w:pPr>
              <w:adjustRightInd w:val="0"/>
              <w:snapToGrid w:val="0"/>
              <w:ind w:firstLine="420"/>
              <w:rPr>
                <w:rFonts w:hAnsi="宋体"/>
                <w:snapToGrid w:val="0"/>
                <w:kern w:val="0"/>
                <w:sz w:val="21"/>
                <w:szCs w:val="21"/>
              </w:rPr>
            </w:pPr>
            <w:r>
              <w:rPr>
                <w:rFonts w:hint="eastAsia" w:hAnsi="宋体"/>
                <w:snapToGrid w:val="0"/>
                <w:kern w:val="0"/>
                <w:sz w:val="21"/>
                <w:szCs w:val="21"/>
              </w:rPr>
              <w:t>该项目的建设符合国家、行业颁布的相关产业政策、法规、规范，项目的建设对增加清洁能源天然气供应量，探明地区天然气储存情况，促进区域社会、经济发展，调整改善区域的环境质量有积极意义，项目建设是必要的。</w:t>
            </w:r>
          </w:p>
          <w:p>
            <w:pPr>
              <w:adjustRightInd w:val="0"/>
              <w:snapToGrid w:val="0"/>
              <w:ind w:firstLine="420"/>
              <w:rPr>
                <w:rFonts w:hAnsi="宋体"/>
                <w:snapToGrid w:val="0"/>
                <w:kern w:val="0"/>
                <w:sz w:val="21"/>
                <w:szCs w:val="21"/>
              </w:rPr>
            </w:pPr>
            <w:r>
              <w:rPr>
                <w:rFonts w:hint="eastAsia" w:hAnsi="宋体"/>
                <w:snapToGrid w:val="0"/>
                <w:kern w:val="0"/>
                <w:sz w:val="21"/>
                <w:szCs w:val="21"/>
              </w:rPr>
              <w:t>评价区域大气环境质量、地表水环境质量、地下水环境质量、声环境质量、土壤环境质量现状总体较好。项目建设期间产生的污染物均做到达标排放或妥善处置，对生态环境、地表水、地下水、土壤、大气环境影响小，声环境影响产生短期影响，不改变区域的环境功能；该项目采用的环保措施可行，社会、经济效益十分显著；建设项目环境可行，选址合理。拟建项目为不含硫化氢勘探井，井喷失控事故天然气泄漏事故对环境造成严重影响，但事故发生机率低，井场作业按照钻井操作规程进行，并制定相应的应急预案。该工程采取的环境风险措施及制定预案切实可行，在落实风险防范措施及应急预案后，环境风险达到可接收水平。</w:t>
            </w:r>
          </w:p>
          <w:p>
            <w:pPr>
              <w:adjustRightInd w:val="0"/>
              <w:snapToGrid w:val="0"/>
              <w:ind w:firstLine="420"/>
              <w:rPr>
                <w:sz w:val="21"/>
                <w:szCs w:val="21"/>
              </w:rPr>
            </w:pPr>
            <w:r>
              <w:rPr>
                <w:rFonts w:hint="eastAsia" w:hAnsi="宋体"/>
                <w:snapToGrid w:val="0"/>
                <w:kern w:val="0"/>
                <w:sz w:val="21"/>
                <w:szCs w:val="21"/>
              </w:rPr>
              <w:t>综上所述，在严格落实拟建项目钻井设计和本评价提出的各项环保措施和环境风险防范以及应急措施后，</w:t>
            </w:r>
            <w:r>
              <w:rPr>
                <w:rFonts w:hint="eastAsia" w:hAnsi="宋体"/>
                <w:b/>
                <w:snapToGrid w:val="0"/>
                <w:kern w:val="0"/>
                <w:sz w:val="21"/>
                <w:szCs w:val="21"/>
              </w:rPr>
              <w:t>从环境保护角度分析，平安</w:t>
            </w:r>
            <w:r>
              <w:rPr>
                <w:rFonts w:hAnsi="宋体"/>
                <w:b/>
                <w:snapToGrid w:val="0"/>
                <w:kern w:val="0"/>
                <w:sz w:val="21"/>
                <w:szCs w:val="21"/>
              </w:rPr>
              <w:t>7井</w:t>
            </w:r>
            <w:r>
              <w:rPr>
                <w:rFonts w:hint="eastAsia" w:hAnsi="宋体"/>
                <w:b/>
                <w:snapToGrid w:val="0"/>
                <w:kern w:val="0"/>
                <w:sz w:val="21"/>
                <w:szCs w:val="21"/>
              </w:rPr>
              <w:t>钻井工程建设是可行的。</w:t>
            </w:r>
          </w:p>
        </w:tc>
      </w:tr>
    </w:tbl>
    <w:p>
      <w:pPr>
        <w:widowControl/>
        <w:adjustRightInd w:val="0"/>
        <w:snapToGrid w:val="0"/>
        <w:spacing w:before="192" w:beforeLines="80"/>
        <w:ind w:firstLine="420"/>
        <w:jc w:val="left"/>
        <w:rPr>
          <w:sz w:val="21"/>
          <w:szCs w:val="21"/>
        </w:rPr>
      </w:pPr>
    </w:p>
    <w:p>
      <w:pPr>
        <w:ind w:firstLine="480"/>
      </w:pPr>
      <w:r>
        <w:br w:type="page"/>
      </w:r>
    </w:p>
    <w:p>
      <w:pPr>
        <w:widowControl/>
        <w:adjustRightInd w:val="0"/>
        <w:snapToGrid w:val="0"/>
        <w:ind w:firstLine="0" w:firstLineChars="0"/>
        <w:jc w:val="left"/>
        <w:outlineLvl w:val="0"/>
        <w:rPr>
          <w:snapToGrid w:val="0"/>
          <w:kern w:val="0"/>
          <w:sz w:val="21"/>
          <w:szCs w:val="21"/>
        </w:rPr>
      </w:pPr>
      <w:r>
        <w:rPr>
          <w:snapToGrid w:val="0"/>
          <w:kern w:val="0"/>
          <w:sz w:val="21"/>
          <w:szCs w:val="21"/>
        </w:rPr>
        <w:t>附录</w:t>
      </w:r>
    </w:p>
    <w:p>
      <w:pPr>
        <w:widowControl/>
        <w:adjustRightInd w:val="0"/>
        <w:snapToGrid w:val="0"/>
        <w:ind w:firstLine="0" w:firstLineChars="0"/>
        <w:jc w:val="left"/>
        <w:rPr>
          <w:snapToGrid w:val="0"/>
          <w:kern w:val="0"/>
          <w:sz w:val="21"/>
          <w:szCs w:val="21"/>
        </w:rPr>
      </w:pPr>
    </w:p>
    <w:p>
      <w:pPr>
        <w:widowControl/>
        <w:adjustRightInd w:val="0"/>
        <w:snapToGrid w:val="0"/>
        <w:ind w:firstLine="0" w:firstLineChars="0"/>
        <w:jc w:val="left"/>
        <w:rPr>
          <w:snapToGrid w:val="0"/>
          <w:kern w:val="0"/>
          <w:sz w:val="21"/>
          <w:szCs w:val="21"/>
        </w:rPr>
      </w:pPr>
      <w:r>
        <w:rPr>
          <w:snapToGrid w:val="0"/>
          <w:kern w:val="0"/>
          <w:sz w:val="21"/>
          <w:szCs w:val="21"/>
        </w:rPr>
        <w:t>附图：</w:t>
      </w:r>
    </w:p>
    <w:p>
      <w:pPr>
        <w:widowControl/>
        <w:adjustRightInd w:val="0"/>
        <w:snapToGrid w:val="0"/>
        <w:ind w:firstLine="0" w:firstLineChars="0"/>
        <w:jc w:val="left"/>
        <w:rPr>
          <w:snapToGrid w:val="0"/>
          <w:kern w:val="0"/>
          <w:sz w:val="21"/>
          <w:szCs w:val="21"/>
        </w:rPr>
      </w:pPr>
      <w:r>
        <w:rPr>
          <w:snapToGrid w:val="0"/>
          <w:kern w:val="0"/>
          <w:sz w:val="21"/>
          <w:szCs w:val="21"/>
        </w:rPr>
        <w:t>附图1 项目地理位置图</w:t>
      </w:r>
    </w:p>
    <w:p>
      <w:pPr>
        <w:widowControl/>
        <w:adjustRightInd w:val="0"/>
        <w:snapToGrid w:val="0"/>
        <w:ind w:firstLine="0" w:firstLineChars="0"/>
        <w:jc w:val="left"/>
        <w:rPr>
          <w:snapToGrid w:val="0"/>
          <w:kern w:val="0"/>
          <w:sz w:val="21"/>
          <w:szCs w:val="21"/>
        </w:rPr>
      </w:pPr>
      <w:r>
        <w:rPr>
          <w:snapToGrid w:val="0"/>
          <w:kern w:val="0"/>
          <w:sz w:val="21"/>
          <w:szCs w:val="21"/>
        </w:rPr>
        <w:t xml:space="preserve">附图2 </w:t>
      </w:r>
      <w:r>
        <w:rPr>
          <w:rFonts w:hint="eastAsia"/>
          <w:snapToGrid w:val="0"/>
          <w:kern w:val="0"/>
          <w:sz w:val="21"/>
          <w:szCs w:val="21"/>
        </w:rPr>
        <w:t>项目总平面布置及分区防渗图</w:t>
      </w:r>
    </w:p>
    <w:p>
      <w:pPr>
        <w:widowControl/>
        <w:adjustRightInd w:val="0"/>
        <w:snapToGrid w:val="0"/>
        <w:ind w:firstLine="0" w:firstLineChars="0"/>
        <w:jc w:val="left"/>
        <w:rPr>
          <w:snapToGrid w:val="0"/>
          <w:kern w:val="0"/>
          <w:sz w:val="21"/>
          <w:szCs w:val="21"/>
        </w:rPr>
      </w:pPr>
      <w:r>
        <w:rPr>
          <w:snapToGrid w:val="0"/>
          <w:kern w:val="0"/>
          <w:sz w:val="21"/>
          <w:szCs w:val="21"/>
        </w:rPr>
        <w:t>附图3 井场排水布置图</w:t>
      </w:r>
    </w:p>
    <w:p>
      <w:pPr>
        <w:widowControl/>
        <w:adjustRightInd w:val="0"/>
        <w:snapToGrid w:val="0"/>
        <w:ind w:firstLine="0" w:firstLineChars="0"/>
        <w:jc w:val="left"/>
        <w:rPr>
          <w:snapToGrid w:val="0"/>
          <w:kern w:val="0"/>
          <w:sz w:val="21"/>
          <w:szCs w:val="21"/>
        </w:rPr>
      </w:pPr>
      <w:r>
        <w:rPr>
          <w:snapToGrid w:val="0"/>
          <w:kern w:val="0"/>
          <w:sz w:val="21"/>
          <w:szCs w:val="21"/>
        </w:rPr>
        <w:t>附图4 项目监测布点图</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附图5 项目500m范围内敏感点分布图</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附图6项目所在地地下水敏感目标分布图</w:t>
      </w:r>
    </w:p>
    <w:p>
      <w:pPr>
        <w:widowControl/>
        <w:adjustRightInd w:val="0"/>
        <w:snapToGrid w:val="0"/>
        <w:ind w:firstLine="0" w:firstLineChars="0"/>
        <w:jc w:val="left"/>
        <w:rPr>
          <w:snapToGrid w:val="0"/>
          <w:kern w:val="0"/>
          <w:sz w:val="21"/>
          <w:szCs w:val="21"/>
        </w:rPr>
      </w:pPr>
      <w:r>
        <w:rPr>
          <w:snapToGrid w:val="0"/>
          <w:kern w:val="0"/>
          <w:sz w:val="21"/>
          <w:szCs w:val="21"/>
        </w:rPr>
        <w:t>附图7</w:t>
      </w:r>
      <w:r>
        <w:rPr>
          <w:rFonts w:hint="eastAsia"/>
          <w:snapToGrid w:val="0"/>
          <w:kern w:val="0"/>
          <w:sz w:val="21"/>
          <w:szCs w:val="21"/>
        </w:rPr>
        <w:t>项目</w:t>
      </w:r>
      <w:r>
        <w:rPr>
          <w:snapToGrid w:val="0"/>
          <w:kern w:val="0"/>
          <w:sz w:val="21"/>
          <w:szCs w:val="21"/>
        </w:rPr>
        <w:t>5km范围环境风险敏感点分布图</w:t>
      </w:r>
    </w:p>
    <w:p>
      <w:pPr>
        <w:widowControl/>
        <w:adjustRightInd w:val="0"/>
        <w:snapToGrid w:val="0"/>
        <w:ind w:firstLine="0" w:firstLineChars="0"/>
        <w:jc w:val="left"/>
        <w:rPr>
          <w:snapToGrid w:val="0"/>
          <w:kern w:val="0"/>
          <w:sz w:val="21"/>
          <w:szCs w:val="21"/>
        </w:rPr>
      </w:pPr>
      <w:r>
        <w:rPr>
          <w:snapToGrid w:val="0"/>
          <w:kern w:val="0"/>
          <w:sz w:val="21"/>
          <w:szCs w:val="21"/>
        </w:rPr>
        <w:t>附图8 项目所在地水系图</w:t>
      </w:r>
    </w:p>
    <w:p>
      <w:pPr>
        <w:widowControl/>
        <w:adjustRightInd w:val="0"/>
        <w:snapToGrid w:val="0"/>
        <w:ind w:firstLine="0" w:firstLineChars="0"/>
        <w:jc w:val="left"/>
        <w:rPr>
          <w:snapToGrid w:val="0"/>
          <w:kern w:val="0"/>
          <w:sz w:val="21"/>
          <w:szCs w:val="21"/>
        </w:rPr>
      </w:pPr>
      <w:r>
        <w:rPr>
          <w:snapToGrid w:val="0"/>
          <w:kern w:val="0"/>
          <w:sz w:val="21"/>
          <w:szCs w:val="21"/>
        </w:rPr>
        <w:t>附图9 项目所在土地利用现状图</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附图</w:t>
      </w:r>
      <w:r>
        <w:rPr>
          <w:snapToGrid w:val="0"/>
          <w:kern w:val="0"/>
          <w:sz w:val="21"/>
          <w:szCs w:val="21"/>
        </w:rPr>
        <w:t>10 项目与大滩沟水库饮用水水源保护区位置关系图</w:t>
      </w:r>
    </w:p>
    <w:p>
      <w:pPr>
        <w:widowControl/>
        <w:adjustRightInd w:val="0"/>
        <w:snapToGrid w:val="0"/>
        <w:ind w:firstLine="0" w:firstLineChars="0"/>
        <w:jc w:val="left"/>
        <w:rPr>
          <w:snapToGrid w:val="0"/>
          <w:kern w:val="0"/>
          <w:sz w:val="21"/>
          <w:szCs w:val="21"/>
        </w:rPr>
      </w:pPr>
      <w:r>
        <w:rPr>
          <w:snapToGrid w:val="0"/>
          <w:kern w:val="0"/>
          <w:sz w:val="21"/>
          <w:szCs w:val="21"/>
        </w:rPr>
        <w:t>附图11项目所在水文地质图</w:t>
      </w:r>
    </w:p>
    <w:p>
      <w:pPr>
        <w:widowControl/>
        <w:adjustRightInd w:val="0"/>
        <w:snapToGrid w:val="0"/>
        <w:ind w:firstLine="0" w:firstLineChars="0"/>
        <w:jc w:val="left"/>
        <w:rPr>
          <w:snapToGrid w:val="0"/>
          <w:kern w:val="0"/>
          <w:sz w:val="21"/>
          <w:szCs w:val="21"/>
        </w:rPr>
      </w:pPr>
      <w:r>
        <w:rPr>
          <w:snapToGrid w:val="0"/>
          <w:kern w:val="0"/>
          <w:sz w:val="21"/>
          <w:szCs w:val="21"/>
        </w:rPr>
        <w:t>附图12项目所在地土壤类型分布图</w:t>
      </w:r>
    </w:p>
    <w:p>
      <w:pPr>
        <w:widowControl/>
        <w:adjustRightInd w:val="0"/>
        <w:snapToGrid w:val="0"/>
        <w:ind w:firstLine="0" w:firstLineChars="0"/>
        <w:jc w:val="left"/>
        <w:rPr>
          <w:snapToGrid w:val="0"/>
          <w:kern w:val="0"/>
          <w:sz w:val="21"/>
          <w:szCs w:val="21"/>
        </w:rPr>
      </w:pPr>
      <w:r>
        <w:rPr>
          <w:snapToGrid w:val="0"/>
          <w:kern w:val="0"/>
          <w:sz w:val="21"/>
          <w:szCs w:val="21"/>
        </w:rPr>
        <w:t>附图13 项目生态恢复措施图</w:t>
      </w:r>
    </w:p>
    <w:p>
      <w:pPr>
        <w:widowControl/>
        <w:adjustRightInd w:val="0"/>
        <w:snapToGrid w:val="0"/>
        <w:ind w:firstLine="0" w:firstLineChars="0"/>
        <w:jc w:val="left"/>
        <w:rPr>
          <w:snapToGrid w:val="0"/>
          <w:kern w:val="0"/>
          <w:sz w:val="21"/>
          <w:szCs w:val="21"/>
        </w:rPr>
      </w:pPr>
      <w:r>
        <w:rPr>
          <w:snapToGrid w:val="0"/>
          <w:kern w:val="0"/>
          <w:sz w:val="21"/>
          <w:szCs w:val="21"/>
        </w:rPr>
        <w:t>附图14 项目风险逃生路线图</w:t>
      </w:r>
    </w:p>
    <w:p>
      <w:pPr>
        <w:widowControl/>
        <w:adjustRightInd w:val="0"/>
        <w:snapToGrid w:val="0"/>
        <w:ind w:firstLine="0" w:firstLineChars="0"/>
        <w:jc w:val="left"/>
        <w:rPr>
          <w:snapToGrid w:val="0"/>
          <w:kern w:val="0"/>
          <w:sz w:val="21"/>
          <w:szCs w:val="21"/>
        </w:rPr>
      </w:pPr>
      <w:r>
        <w:rPr>
          <w:snapToGrid w:val="0"/>
          <w:kern w:val="0"/>
          <w:sz w:val="21"/>
          <w:szCs w:val="21"/>
        </w:rPr>
        <w:t>附图15项目废水转运路线图</w:t>
      </w:r>
    </w:p>
    <w:p>
      <w:pPr>
        <w:widowControl/>
        <w:adjustRightInd w:val="0"/>
        <w:snapToGrid w:val="0"/>
        <w:ind w:firstLine="0" w:firstLineChars="0"/>
        <w:jc w:val="left"/>
        <w:rPr>
          <w:snapToGrid w:val="0"/>
          <w:kern w:val="0"/>
          <w:sz w:val="21"/>
          <w:szCs w:val="21"/>
        </w:rPr>
      </w:pPr>
      <w:r>
        <w:rPr>
          <w:snapToGrid w:val="0"/>
          <w:kern w:val="0"/>
          <w:sz w:val="21"/>
          <w:szCs w:val="21"/>
        </w:rPr>
        <w:t>附图16 项目</w:t>
      </w:r>
      <w:r>
        <w:rPr>
          <w:rFonts w:hint="eastAsia"/>
          <w:snapToGrid w:val="0"/>
          <w:kern w:val="0"/>
          <w:sz w:val="21"/>
          <w:szCs w:val="21"/>
        </w:rPr>
        <w:t>与达州市</w:t>
      </w:r>
      <w:r>
        <w:rPr>
          <w:snapToGrid w:val="0"/>
          <w:kern w:val="0"/>
          <w:sz w:val="21"/>
          <w:szCs w:val="21"/>
        </w:rPr>
        <w:t>环境管控单元的位置关系图</w:t>
      </w:r>
    </w:p>
    <w:p>
      <w:pPr>
        <w:widowControl/>
        <w:adjustRightInd w:val="0"/>
        <w:snapToGrid w:val="0"/>
        <w:ind w:firstLine="0" w:firstLineChars="0"/>
        <w:jc w:val="left"/>
        <w:rPr>
          <w:snapToGrid w:val="0"/>
          <w:kern w:val="0"/>
          <w:sz w:val="21"/>
          <w:szCs w:val="21"/>
        </w:rPr>
      </w:pPr>
      <w:r>
        <w:rPr>
          <w:snapToGrid w:val="0"/>
          <w:kern w:val="0"/>
          <w:sz w:val="21"/>
          <w:szCs w:val="21"/>
        </w:rPr>
        <w:t>附图17 项目</w:t>
      </w:r>
      <w:r>
        <w:rPr>
          <w:rFonts w:hint="eastAsia"/>
          <w:snapToGrid w:val="0"/>
          <w:kern w:val="0"/>
          <w:sz w:val="21"/>
          <w:szCs w:val="21"/>
        </w:rPr>
        <w:t>与达州市</w:t>
      </w:r>
      <w:r>
        <w:rPr>
          <w:snapToGrid w:val="0"/>
          <w:kern w:val="0"/>
          <w:sz w:val="21"/>
          <w:szCs w:val="21"/>
        </w:rPr>
        <w:t>生态保护红线位置关系图</w:t>
      </w:r>
    </w:p>
    <w:p>
      <w:pPr>
        <w:widowControl/>
        <w:adjustRightInd w:val="0"/>
        <w:snapToGrid w:val="0"/>
        <w:ind w:firstLine="0" w:firstLineChars="0"/>
        <w:jc w:val="left"/>
        <w:rPr>
          <w:snapToGrid w:val="0"/>
          <w:kern w:val="0"/>
          <w:sz w:val="21"/>
          <w:szCs w:val="21"/>
        </w:rPr>
      </w:pPr>
      <w:r>
        <w:rPr>
          <w:snapToGrid w:val="0"/>
          <w:kern w:val="0"/>
          <w:sz w:val="21"/>
          <w:szCs w:val="21"/>
        </w:rPr>
        <w:t xml:space="preserve">附图18 </w:t>
      </w:r>
      <w:r>
        <w:rPr>
          <w:rFonts w:hint="eastAsia"/>
          <w:snapToGrid w:val="0"/>
          <w:kern w:val="0"/>
          <w:sz w:val="21"/>
          <w:szCs w:val="21"/>
        </w:rPr>
        <w:t>项目与永久基本农田位置关系图</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附图1</w:t>
      </w:r>
      <w:r>
        <w:rPr>
          <w:snapToGrid w:val="0"/>
          <w:kern w:val="0"/>
          <w:sz w:val="21"/>
          <w:szCs w:val="21"/>
        </w:rPr>
        <w:t xml:space="preserve">9 </w:t>
      </w:r>
      <w:r>
        <w:rPr>
          <w:rFonts w:hint="eastAsia"/>
          <w:snapToGrid w:val="0"/>
          <w:kern w:val="0"/>
          <w:sz w:val="21"/>
          <w:szCs w:val="21"/>
        </w:rPr>
        <w:t>项目甲烷环境风险影响范围图</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附图</w:t>
      </w:r>
      <w:r>
        <w:rPr>
          <w:snapToGrid w:val="0"/>
          <w:kern w:val="0"/>
          <w:sz w:val="21"/>
          <w:szCs w:val="21"/>
        </w:rPr>
        <w:t xml:space="preserve">20 </w:t>
      </w:r>
      <w:r>
        <w:rPr>
          <w:rFonts w:hint="eastAsia"/>
          <w:snapToGrid w:val="0"/>
          <w:kern w:val="0"/>
          <w:sz w:val="21"/>
          <w:szCs w:val="21"/>
        </w:rPr>
        <w:t>拟建项目周边环境现状图</w:t>
      </w:r>
    </w:p>
    <w:p>
      <w:pPr>
        <w:widowControl/>
        <w:adjustRightInd w:val="0"/>
        <w:snapToGrid w:val="0"/>
        <w:ind w:firstLine="0" w:firstLineChars="0"/>
        <w:jc w:val="left"/>
        <w:rPr>
          <w:snapToGrid w:val="0"/>
          <w:kern w:val="0"/>
          <w:sz w:val="21"/>
          <w:szCs w:val="21"/>
        </w:rPr>
      </w:pPr>
    </w:p>
    <w:p>
      <w:pPr>
        <w:widowControl/>
        <w:adjustRightInd w:val="0"/>
        <w:snapToGrid w:val="0"/>
        <w:ind w:firstLine="0" w:firstLineChars="0"/>
        <w:jc w:val="left"/>
        <w:rPr>
          <w:snapToGrid w:val="0"/>
          <w:kern w:val="0"/>
          <w:sz w:val="21"/>
          <w:szCs w:val="21"/>
        </w:rPr>
      </w:pPr>
      <w:r>
        <w:rPr>
          <w:snapToGrid w:val="0"/>
          <w:kern w:val="0"/>
          <w:sz w:val="21"/>
          <w:szCs w:val="21"/>
        </w:rPr>
        <w:t>附件：</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附件1 项目井位批复</w:t>
      </w:r>
    </w:p>
    <w:p>
      <w:pPr>
        <w:widowControl/>
        <w:adjustRightInd w:val="0"/>
        <w:snapToGrid w:val="0"/>
        <w:ind w:firstLine="0" w:firstLineChars="0"/>
        <w:jc w:val="left"/>
        <w:rPr>
          <w:snapToGrid w:val="0"/>
          <w:kern w:val="0"/>
          <w:sz w:val="21"/>
          <w:szCs w:val="21"/>
        </w:rPr>
      </w:pPr>
      <w:r>
        <w:rPr>
          <w:snapToGrid w:val="0"/>
          <w:kern w:val="0"/>
          <w:sz w:val="21"/>
          <w:szCs w:val="21"/>
        </w:rPr>
        <w:t>附件2 项目所在地探矿证</w:t>
      </w:r>
    </w:p>
    <w:p>
      <w:pPr>
        <w:widowControl/>
        <w:adjustRightInd w:val="0"/>
        <w:snapToGrid w:val="0"/>
        <w:ind w:firstLine="0" w:firstLineChars="0"/>
        <w:jc w:val="left"/>
        <w:rPr>
          <w:snapToGrid w:val="0"/>
          <w:kern w:val="0"/>
          <w:sz w:val="21"/>
          <w:szCs w:val="21"/>
        </w:rPr>
      </w:pPr>
      <w:r>
        <w:rPr>
          <w:snapToGrid w:val="0"/>
          <w:kern w:val="0"/>
          <w:sz w:val="21"/>
          <w:szCs w:val="21"/>
        </w:rPr>
        <w:t>附件</w:t>
      </w:r>
      <w:r>
        <w:rPr>
          <w:rFonts w:hint="eastAsia"/>
          <w:snapToGrid w:val="0"/>
          <w:kern w:val="0"/>
          <w:sz w:val="21"/>
          <w:szCs w:val="21"/>
        </w:rPr>
        <w:t>3</w:t>
      </w:r>
      <w:r>
        <w:rPr>
          <w:snapToGrid w:val="0"/>
          <w:kern w:val="0"/>
          <w:sz w:val="21"/>
          <w:szCs w:val="21"/>
        </w:rPr>
        <w:t xml:space="preserve"> 投资备案证</w:t>
      </w:r>
    </w:p>
    <w:p>
      <w:pPr>
        <w:widowControl/>
        <w:adjustRightInd w:val="0"/>
        <w:snapToGrid w:val="0"/>
        <w:ind w:firstLine="0" w:firstLineChars="0"/>
        <w:jc w:val="left"/>
        <w:rPr>
          <w:snapToGrid w:val="0"/>
          <w:kern w:val="0"/>
          <w:sz w:val="21"/>
          <w:szCs w:val="21"/>
        </w:rPr>
      </w:pPr>
      <w:r>
        <w:rPr>
          <w:snapToGrid w:val="0"/>
          <w:kern w:val="0"/>
          <w:sz w:val="21"/>
          <w:szCs w:val="21"/>
        </w:rPr>
        <w:t>附件4 油气勘探开发用地问题复函</w:t>
      </w:r>
    </w:p>
    <w:p>
      <w:pPr>
        <w:widowControl/>
        <w:adjustRightInd w:val="0"/>
        <w:snapToGrid w:val="0"/>
        <w:ind w:firstLine="0" w:firstLineChars="0"/>
        <w:jc w:val="left"/>
        <w:rPr>
          <w:snapToGrid w:val="0"/>
          <w:kern w:val="0"/>
          <w:sz w:val="21"/>
          <w:szCs w:val="21"/>
        </w:rPr>
      </w:pPr>
      <w:r>
        <w:rPr>
          <w:rFonts w:hint="eastAsia"/>
          <w:snapToGrid w:val="0"/>
          <w:kern w:val="0"/>
          <w:sz w:val="21"/>
          <w:szCs w:val="21"/>
        </w:rPr>
        <w:t>附件5</w:t>
      </w:r>
      <w:r>
        <w:rPr>
          <w:snapToGrid w:val="0"/>
          <w:kern w:val="0"/>
          <w:sz w:val="21"/>
          <w:szCs w:val="21"/>
        </w:rPr>
        <w:t xml:space="preserve"> </w:t>
      </w:r>
      <w:r>
        <w:rPr>
          <w:rFonts w:hint="eastAsia"/>
          <w:snapToGrid w:val="0"/>
          <w:kern w:val="0"/>
          <w:sz w:val="21"/>
          <w:szCs w:val="21"/>
        </w:rPr>
        <w:t>选址意见函</w:t>
      </w:r>
    </w:p>
    <w:p>
      <w:pPr>
        <w:widowControl/>
        <w:adjustRightInd w:val="0"/>
        <w:snapToGrid w:val="0"/>
        <w:ind w:firstLine="0" w:firstLineChars="0"/>
        <w:jc w:val="left"/>
        <w:rPr>
          <w:snapToGrid w:val="0"/>
          <w:kern w:val="0"/>
          <w:sz w:val="21"/>
          <w:szCs w:val="21"/>
        </w:rPr>
      </w:pPr>
      <w:r>
        <w:rPr>
          <w:snapToGrid w:val="0"/>
          <w:kern w:val="0"/>
          <w:sz w:val="21"/>
          <w:szCs w:val="21"/>
        </w:rPr>
        <w:t xml:space="preserve">附件6 </w:t>
      </w:r>
      <w:r>
        <w:rPr>
          <w:rFonts w:hint="eastAsia"/>
          <w:snapToGrid w:val="0"/>
          <w:kern w:val="0"/>
          <w:sz w:val="21"/>
          <w:szCs w:val="21"/>
        </w:rPr>
        <w:t>污水</w:t>
      </w:r>
      <w:r>
        <w:rPr>
          <w:snapToGrid w:val="0"/>
          <w:kern w:val="0"/>
          <w:sz w:val="21"/>
          <w:szCs w:val="21"/>
        </w:rPr>
        <w:t>处理厂环保手续</w:t>
      </w:r>
    </w:p>
    <w:p>
      <w:pPr>
        <w:widowControl/>
        <w:adjustRightInd w:val="0"/>
        <w:snapToGrid w:val="0"/>
        <w:ind w:firstLine="0" w:firstLineChars="0"/>
        <w:jc w:val="left"/>
        <w:rPr>
          <w:snapToGrid w:val="0"/>
          <w:kern w:val="0"/>
          <w:sz w:val="21"/>
          <w:szCs w:val="21"/>
        </w:rPr>
      </w:pPr>
      <w:r>
        <w:rPr>
          <w:snapToGrid w:val="0"/>
          <w:kern w:val="0"/>
          <w:sz w:val="21"/>
          <w:szCs w:val="21"/>
        </w:rPr>
        <w:t>附件7 环境质量监测报告</w:t>
      </w:r>
    </w:p>
    <w:p>
      <w:pPr>
        <w:widowControl/>
        <w:adjustRightInd w:val="0"/>
        <w:snapToGrid w:val="0"/>
        <w:ind w:firstLine="0" w:firstLineChars="0"/>
        <w:jc w:val="left"/>
        <w:rPr>
          <w:snapToGrid w:val="0"/>
          <w:kern w:val="0"/>
          <w:sz w:val="21"/>
          <w:szCs w:val="21"/>
        </w:rPr>
      </w:pPr>
      <w:r>
        <w:rPr>
          <w:snapToGrid w:val="0"/>
          <w:kern w:val="0"/>
          <w:sz w:val="21"/>
          <w:szCs w:val="21"/>
        </w:rPr>
        <w:t xml:space="preserve">附件8 </w:t>
      </w:r>
      <w:r>
        <w:rPr>
          <w:rFonts w:hint="eastAsia"/>
          <w:snapToGrid w:val="0"/>
          <w:kern w:val="0"/>
          <w:sz w:val="21"/>
          <w:szCs w:val="21"/>
        </w:rPr>
        <w:t>环境风险自查表</w:t>
      </w:r>
    </w:p>
    <w:sectPr>
      <w:pgSz w:w="11906" w:h="16838"/>
      <w:pgMar w:top="1440" w:right="1440" w:bottom="1440" w:left="1440" w:header="851" w:footer="107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0" w:csb1="00000000"/>
  </w:font>
  <w:font w:name="MicrosoftYaHei">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fldChar w:fldCharType="begin"/>
    </w:r>
    <w:r>
      <w:instrText xml:space="preserve">PAGE   \* MERGEFORMAT</w:instrText>
    </w:r>
    <w:r>
      <w:fldChar w:fldCharType="separate"/>
    </w:r>
    <w:r>
      <w:rPr>
        <w:lang w:val="zh-CN"/>
      </w:rPr>
      <w:t>130</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ind w:firstLine="360"/>
      <w:rPr>
        <w:rStyle w:val="25"/>
      </w:rPr>
    </w:pPr>
    <w:r>
      <w:rPr>
        <w:rStyle w:val="25"/>
      </w:rPr>
      <w:fldChar w:fldCharType="begin"/>
    </w:r>
    <w:r>
      <w:rPr>
        <w:rStyle w:val="25"/>
      </w:rPr>
      <w:instrText xml:space="preserve">PAGE  </w:instrText>
    </w:r>
    <w:r>
      <w:rPr>
        <w:rStyle w:val="25"/>
      </w:rP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UzY2E4Mzg5YmZjMzcxNGU1NzY5YmQ2NDA1YTE1MzIifQ=="/>
  </w:docVars>
  <w:rsids>
    <w:rsidRoot w:val="00A14947"/>
    <w:rsid w:val="000010A1"/>
    <w:rsid w:val="0000128A"/>
    <w:rsid w:val="00001B79"/>
    <w:rsid w:val="00001CED"/>
    <w:rsid w:val="00001E67"/>
    <w:rsid w:val="0000217A"/>
    <w:rsid w:val="00002D28"/>
    <w:rsid w:val="000031C1"/>
    <w:rsid w:val="0000356C"/>
    <w:rsid w:val="000037D9"/>
    <w:rsid w:val="00003CD7"/>
    <w:rsid w:val="00003CD8"/>
    <w:rsid w:val="00004A02"/>
    <w:rsid w:val="00006516"/>
    <w:rsid w:val="000065DB"/>
    <w:rsid w:val="000066F4"/>
    <w:rsid w:val="00006FDF"/>
    <w:rsid w:val="000105A5"/>
    <w:rsid w:val="000105B1"/>
    <w:rsid w:val="00012362"/>
    <w:rsid w:val="000127A5"/>
    <w:rsid w:val="00012A2B"/>
    <w:rsid w:val="00012D76"/>
    <w:rsid w:val="00013514"/>
    <w:rsid w:val="0001398B"/>
    <w:rsid w:val="00014965"/>
    <w:rsid w:val="0001523A"/>
    <w:rsid w:val="0001534A"/>
    <w:rsid w:val="00016CEF"/>
    <w:rsid w:val="00016D04"/>
    <w:rsid w:val="00016ECB"/>
    <w:rsid w:val="000171E5"/>
    <w:rsid w:val="00017C5B"/>
    <w:rsid w:val="00017C79"/>
    <w:rsid w:val="00020A41"/>
    <w:rsid w:val="000218F4"/>
    <w:rsid w:val="000222BB"/>
    <w:rsid w:val="000223E7"/>
    <w:rsid w:val="00023982"/>
    <w:rsid w:val="00023BF4"/>
    <w:rsid w:val="00023CBF"/>
    <w:rsid w:val="00023DDA"/>
    <w:rsid w:val="00023E96"/>
    <w:rsid w:val="00024333"/>
    <w:rsid w:val="0002517E"/>
    <w:rsid w:val="0002526D"/>
    <w:rsid w:val="00025317"/>
    <w:rsid w:val="000253AA"/>
    <w:rsid w:val="00025A73"/>
    <w:rsid w:val="00025CE1"/>
    <w:rsid w:val="00026099"/>
    <w:rsid w:val="000261AC"/>
    <w:rsid w:val="000267FF"/>
    <w:rsid w:val="000269F6"/>
    <w:rsid w:val="00026EFC"/>
    <w:rsid w:val="00026F39"/>
    <w:rsid w:val="00026FD3"/>
    <w:rsid w:val="0002728A"/>
    <w:rsid w:val="00030199"/>
    <w:rsid w:val="00031939"/>
    <w:rsid w:val="00031E16"/>
    <w:rsid w:val="00032381"/>
    <w:rsid w:val="000324ED"/>
    <w:rsid w:val="000328F9"/>
    <w:rsid w:val="00032A45"/>
    <w:rsid w:val="00032D25"/>
    <w:rsid w:val="00032ED2"/>
    <w:rsid w:val="00033534"/>
    <w:rsid w:val="00033763"/>
    <w:rsid w:val="00033BF1"/>
    <w:rsid w:val="00033D01"/>
    <w:rsid w:val="0003555A"/>
    <w:rsid w:val="00035843"/>
    <w:rsid w:val="000358F1"/>
    <w:rsid w:val="00035CA9"/>
    <w:rsid w:val="00036808"/>
    <w:rsid w:val="00036A9E"/>
    <w:rsid w:val="00036E24"/>
    <w:rsid w:val="00040359"/>
    <w:rsid w:val="00040E7D"/>
    <w:rsid w:val="00041184"/>
    <w:rsid w:val="00041DAB"/>
    <w:rsid w:val="0004201D"/>
    <w:rsid w:val="00042E62"/>
    <w:rsid w:val="00043164"/>
    <w:rsid w:val="00043FE0"/>
    <w:rsid w:val="000442A1"/>
    <w:rsid w:val="00044C48"/>
    <w:rsid w:val="00045056"/>
    <w:rsid w:val="000452C3"/>
    <w:rsid w:val="00045715"/>
    <w:rsid w:val="00045C20"/>
    <w:rsid w:val="00046294"/>
    <w:rsid w:val="0004643D"/>
    <w:rsid w:val="00047FB4"/>
    <w:rsid w:val="000503D8"/>
    <w:rsid w:val="00050C31"/>
    <w:rsid w:val="00051346"/>
    <w:rsid w:val="00051F34"/>
    <w:rsid w:val="0005219D"/>
    <w:rsid w:val="00052605"/>
    <w:rsid w:val="000528D7"/>
    <w:rsid w:val="00052B3A"/>
    <w:rsid w:val="0005355F"/>
    <w:rsid w:val="00054304"/>
    <w:rsid w:val="000543D6"/>
    <w:rsid w:val="0005496E"/>
    <w:rsid w:val="000550BB"/>
    <w:rsid w:val="00055392"/>
    <w:rsid w:val="00055586"/>
    <w:rsid w:val="0005568F"/>
    <w:rsid w:val="00055AC9"/>
    <w:rsid w:val="00055B24"/>
    <w:rsid w:val="00055BCC"/>
    <w:rsid w:val="00056656"/>
    <w:rsid w:val="00056B62"/>
    <w:rsid w:val="00057169"/>
    <w:rsid w:val="00057579"/>
    <w:rsid w:val="00057F8C"/>
    <w:rsid w:val="00060960"/>
    <w:rsid w:val="00060EEB"/>
    <w:rsid w:val="00061162"/>
    <w:rsid w:val="0006134F"/>
    <w:rsid w:val="0006153D"/>
    <w:rsid w:val="00061748"/>
    <w:rsid w:val="000619C4"/>
    <w:rsid w:val="00061B1F"/>
    <w:rsid w:val="00061CF6"/>
    <w:rsid w:val="0006225D"/>
    <w:rsid w:val="000623EC"/>
    <w:rsid w:val="000626D3"/>
    <w:rsid w:val="00062D1F"/>
    <w:rsid w:val="00062DCB"/>
    <w:rsid w:val="000632CC"/>
    <w:rsid w:val="0006388C"/>
    <w:rsid w:val="00063970"/>
    <w:rsid w:val="00063C05"/>
    <w:rsid w:val="00063E44"/>
    <w:rsid w:val="00064060"/>
    <w:rsid w:val="0006411E"/>
    <w:rsid w:val="00064610"/>
    <w:rsid w:val="00064FF4"/>
    <w:rsid w:val="00065330"/>
    <w:rsid w:val="000664DB"/>
    <w:rsid w:val="0006661C"/>
    <w:rsid w:val="000668F5"/>
    <w:rsid w:val="00066B3A"/>
    <w:rsid w:val="00067505"/>
    <w:rsid w:val="00067D9D"/>
    <w:rsid w:val="00070764"/>
    <w:rsid w:val="00070C07"/>
    <w:rsid w:val="00070CFE"/>
    <w:rsid w:val="0007127D"/>
    <w:rsid w:val="00071541"/>
    <w:rsid w:val="000719A8"/>
    <w:rsid w:val="00071A14"/>
    <w:rsid w:val="00071AE5"/>
    <w:rsid w:val="0007217F"/>
    <w:rsid w:val="0007229B"/>
    <w:rsid w:val="000731E7"/>
    <w:rsid w:val="0007324E"/>
    <w:rsid w:val="00073742"/>
    <w:rsid w:val="000738B9"/>
    <w:rsid w:val="0007437F"/>
    <w:rsid w:val="00074381"/>
    <w:rsid w:val="00074783"/>
    <w:rsid w:val="00074F29"/>
    <w:rsid w:val="000754C7"/>
    <w:rsid w:val="00075F56"/>
    <w:rsid w:val="000766A1"/>
    <w:rsid w:val="0007742A"/>
    <w:rsid w:val="0008015E"/>
    <w:rsid w:val="000801E0"/>
    <w:rsid w:val="000803B5"/>
    <w:rsid w:val="00081A71"/>
    <w:rsid w:val="00081B8B"/>
    <w:rsid w:val="00082A29"/>
    <w:rsid w:val="00082B49"/>
    <w:rsid w:val="0008331D"/>
    <w:rsid w:val="00083BA8"/>
    <w:rsid w:val="00083C18"/>
    <w:rsid w:val="00084E7E"/>
    <w:rsid w:val="000864B3"/>
    <w:rsid w:val="00087D80"/>
    <w:rsid w:val="00087F79"/>
    <w:rsid w:val="00090247"/>
    <w:rsid w:val="0009061B"/>
    <w:rsid w:val="00090707"/>
    <w:rsid w:val="0009154F"/>
    <w:rsid w:val="00092059"/>
    <w:rsid w:val="0009205B"/>
    <w:rsid w:val="000921BC"/>
    <w:rsid w:val="000926F4"/>
    <w:rsid w:val="0009274C"/>
    <w:rsid w:val="00092899"/>
    <w:rsid w:val="00092EF7"/>
    <w:rsid w:val="00092F25"/>
    <w:rsid w:val="00093221"/>
    <w:rsid w:val="00093370"/>
    <w:rsid w:val="0009483C"/>
    <w:rsid w:val="00094FD9"/>
    <w:rsid w:val="00096037"/>
    <w:rsid w:val="000962D0"/>
    <w:rsid w:val="000969F4"/>
    <w:rsid w:val="00096D69"/>
    <w:rsid w:val="000971EA"/>
    <w:rsid w:val="00097712"/>
    <w:rsid w:val="0009782C"/>
    <w:rsid w:val="000A02A7"/>
    <w:rsid w:val="000A0D5F"/>
    <w:rsid w:val="000A178E"/>
    <w:rsid w:val="000A275E"/>
    <w:rsid w:val="000A337B"/>
    <w:rsid w:val="000A34DB"/>
    <w:rsid w:val="000A3BB7"/>
    <w:rsid w:val="000A4BCB"/>
    <w:rsid w:val="000A4D6C"/>
    <w:rsid w:val="000A4EF8"/>
    <w:rsid w:val="000A557E"/>
    <w:rsid w:val="000A64AF"/>
    <w:rsid w:val="000A64C2"/>
    <w:rsid w:val="000A7E47"/>
    <w:rsid w:val="000B00EE"/>
    <w:rsid w:val="000B058F"/>
    <w:rsid w:val="000B1092"/>
    <w:rsid w:val="000B2A4A"/>
    <w:rsid w:val="000B2A9C"/>
    <w:rsid w:val="000B2C7C"/>
    <w:rsid w:val="000B47A5"/>
    <w:rsid w:val="000B4B29"/>
    <w:rsid w:val="000B4F4E"/>
    <w:rsid w:val="000B57FD"/>
    <w:rsid w:val="000B63B5"/>
    <w:rsid w:val="000B693F"/>
    <w:rsid w:val="000B7F74"/>
    <w:rsid w:val="000C039B"/>
    <w:rsid w:val="000C09AC"/>
    <w:rsid w:val="000C0A63"/>
    <w:rsid w:val="000C0DD2"/>
    <w:rsid w:val="000C1A42"/>
    <w:rsid w:val="000C1B80"/>
    <w:rsid w:val="000C1B8E"/>
    <w:rsid w:val="000C1C90"/>
    <w:rsid w:val="000C362C"/>
    <w:rsid w:val="000C3BF9"/>
    <w:rsid w:val="000C40E2"/>
    <w:rsid w:val="000C437E"/>
    <w:rsid w:val="000C4ACF"/>
    <w:rsid w:val="000C4BEB"/>
    <w:rsid w:val="000C4DF3"/>
    <w:rsid w:val="000C5391"/>
    <w:rsid w:val="000C581C"/>
    <w:rsid w:val="000C5FC3"/>
    <w:rsid w:val="000C6019"/>
    <w:rsid w:val="000C607D"/>
    <w:rsid w:val="000C6487"/>
    <w:rsid w:val="000C6BAD"/>
    <w:rsid w:val="000C6EC8"/>
    <w:rsid w:val="000C754B"/>
    <w:rsid w:val="000C77A0"/>
    <w:rsid w:val="000C7A75"/>
    <w:rsid w:val="000D0379"/>
    <w:rsid w:val="000D0439"/>
    <w:rsid w:val="000D0443"/>
    <w:rsid w:val="000D0A11"/>
    <w:rsid w:val="000D1E82"/>
    <w:rsid w:val="000D20C3"/>
    <w:rsid w:val="000D2530"/>
    <w:rsid w:val="000D2E50"/>
    <w:rsid w:val="000D3361"/>
    <w:rsid w:val="000D3BE3"/>
    <w:rsid w:val="000D4128"/>
    <w:rsid w:val="000D469B"/>
    <w:rsid w:val="000D4C6F"/>
    <w:rsid w:val="000D52FC"/>
    <w:rsid w:val="000D5900"/>
    <w:rsid w:val="000D60A8"/>
    <w:rsid w:val="000D6D2C"/>
    <w:rsid w:val="000D7B47"/>
    <w:rsid w:val="000E0F10"/>
    <w:rsid w:val="000E13CC"/>
    <w:rsid w:val="000E17C3"/>
    <w:rsid w:val="000E272B"/>
    <w:rsid w:val="000E29FA"/>
    <w:rsid w:val="000E2CC1"/>
    <w:rsid w:val="000E4A2D"/>
    <w:rsid w:val="000E4B93"/>
    <w:rsid w:val="000E5127"/>
    <w:rsid w:val="000E5322"/>
    <w:rsid w:val="000E56A8"/>
    <w:rsid w:val="000E5700"/>
    <w:rsid w:val="000E5F16"/>
    <w:rsid w:val="000E6D94"/>
    <w:rsid w:val="000E6DAD"/>
    <w:rsid w:val="000E792F"/>
    <w:rsid w:val="000F0E67"/>
    <w:rsid w:val="000F0F6F"/>
    <w:rsid w:val="000F1360"/>
    <w:rsid w:val="000F18FE"/>
    <w:rsid w:val="000F2352"/>
    <w:rsid w:val="000F27B4"/>
    <w:rsid w:val="000F3552"/>
    <w:rsid w:val="000F3966"/>
    <w:rsid w:val="000F3AE0"/>
    <w:rsid w:val="000F3BFE"/>
    <w:rsid w:val="000F439E"/>
    <w:rsid w:val="000F4452"/>
    <w:rsid w:val="000F4A0D"/>
    <w:rsid w:val="000F4B82"/>
    <w:rsid w:val="000F562D"/>
    <w:rsid w:val="000F5D79"/>
    <w:rsid w:val="000F6458"/>
    <w:rsid w:val="000F6DA1"/>
    <w:rsid w:val="000F701B"/>
    <w:rsid w:val="00100703"/>
    <w:rsid w:val="00100ABA"/>
    <w:rsid w:val="00100C82"/>
    <w:rsid w:val="00100E1A"/>
    <w:rsid w:val="0010119A"/>
    <w:rsid w:val="001012BD"/>
    <w:rsid w:val="00101837"/>
    <w:rsid w:val="00101CEC"/>
    <w:rsid w:val="001020C5"/>
    <w:rsid w:val="0010265D"/>
    <w:rsid w:val="0010283F"/>
    <w:rsid w:val="00102FF2"/>
    <w:rsid w:val="00103E92"/>
    <w:rsid w:val="00104DE0"/>
    <w:rsid w:val="00105019"/>
    <w:rsid w:val="001055F6"/>
    <w:rsid w:val="001056A0"/>
    <w:rsid w:val="00105A9E"/>
    <w:rsid w:val="00105F5C"/>
    <w:rsid w:val="001067C8"/>
    <w:rsid w:val="00107305"/>
    <w:rsid w:val="001076F3"/>
    <w:rsid w:val="00107BE9"/>
    <w:rsid w:val="00110294"/>
    <w:rsid w:val="00110480"/>
    <w:rsid w:val="00110573"/>
    <w:rsid w:val="0011188E"/>
    <w:rsid w:val="00111891"/>
    <w:rsid w:val="001122CF"/>
    <w:rsid w:val="00112A5D"/>
    <w:rsid w:val="00113814"/>
    <w:rsid w:val="0011459C"/>
    <w:rsid w:val="0011475C"/>
    <w:rsid w:val="00115279"/>
    <w:rsid w:val="00117459"/>
    <w:rsid w:val="0011749A"/>
    <w:rsid w:val="0012028D"/>
    <w:rsid w:val="00121640"/>
    <w:rsid w:val="00121729"/>
    <w:rsid w:val="00122611"/>
    <w:rsid w:val="00122829"/>
    <w:rsid w:val="00123102"/>
    <w:rsid w:val="00123E00"/>
    <w:rsid w:val="00123FCE"/>
    <w:rsid w:val="00123FED"/>
    <w:rsid w:val="00125C90"/>
    <w:rsid w:val="001278AB"/>
    <w:rsid w:val="001278B3"/>
    <w:rsid w:val="00127A68"/>
    <w:rsid w:val="00127CF5"/>
    <w:rsid w:val="00130096"/>
    <w:rsid w:val="001303FA"/>
    <w:rsid w:val="00130608"/>
    <w:rsid w:val="001306D6"/>
    <w:rsid w:val="00130B3C"/>
    <w:rsid w:val="00131433"/>
    <w:rsid w:val="00131D03"/>
    <w:rsid w:val="00132297"/>
    <w:rsid w:val="00132515"/>
    <w:rsid w:val="0013278A"/>
    <w:rsid w:val="00132FB5"/>
    <w:rsid w:val="00133B8E"/>
    <w:rsid w:val="00134044"/>
    <w:rsid w:val="00134BEA"/>
    <w:rsid w:val="00135AB5"/>
    <w:rsid w:val="00136574"/>
    <w:rsid w:val="0013702A"/>
    <w:rsid w:val="001400B3"/>
    <w:rsid w:val="00140B13"/>
    <w:rsid w:val="001413DC"/>
    <w:rsid w:val="00141B68"/>
    <w:rsid w:val="00142504"/>
    <w:rsid w:val="00142D9C"/>
    <w:rsid w:val="00142E69"/>
    <w:rsid w:val="001431D0"/>
    <w:rsid w:val="0014378B"/>
    <w:rsid w:val="001438E7"/>
    <w:rsid w:val="00144CEA"/>
    <w:rsid w:val="00144F0E"/>
    <w:rsid w:val="001464B5"/>
    <w:rsid w:val="001466DA"/>
    <w:rsid w:val="00147F85"/>
    <w:rsid w:val="00151A99"/>
    <w:rsid w:val="00151D0D"/>
    <w:rsid w:val="00152345"/>
    <w:rsid w:val="00152B07"/>
    <w:rsid w:val="00154DE1"/>
    <w:rsid w:val="00155AB7"/>
    <w:rsid w:val="00155B40"/>
    <w:rsid w:val="00156FC6"/>
    <w:rsid w:val="00157435"/>
    <w:rsid w:val="00157825"/>
    <w:rsid w:val="00157DDB"/>
    <w:rsid w:val="00160BA7"/>
    <w:rsid w:val="00160E80"/>
    <w:rsid w:val="001613A7"/>
    <w:rsid w:val="00161E5E"/>
    <w:rsid w:val="00161EE7"/>
    <w:rsid w:val="00161F01"/>
    <w:rsid w:val="00162949"/>
    <w:rsid w:val="00162AE4"/>
    <w:rsid w:val="00163044"/>
    <w:rsid w:val="001636D3"/>
    <w:rsid w:val="00163EEA"/>
    <w:rsid w:val="00163F62"/>
    <w:rsid w:val="0016457E"/>
    <w:rsid w:val="0016516C"/>
    <w:rsid w:val="00165F69"/>
    <w:rsid w:val="0016756E"/>
    <w:rsid w:val="0016777F"/>
    <w:rsid w:val="00167A07"/>
    <w:rsid w:val="00167E77"/>
    <w:rsid w:val="00167E8D"/>
    <w:rsid w:val="00170180"/>
    <w:rsid w:val="001701FA"/>
    <w:rsid w:val="001702D2"/>
    <w:rsid w:val="0017046A"/>
    <w:rsid w:val="001704A3"/>
    <w:rsid w:val="0017149D"/>
    <w:rsid w:val="001718C1"/>
    <w:rsid w:val="00171A63"/>
    <w:rsid w:val="00171A87"/>
    <w:rsid w:val="001726EE"/>
    <w:rsid w:val="0017324D"/>
    <w:rsid w:val="00173F4E"/>
    <w:rsid w:val="00173F95"/>
    <w:rsid w:val="001748A3"/>
    <w:rsid w:val="00174960"/>
    <w:rsid w:val="001749AA"/>
    <w:rsid w:val="00174C06"/>
    <w:rsid w:val="0017504D"/>
    <w:rsid w:val="001754B5"/>
    <w:rsid w:val="00175520"/>
    <w:rsid w:val="001756DC"/>
    <w:rsid w:val="00175A47"/>
    <w:rsid w:val="00176529"/>
    <w:rsid w:val="00177422"/>
    <w:rsid w:val="00177796"/>
    <w:rsid w:val="00177D76"/>
    <w:rsid w:val="001806BA"/>
    <w:rsid w:val="001807D9"/>
    <w:rsid w:val="00180DD1"/>
    <w:rsid w:val="00181456"/>
    <w:rsid w:val="00181E19"/>
    <w:rsid w:val="00182687"/>
    <w:rsid w:val="00182CCD"/>
    <w:rsid w:val="001830EA"/>
    <w:rsid w:val="00183AF0"/>
    <w:rsid w:val="00183E58"/>
    <w:rsid w:val="00184282"/>
    <w:rsid w:val="00184E0B"/>
    <w:rsid w:val="00184F10"/>
    <w:rsid w:val="001854FB"/>
    <w:rsid w:val="00185521"/>
    <w:rsid w:val="00185546"/>
    <w:rsid w:val="0018564D"/>
    <w:rsid w:val="00185C1B"/>
    <w:rsid w:val="001860B2"/>
    <w:rsid w:val="0019104D"/>
    <w:rsid w:val="0019111F"/>
    <w:rsid w:val="0019146B"/>
    <w:rsid w:val="00192027"/>
    <w:rsid w:val="001920FE"/>
    <w:rsid w:val="00192333"/>
    <w:rsid w:val="001923A9"/>
    <w:rsid w:val="001923E4"/>
    <w:rsid w:val="001925F5"/>
    <w:rsid w:val="00193204"/>
    <w:rsid w:val="001939DF"/>
    <w:rsid w:val="00194398"/>
    <w:rsid w:val="00195637"/>
    <w:rsid w:val="00195781"/>
    <w:rsid w:val="001974DF"/>
    <w:rsid w:val="00197539"/>
    <w:rsid w:val="00197F09"/>
    <w:rsid w:val="001A1227"/>
    <w:rsid w:val="001A1804"/>
    <w:rsid w:val="001A1920"/>
    <w:rsid w:val="001A1981"/>
    <w:rsid w:val="001A29FB"/>
    <w:rsid w:val="001A2C80"/>
    <w:rsid w:val="001A3742"/>
    <w:rsid w:val="001A3BF2"/>
    <w:rsid w:val="001A48E3"/>
    <w:rsid w:val="001A4C30"/>
    <w:rsid w:val="001A54F3"/>
    <w:rsid w:val="001A77B8"/>
    <w:rsid w:val="001A78BF"/>
    <w:rsid w:val="001A7D2A"/>
    <w:rsid w:val="001A7FD2"/>
    <w:rsid w:val="001B05F5"/>
    <w:rsid w:val="001B0F36"/>
    <w:rsid w:val="001B14D7"/>
    <w:rsid w:val="001B19D3"/>
    <w:rsid w:val="001B1C9E"/>
    <w:rsid w:val="001B2CEA"/>
    <w:rsid w:val="001B40DA"/>
    <w:rsid w:val="001B429D"/>
    <w:rsid w:val="001B480B"/>
    <w:rsid w:val="001B4FE9"/>
    <w:rsid w:val="001B521E"/>
    <w:rsid w:val="001B5617"/>
    <w:rsid w:val="001B574C"/>
    <w:rsid w:val="001B6103"/>
    <w:rsid w:val="001B699D"/>
    <w:rsid w:val="001C0403"/>
    <w:rsid w:val="001C0576"/>
    <w:rsid w:val="001C0AF9"/>
    <w:rsid w:val="001C0C90"/>
    <w:rsid w:val="001C0F30"/>
    <w:rsid w:val="001C12D8"/>
    <w:rsid w:val="001C13D1"/>
    <w:rsid w:val="001C155A"/>
    <w:rsid w:val="001C18AB"/>
    <w:rsid w:val="001C1AF5"/>
    <w:rsid w:val="001C1D4A"/>
    <w:rsid w:val="001C1D9B"/>
    <w:rsid w:val="001C1F16"/>
    <w:rsid w:val="001C1F4B"/>
    <w:rsid w:val="001C1F93"/>
    <w:rsid w:val="001C2A1E"/>
    <w:rsid w:val="001C2CBB"/>
    <w:rsid w:val="001C362E"/>
    <w:rsid w:val="001C3B6E"/>
    <w:rsid w:val="001C4380"/>
    <w:rsid w:val="001C4722"/>
    <w:rsid w:val="001C48A9"/>
    <w:rsid w:val="001C48C0"/>
    <w:rsid w:val="001C4B93"/>
    <w:rsid w:val="001C4D9A"/>
    <w:rsid w:val="001C525F"/>
    <w:rsid w:val="001C559A"/>
    <w:rsid w:val="001C5914"/>
    <w:rsid w:val="001C5D9B"/>
    <w:rsid w:val="001C7335"/>
    <w:rsid w:val="001C7DC1"/>
    <w:rsid w:val="001D03BE"/>
    <w:rsid w:val="001D0759"/>
    <w:rsid w:val="001D0ECD"/>
    <w:rsid w:val="001D0FE2"/>
    <w:rsid w:val="001D2716"/>
    <w:rsid w:val="001D28F4"/>
    <w:rsid w:val="001D3080"/>
    <w:rsid w:val="001D30EE"/>
    <w:rsid w:val="001D3803"/>
    <w:rsid w:val="001D433D"/>
    <w:rsid w:val="001D4766"/>
    <w:rsid w:val="001D48A0"/>
    <w:rsid w:val="001D4E84"/>
    <w:rsid w:val="001D5203"/>
    <w:rsid w:val="001D5865"/>
    <w:rsid w:val="001D5D93"/>
    <w:rsid w:val="001D60E4"/>
    <w:rsid w:val="001D6726"/>
    <w:rsid w:val="001D6CA3"/>
    <w:rsid w:val="001E00ED"/>
    <w:rsid w:val="001E0938"/>
    <w:rsid w:val="001E1857"/>
    <w:rsid w:val="001E193D"/>
    <w:rsid w:val="001E1CD8"/>
    <w:rsid w:val="001E1F33"/>
    <w:rsid w:val="001E280D"/>
    <w:rsid w:val="001E2A99"/>
    <w:rsid w:val="001E2EA5"/>
    <w:rsid w:val="001E3D90"/>
    <w:rsid w:val="001E3FDA"/>
    <w:rsid w:val="001E4787"/>
    <w:rsid w:val="001E47D7"/>
    <w:rsid w:val="001E4BB9"/>
    <w:rsid w:val="001E5534"/>
    <w:rsid w:val="001E5972"/>
    <w:rsid w:val="001E6054"/>
    <w:rsid w:val="001E7094"/>
    <w:rsid w:val="001E72F4"/>
    <w:rsid w:val="001E72F6"/>
    <w:rsid w:val="001E735C"/>
    <w:rsid w:val="001E7A50"/>
    <w:rsid w:val="001F150A"/>
    <w:rsid w:val="001F18B8"/>
    <w:rsid w:val="001F1D05"/>
    <w:rsid w:val="001F2203"/>
    <w:rsid w:val="001F228C"/>
    <w:rsid w:val="001F2697"/>
    <w:rsid w:val="001F26B5"/>
    <w:rsid w:val="001F3347"/>
    <w:rsid w:val="001F3CD0"/>
    <w:rsid w:val="001F43AD"/>
    <w:rsid w:val="001F4440"/>
    <w:rsid w:val="001F4B69"/>
    <w:rsid w:val="001F5276"/>
    <w:rsid w:val="001F559E"/>
    <w:rsid w:val="001F5FCB"/>
    <w:rsid w:val="001F69E4"/>
    <w:rsid w:val="001F6F94"/>
    <w:rsid w:val="001F72BE"/>
    <w:rsid w:val="001F7AEC"/>
    <w:rsid w:val="001F7CA8"/>
    <w:rsid w:val="001F7F1A"/>
    <w:rsid w:val="001F7F2D"/>
    <w:rsid w:val="001F7F4C"/>
    <w:rsid w:val="0020057D"/>
    <w:rsid w:val="00200690"/>
    <w:rsid w:val="00200921"/>
    <w:rsid w:val="002009C3"/>
    <w:rsid w:val="00200B65"/>
    <w:rsid w:val="00200CF0"/>
    <w:rsid w:val="00200F0B"/>
    <w:rsid w:val="00201EC3"/>
    <w:rsid w:val="002024E9"/>
    <w:rsid w:val="00202B63"/>
    <w:rsid w:val="00203094"/>
    <w:rsid w:val="00203DA1"/>
    <w:rsid w:val="002041B7"/>
    <w:rsid w:val="0020445E"/>
    <w:rsid w:val="00204DEA"/>
    <w:rsid w:val="002052F0"/>
    <w:rsid w:val="002057E4"/>
    <w:rsid w:val="002060D0"/>
    <w:rsid w:val="00206A65"/>
    <w:rsid w:val="002077EC"/>
    <w:rsid w:val="00207998"/>
    <w:rsid w:val="0020799F"/>
    <w:rsid w:val="002100C2"/>
    <w:rsid w:val="002107BF"/>
    <w:rsid w:val="00210968"/>
    <w:rsid w:val="002119E8"/>
    <w:rsid w:val="002123D9"/>
    <w:rsid w:val="00212654"/>
    <w:rsid w:val="00212D31"/>
    <w:rsid w:val="002130C7"/>
    <w:rsid w:val="0021359F"/>
    <w:rsid w:val="0021365D"/>
    <w:rsid w:val="00213A81"/>
    <w:rsid w:val="00213B98"/>
    <w:rsid w:val="00213C90"/>
    <w:rsid w:val="002147DC"/>
    <w:rsid w:val="002149AF"/>
    <w:rsid w:val="00214E1D"/>
    <w:rsid w:val="00215023"/>
    <w:rsid w:val="002151D6"/>
    <w:rsid w:val="00215E25"/>
    <w:rsid w:val="00216073"/>
    <w:rsid w:val="00216173"/>
    <w:rsid w:val="00217857"/>
    <w:rsid w:val="00217E56"/>
    <w:rsid w:val="0022017F"/>
    <w:rsid w:val="00220796"/>
    <w:rsid w:val="002209C5"/>
    <w:rsid w:val="00220F2D"/>
    <w:rsid w:val="002215CD"/>
    <w:rsid w:val="00221649"/>
    <w:rsid w:val="002217A9"/>
    <w:rsid w:val="002218A8"/>
    <w:rsid w:val="0022190A"/>
    <w:rsid w:val="0022261D"/>
    <w:rsid w:val="002227ED"/>
    <w:rsid w:val="0022306D"/>
    <w:rsid w:val="00223F9A"/>
    <w:rsid w:val="00224A8D"/>
    <w:rsid w:val="00224D8D"/>
    <w:rsid w:val="0022533A"/>
    <w:rsid w:val="0022584C"/>
    <w:rsid w:val="00225FAC"/>
    <w:rsid w:val="00226407"/>
    <w:rsid w:val="0022641E"/>
    <w:rsid w:val="00226574"/>
    <w:rsid w:val="00226843"/>
    <w:rsid w:val="00226C50"/>
    <w:rsid w:val="002278EC"/>
    <w:rsid w:val="00227E2E"/>
    <w:rsid w:val="00230510"/>
    <w:rsid w:val="002322CA"/>
    <w:rsid w:val="002323EB"/>
    <w:rsid w:val="00232F94"/>
    <w:rsid w:val="002338BB"/>
    <w:rsid w:val="00233AC2"/>
    <w:rsid w:val="00233DAC"/>
    <w:rsid w:val="00234ABA"/>
    <w:rsid w:val="00235289"/>
    <w:rsid w:val="002356D5"/>
    <w:rsid w:val="002357C7"/>
    <w:rsid w:val="00235815"/>
    <w:rsid w:val="00235B3C"/>
    <w:rsid w:val="00236394"/>
    <w:rsid w:val="002367C4"/>
    <w:rsid w:val="00236F03"/>
    <w:rsid w:val="002379AB"/>
    <w:rsid w:val="00240585"/>
    <w:rsid w:val="00240741"/>
    <w:rsid w:val="002409DC"/>
    <w:rsid w:val="00241106"/>
    <w:rsid w:val="00241FB5"/>
    <w:rsid w:val="002421AB"/>
    <w:rsid w:val="00243958"/>
    <w:rsid w:val="002441EA"/>
    <w:rsid w:val="00244770"/>
    <w:rsid w:val="00244B89"/>
    <w:rsid w:val="00245276"/>
    <w:rsid w:val="00245ABE"/>
    <w:rsid w:val="00245E51"/>
    <w:rsid w:val="002464F7"/>
    <w:rsid w:val="002468CF"/>
    <w:rsid w:val="00247974"/>
    <w:rsid w:val="00250317"/>
    <w:rsid w:val="00250337"/>
    <w:rsid w:val="002506A4"/>
    <w:rsid w:val="00250E29"/>
    <w:rsid w:val="00251E79"/>
    <w:rsid w:val="00251EFE"/>
    <w:rsid w:val="00252770"/>
    <w:rsid w:val="002527D2"/>
    <w:rsid w:val="0025298A"/>
    <w:rsid w:val="00252A0B"/>
    <w:rsid w:val="002532A1"/>
    <w:rsid w:val="002555E2"/>
    <w:rsid w:val="00255B84"/>
    <w:rsid w:val="0025643E"/>
    <w:rsid w:val="0025679E"/>
    <w:rsid w:val="00256842"/>
    <w:rsid w:val="00257054"/>
    <w:rsid w:val="00257199"/>
    <w:rsid w:val="00257434"/>
    <w:rsid w:val="0026004D"/>
    <w:rsid w:val="00260415"/>
    <w:rsid w:val="00260582"/>
    <w:rsid w:val="0026089A"/>
    <w:rsid w:val="00260C68"/>
    <w:rsid w:val="00261773"/>
    <w:rsid w:val="00262E5D"/>
    <w:rsid w:val="002648B0"/>
    <w:rsid w:val="002650A6"/>
    <w:rsid w:val="00265D4E"/>
    <w:rsid w:val="00266535"/>
    <w:rsid w:val="00266D0A"/>
    <w:rsid w:val="0026700F"/>
    <w:rsid w:val="0026735F"/>
    <w:rsid w:val="002673D3"/>
    <w:rsid w:val="00270B17"/>
    <w:rsid w:val="00271483"/>
    <w:rsid w:val="00271A78"/>
    <w:rsid w:val="00271CBE"/>
    <w:rsid w:val="00271CE5"/>
    <w:rsid w:val="0027293A"/>
    <w:rsid w:val="00273410"/>
    <w:rsid w:val="00273FAE"/>
    <w:rsid w:val="00273FDF"/>
    <w:rsid w:val="00274579"/>
    <w:rsid w:val="00274AC6"/>
    <w:rsid w:val="00275271"/>
    <w:rsid w:val="0027535E"/>
    <w:rsid w:val="00275425"/>
    <w:rsid w:val="00275AA6"/>
    <w:rsid w:val="00275FD7"/>
    <w:rsid w:val="0027600C"/>
    <w:rsid w:val="002762C2"/>
    <w:rsid w:val="00276764"/>
    <w:rsid w:val="002779EC"/>
    <w:rsid w:val="00277EC9"/>
    <w:rsid w:val="00280002"/>
    <w:rsid w:val="0028000E"/>
    <w:rsid w:val="00280585"/>
    <w:rsid w:val="002807D5"/>
    <w:rsid w:val="002811E9"/>
    <w:rsid w:val="00281507"/>
    <w:rsid w:val="002815E7"/>
    <w:rsid w:val="00281F11"/>
    <w:rsid w:val="00282145"/>
    <w:rsid w:val="00282958"/>
    <w:rsid w:val="00282CCD"/>
    <w:rsid w:val="00283758"/>
    <w:rsid w:val="00285117"/>
    <w:rsid w:val="002858ED"/>
    <w:rsid w:val="00285A58"/>
    <w:rsid w:val="002865D9"/>
    <w:rsid w:val="00286C4F"/>
    <w:rsid w:val="002871F9"/>
    <w:rsid w:val="0028734C"/>
    <w:rsid w:val="00290465"/>
    <w:rsid w:val="00290C9B"/>
    <w:rsid w:val="00291247"/>
    <w:rsid w:val="0029169C"/>
    <w:rsid w:val="00291781"/>
    <w:rsid w:val="00293DBC"/>
    <w:rsid w:val="00294316"/>
    <w:rsid w:val="00295745"/>
    <w:rsid w:val="00297E3C"/>
    <w:rsid w:val="00297FD9"/>
    <w:rsid w:val="002A0060"/>
    <w:rsid w:val="002A083D"/>
    <w:rsid w:val="002A168C"/>
    <w:rsid w:val="002A184D"/>
    <w:rsid w:val="002A1E37"/>
    <w:rsid w:val="002A1F25"/>
    <w:rsid w:val="002A2924"/>
    <w:rsid w:val="002A2C48"/>
    <w:rsid w:val="002A3EED"/>
    <w:rsid w:val="002A457E"/>
    <w:rsid w:val="002A4A39"/>
    <w:rsid w:val="002A5A17"/>
    <w:rsid w:val="002A6425"/>
    <w:rsid w:val="002A6548"/>
    <w:rsid w:val="002A6770"/>
    <w:rsid w:val="002A70D2"/>
    <w:rsid w:val="002A778E"/>
    <w:rsid w:val="002A788A"/>
    <w:rsid w:val="002B03DC"/>
    <w:rsid w:val="002B0F79"/>
    <w:rsid w:val="002B0FED"/>
    <w:rsid w:val="002B1300"/>
    <w:rsid w:val="002B1F18"/>
    <w:rsid w:val="002B28DD"/>
    <w:rsid w:val="002B2FC7"/>
    <w:rsid w:val="002B33E3"/>
    <w:rsid w:val="002B3C15"/>
    <w:rsid w:val="002B3C81"/>
    <w:rsid w:val="002B3F9D"/>
    <w:rsid w:val="002B44E9"/>
    <w:rsid w:val="002B4995"/>
    <w:rsid w:val="002B49E2"/>
    <w:rsid w:val="002B4A49"/>
    <w:rsid w:val="002B4B49"/>
    <w:rsid w:val="002B56DF"/>
    <w:rsid w:val="002B5FD1"/>
    <w:rsid w:val="002B6652"/>
    <w:rsid w:val="002B68A6"/>
    <w:rsid w:val="002B786C"/>
    <w:rsid w:val="002B7B00"/>
    <w:rsid w:val="002B7C44"/>
    <w:rsid w:val="002B7CF8"/>
    <w:rsid w:val="002B7F58"/>
    <w:rsid w:val="002C0420"/>
    <w:rsid w:val="002C0435"/>
    <w:rsid w:val="002C0B7D"/>
    <w:rsid w:val="002C0C14"/>
    <w:rsid w:val="002C12BF"/>
    <w:rsid w:val="002C130A"/>
    <w:rsid w:val="002C1388"/>
    <w:rsid w:val="002C2180"/>
    <w:rsid w:val="002C2C7C"/>
    <w:rsid w:val="002C31E7"/>
    <w:rsid w:val="002C32B7"/>
    <w:rsid w:val="002C3C6A"/>
    <w:rsid w:val="002C412C"/>
    <w:rsid w:val="002C48D3"/>
    <w:rsid w:val="002C493F"/>
    <w:rsid w:val="002C5229"/>
    <w:rsid w:val="002C524E"/>
    <w:rsid w:val="002C58FF"/>
    <w:rsid w:val="002C5B77"/>
    <w:rsid w:val="002C5B91"/>
    <w:rsid w:val="002C63AF"/>
    <w:rsid w:val="002C6A1B"/>
    <w:rsid w:val="002C7228"/>
    <w:rsid w:val="002C79CC"/>
    <w:rsid w:val="002C7A3A"/>
    <w:rsid w:val="002D028D"/>
    <w:rsid w:val="002D02C7"/>
    <w:rsid w:val="002D0468"/>
    <w:rsid w:val="002D0E97"/>
    <w:rsid w:val="002D1385"/>
    <w:rsid w:val="002D168C"/>
    <w:rsid w:val="002D196F"/>
    <w:rsid w:val="002D1C99"/>
    <w:rsid w:val="002D2545"/>
    <w:rsid w:val="002D31D4"/>
    <w:rsid w:val="002D34E5"/>
    <w:rsid w:val="002D3A07"/>
    <w:rsid w:val="002D42DB"/>
    <w:rsid w:val="002D4EB8"/>
    <w:rsid w:val="002D51F0"/>
    <w:rsid w:val="002D53ED"/>
    <w:rsid w:val="002D67AD"/>
    <w:rsid w:val="002D67FE"/>
    <w:rsid w:val="002D7111"/>
    <w:rsid w:val="002D71A2"/>
    <w:rsid w:val="002D7754"/>
    <w:rsid w:val="002D7A95"/>
    <w:rsid w:val="002D7BA3"/>
    <w:rsid w:val="002D7C3E"/>
    <w:rsid w:val="002E065D"/>
    <w:rsid w:val="002E0AB5"/>
    <w:rsid w:val="002E1BF8"/>
    <w:rsid w:val="002E1CE4"/>
    <w:rsid w:val="002E1EFB"/>
    <w:rsid w:val="002E1F3A"/>
    <w:rsid w:val="002E1F8C"/>
    <w:rsid w:val="002E2842"/>
    <w:rsid w:val="002E298A"/>
    <w:rsid w:val="002E380E"/>
    <w:rsid w:val="002E3F0F"/>
    <w:rsid w:val="002E418F"/>
    <w:rsid w:val="002E4B23"/>
    <w:rsid w:val="002E4BD3"/>
    <w:rsid w:val="002E5C25"/>
    <w:rsid w:val="002E5D10"/>
    <w:rsid w:val="002E6710"/>
    <w:rsid w:val="002E71F0"/>
    <w:rsid w:val="002E7490"/>
    <w:rsid w:val="002E77CA"/>
    <w:rsid w:val="002E7806"/>
    <w:rsid w:val="002F00FC"/>
    <w:rsid w:val="002F02A4"/>
    <w:rsid w:val="002F0769"/>
    <w:rsid w:val="002F085C"/>
    <w:rsid w:val="002F08A3"/>
    <w:rsid w:val="002F105D"/>
    <w:rsid w:val="002F1DEE"/>
    <w:rsid w:val="002F1FEB"/>
    <w:rsid w:val="002F2504"/>
    <w:rsid w:val="002F272B"/>
    <w:rsid w:val="002F3387"/>
    <w:rsid w:val="002F3531"/>
    <w:rsid w:val="002F36A2"/>
    <w:rsid w:val="002F392A"/>
    <w:rsid w:val="002F3F45"/>
    <w:rsid w:val="002F4C3D"/>
    <w:rsid w:val="002F4D08"/>
    <w:rsid w:val="002F5161"/>
    <w:rsid w:val="002F66D2"/>
    <w:rsid w:val="002F6F1B"/>
    <w:rsid w:val="002F75F2"/>
    <w:rsid w:val="002F7C6D"/>
    <w:rsid w:val="002F7C83"/>
    <w:rsid w:val="003001B6"/>
    <w:rsid w:val="003002DD"/>
    <w:rsid w:val="00300958"/>
    <w:rsid w:val="0030137B"/>
    <w:rsid w:val="003013CD"/>
    <w:rsid w:val="00301DB2"/>
    <w:rsid w:val="003027E4"/>
    <w:rsid w:val="0030332C"/>
    <w:rsid w:val="0030382E"/>
    <w:rsid w:val="00303AD0"/>
    <w:rsid w:val="00304789"/>
    <w:rsid w:val="003047A7"/>
    <w:rsid w:val="00304DF2"/>
    <w:rsid w:val="003052AC"/>
    <w:rsid w:val="00306AD8"/>
    <w:rsid w:val="00306D6B"/>
    <w:rsid w:val="00307268"/>
    <w:rsid w:val="00307D9E"/>
    <w:rsid w:val="00310094"/>
    <w:rsid w:val="003101FE"/>
    <w:rsid w:val="003102B3"/>
    <w:rsid w:val="003104B2"/>
    <w:rsid w:val="00310F37"/>
    <w:rsid w:val="003117A3"/>
    <w:rsid w:val="0031218A"/>
    <w:rsid w:val="00312256"/>
    <w:rsid w:val="00312296"/>
    <w:rsid w:val="00312AF9"/>
    <w:rsid w:val="0031340E"/>
    <w:rsid w:val="003135FB"/>
    <w:rsid w:val="00313C89"/>
    <w:rsid w:val="003143EC"/>
    <w:rsid w:val="003148B7"/>
    <w:rsid w:val="0031539A"/>
    <w:rsid w:val="00315CAC"/>
    <w:rsid w:val="00315F1A"/>
    <w:rsid w:val="00315F45"/>
    <w:rsid w:val="00316464"/>
    <w:rsid w:val="00317325"/>
    <w:rsid w:val="00317F40"/>
    <w:rsid w:val="0032018B"/>
    <w:rsid w:val="003205E8"/>
    <w:rsid w:val="0032073A"/>
    <w:rsid w:val="00321D8E"/>
    <w:rsid w:val="003220A9"/>
    <w:rsid w:val="00322678"/>
    <w:rsid w:val="003227DD"/>
    <w:rsid w:val="0032282A"/>
    <w:rsid w:val="00322A85"/>
    <w:rsid w:val="0032379C"/>
    <w:rsid w:val="00323D80"/>
    <w:rsid w:val="00323DB5"/>
    <w:rsid w:val="00324A69"/>
    <w:rsid w:val="00324B6F"/>
    <w:rsid w:val="0032596B"/>
    <w:rsid w:val="00325E3D"/>
    <w:rsid w:val="00326CA4"/>
    <w:rsid w:val="00326FB8"/>
    <w:rsid w:val="003271B2"/>
    <w:rsid w:val="00327463"/>
    <w:rsid w:val="00327867"/>
    <w:rsid w:val="00327884"/>
    <w:rsid w:val="00327EBF"/>
    <w:rsid w:val="00330C2C"/>
    <w:rsid w:val="0033116C"/>
    <w:rsid w:val="00331532"/>
    <w:rsid w:val="00331C59"/>
    <w:rsid w:val="00331ECB"/>
    <w:rsid w:val="00332A6C"/>
    <w:rsid w:val="00332B82"/>
    <w:rsid w:val="00332FC1"/>
    <w:rsid w:val="00333C3B"/>
    <w:rsid w:val="00333F80"/>
    <w:rsid w:val="00334996"/>
    <w:rsid w:val="00334F20"/>
    <w:rsid w:val="00334F73"/>
    <w:rsid w:val="0033514C"/>
    <w:rsid w:val="0033618E"/>
    <w:rsid w:val="00336419"/>
    <w:rsid w:val="00336969"/>
    <w:rsid w:val="00336C52"/>
    <w:rsid w:val="00337560"/>
    <w:rsid w:val="00337E4B"/>
    <w:rsid w:val="00340C3F"/>
    <w:rsid w:val="00341303"/>
    <w:rsid w:val="00341B3E"/>
    <w:rsid w:val="00341B42"/>
    <w:rsid w:val="00341C78"/>
    <w:rsid w:val="0034268C"/>
    <w:rsid w:val="003439D6"/>
    <w:rsid w:val="00343BC4"/>
    <w:rsid w:val="00343E48"/>
    <w:rsid w:val="00343F9F"/>
    <w:rsid w:val="0034403B"/>
    <w:rsid w:val="00345154"/>
    <w:rsid w:val="0034560E"/>
    <w:rsid w:val="00345D1B"/>
    <w:rsid w:val="00346ED8"/>
    <w:rsid w:val="003470BA"/>
    <w:rsid w:val="00350362"/>
    <w:rsid w:val="00350523"/>
    <w:rsid w:val="003511D1"/>
    <w:rsid w:val="00351A7D"/>
    <w:rsid w:val="00351D21"/>
    <w:rsid w:val="0035270D"/>
    <w:rsid w:val="00352975"/>
    <w:rsid w:val="003537B8"/>
    <w:rsid w:val="0035386A"/>
    <w:rsid w:val="00353C2E"/>
    <w:rsid w:val="00353D8D"/>
    <w:rsid w:val="00353EFF"/>
    <w:rsid w:val="00354148"/>
    <w:rsid w:val="00354B18"/>
    <w:rsid w:val="00354E01"/>
    <w:rsid w:val="0035521A"/>
    <w:rsid w:val="003555E8"/>
    <w:rsid w:val="00355F1B"/>
    <w:rsid w:val="003564F3"/>
    <w:rsid w:val="00356868"/>
    <w:rsid w:val="003577A1"/>
    <w:rsid w:val="0036041A"/>
    <w:rsid w:val="00360E08"/>
    <w:rsid w:val="003610E1"/>
    <w:rsid w:val="003617A6"/>
    <w:rsid w:val="00361A3D"/>
    <w:rsid w:val="00361D71"/>
    <w:rsid w:val="003621CC"/>
    <w:rsid w:val="003622CF"/>
    <w:rsid w:val="003623F7"/>
    <w:rsid w:val="00362987"/>
    <w:rsid w:val="00363E28"/>
    <w:rsid w:val="0036485B"/>
    <w:rsid w:val="00365176"/>
    <w:rsid w:val="00365868"/>
    <w:rsid w:val="0036599A"/>
    <w:rsid w:val="00366DF4"/>
    <w:rsid w:val="00366F65"/>
    <w:rsid w:val="0036788E"/>
    <w:rsid w:val="003679B7"/>
    <w:rsid w:val="00367D10"/>
    <w:rsid w:val="00370A0C"/>
    <w:rsid w:val="00371609"/>
    <w:rsid w:val="003722B4"/>
    <w:rsid w:val="003725A6"/>
    <w:rsid w:val="00372F1F"/>
    <w:rsid w:val="003733BF"/>
    <w:rsid w:val="00373B0D"/>
    <w:rsid w:val="00374ABD"/>
    <w:rsid w:val="003750BF"/>
    <w:rsid w:val="003755D5"/>
    <w:rsid w:val="0037599B"/>
    <w:rsid w:val="00375D48"/>
    <w:rsid w:val="00376467"/>
    <w:rsid w:val="003768A8"/>
    <w:rsid w:val="00376988"/>
    <w:rsid w:val="0038091F"/>
    <w:rsid w:val="00381A72"/>
    <w:rsid w:val="00382F52"/>
    <w:rsid w:val="003834E4"/>
    <w:rsid w:val="00383709"/>
    <w:rsid w:val="003837F6"/>
    <w:rsid w:val="00383E61"/>
    <w:rsid w:val="00383F3D"/>
    <w:rsid w:val="00384D2F"/>
    <w:rsid w:val="00385208"/>
    <w:rsid w:val="00385573"/>
    <w:rsid w:val="00386675"/>
    <w:rsid w:val="00387390"/>
    <w:rsid w:val="003876A3"/>
    <w:rsid w:val="00387AAF"/>
    <w:rsid w:val="00387F07"/>
    <w:rsid w:val="00391B07"/>
    <w:rsid w:val="00391BE9"/>
    <w:rsid w:val="003922E5"/>
    <w:rsid w:val="003926C9"/>
    <w:rsid w:val="00393377"/>
    <w:rsid w:val="0039363A"/>
    <w:rsid w:val="00393789"/>
    <w:rsid w:val="0039439F"/>
    <w:rsid w:val="003955A6"/>
    <w:rsid w:val="003955F6"/>
    <w:rsid w:val="003957E4"/>
    <w:rsid w:val="00395845"/>
    <w:rsid w:val="00395DAA"/>
    <w:rsid w:val="0039623A"/>
    <w:rsid w:val="003962F9"/>
    <w:rsid w:val="003965FF"/>
    <w:rsid w:val="00397028"/>
    <w:rsid w:val="00397188"/>
    <w:rsid w:val="003973B3"/>
    <w:rsid w:val="003A0766"/>
    <w:rsid w:val="003A1824"/>
    <w:rsid w:val="003A1948"/>
    <w:rsid w:val="003A1C0E"/>
    <w:rsid w:val="003A21CB"/>
    <w:rsid w:val="003A23A4"/>
    <w:rsid w:val="003A328A"/>
    <w:rsid w:val="003A39B0"/>
    <w:rsid w:val="003A3B7C"/>
    <w:rsid w:val="003A3DA4"/>
    <w:rsid w:val="003A525B"/>
    <w:rsid w:val="003A547D"/>
    <w:rsid w:val="003A5BAB"/>
    <w:rsid w:val="003A5DC3"/>
    <w:rsid w:val="003A60B8"/>
    <w:rsid w:val="003A6575"/>
    <w:rsid w:val="003A6AA3"/>
    <w:rsid w:val="003A6E7E"/>
    <w:rsid w:val="003B01EB"/>
    <w:rsid w:val="003B067E"/>
    <w:rsid w:val="003B06C2"/>
    <w:rsid w:val="003B06E9"/>
    <w:rsid w:val="003B0DC9"/>
    <w:rsid w:val="003B152A"/>
    <w:rsid w:val="003B17E9"/>
    <w:rsid w:val="003B19D5"/>
    <w:rsid w:val="003B2AD2"/>
    <w:rsid w:val="003B2B40"/>
    <w:rsid w:val="003B2FD5"/>
    <w:rsid w:val="003B34ED"/>
    <w:rsid w:val="003B363F"/>
    <w:rsid w:val="003B3BEF"/>
    <w:rsid w:val="003B46F0"/>
    <w:rsid w:val="003B545B"/>
    <w:rsid w:val="003B54CB"/>
    <w:rsid w:val="003B56B2"/>
    <w:rsid w:val="003B5A7D"/>
    <w:rsid w:val="003B5BF2"/>
    <w:rsid w:val="003B6D06"/>
    <w:rsid w:val="003B7423"/>
    <w:rsid w:val="003B7AD8"/>
    <w:rsid w:val="003B7B32"/>
    <w:rsid w:val="003B7EEB"/>
    <w:rsid w:val="003C0096"/>
    <w:rsid w:val="003C0E98"/>
    <w:rsid w:val="003C19E7"/>
    <w:rsid w:val="003C1DDA"/>
    <w:rsid w:val="003C20A1"/>
    <w:rsid w:val="003C2B53"/>
    <w:rsid w:val="003C2F84"/>
    <w:rsid w:val="003C33AE"/>
    <w:rsid w:val="003C383E"/>
    <w:rsid w:val="003C39A8"/>
    <w:rsid w:val="003C6583"/>
    <w:rsid w:val="003C6D4F"/>
    <w:rsid w:val="003C7A81"/>
    <w:rsid w:val="003D0906"/>
    <w:rsid w:val="003D0ED6"/>
    <w:rsid w:val="003D1AE7"/>
    <w:rsid w:val="003D222A"/>
    <w:rsid w:val="003D3191"/>
    <w:rsid w:val="003D3E8F"/>
    <w:rsid w:val="003D3EE9"/>
    <w:rsid w:val="003D41CF"/>
    <w:rsid w:val="003D4653"/>
    <w:rsid w:val="003D50EB"/>
    <w:rsid w:val="003D58B5"/>
    <w:rsid w:val="003D5ACC"/>
    <w:rsid w:val="003D6319"/>
    <w:rsid w:val="003D6701"/>
    <w:rsid w:val="003D68AF"/>
    <w:rsid w:val="003D6BA3"/>
    <w:rsid w:val="003D7122"/>
    <w:rsid w:val="003E01BF"/>
    <w:rsid w:val="003E0316"/>
    <w:rsid w:val="003E28CF"/>
    <w:rsid w:val="003E2995"/>
    <w:rsid w:val="003E3363"/>
    <w:rsid w:val="003E3E45"/>
    <w:rsid w:val="003E514C"/>
    <w:rsid w:val="003E55BD"/>
    <w:rsid w:val="003E55C5"/>
    <w:rsid w:val="003E5AD5"/>
    <w:rsid w:val="003E6B06"/>
    <w:rsid w:val="003E7681"/>
    <w:rsid w:val="003E7D61"/>
    <w:rsid w:val="003E7FBE"/>
    <w:rsid w:val="003F07D7"/>
    <w:rsid w:val="003F0809"/>
    <w:rsid w:val="003F1149"/>
    <w:rsid w:val="003F1876"/>
    <w:rsid w:val="003F19B9"/>
    <w:rsid w:val="003F2DAF"/>
    <w:rsid w:val="003F2DF3"/>
    <w:rsid w:val="003F3063"/>
    <w:rsid w:val="003F3DC5"/>
    <w:rsid w:val="003F41C5"/>
    <w:rsid w:val="003F4B0D"/>
    <w:rsid w:val="003F4DDF"/>
    <w:rsid w:val="003F5DD0"/>
    <w:rsid w:val="003F611C"/>
    <w:rsid w:val="003F755C"/>
    <w:rsid w:val="003F7C46"/>
    <w:rsid w:val="003F7E1F"/>
    <w:rsid w:val="0040026F"/>
    <w:rsid w:val="0040058E"/>
    <w:rsid w:val="00400632"/>
    <w:rsid w:val="00400691"/>
    <w:rsid w:val="004014FE"/>
    <w:rsid w:val="00401F4B"/>
    <w:rsid w:val="0040228C"/>
    <w:rsid w:val="0040268B"/>
    <w:rsid w:val="00402834"/>
    <w:rsid w:val="00402E3A"/>
    <w:rsid w:val="00404056"/>
    <w:rsid w:val="004040C9"/>
    <w:rsid w:val="00404976"/>
    <w:rsid w:val="00406F01"/>
    <w:rsid w:val="00407180"/>
    <w:rsid w:val="0041029E"/>
    <w:rsid w:val="004109D9"/>
    <w:rsid w:val="00410C37"/>
    <w:rsid w:val="004113CC"/>
    <w:rsid w:val="00411442"/>
    <w:rsid w:val="004119A3"/>
    <w:rsid w:val="00411B36"/>
    <w:rsid w:val="00411F9D"/>
    <w:rsid w:val="004121D7"/>
    <w:rsid w:val="00412DFA"/>
    <w:rsid w:val="00412FD6"/>
    <w:rsid w:val="004144F0"/>
    <w:rsid w:val="00414862"/>
    <w:rsid w:val="00414AFD"/>
    <w:rsid w:val="0041528E"/>
    <w:rsid w:val="004155D5"/>
    <w:rsid w:val="00415D07"/>
    <w:rsid w:val="00416274"/>
    <w:rsid w:val="004166C4"/>
    <w:rsid w:val="00416A80"/>
    <w:rsid w:val="00416D50"/>
    <w:rsid w:val="00417772"/>
    <w:rsid w:val="0042048C"/>
    <w:rsid w:val="00420BE5"/>
    <w:rsid w:val="00420E6A"/>
    <w:rsid w:val="00421E92"/>
    <w:rsid w:val="004221BD"/>
    <w:rsid w:val="00423678"/>
    <w:rsid w:val="004249C3"/>
    <w:rsid w:val="0042524C"/>
    <w:rsid w:val="004255D9"/>
    <w:rsid w:val="00425DBF"/>
    <w:rsid w:val="004260F0"/>
    <w:rsid w:val="00427174"/>
    <w:rsid w:val="004319CD"/>
    <w:rsid w:val="00432190"/>
    <w:rsid w:val="00432A65"/>
    <w:rsid w:val="00432CE2"/>
    <w:rsid w:val="00433146"/>
    <w:rsid w:val="004333A9"/>
    <w:rsid w:val="00433CA9"/>
    <w:rsid w:val="00433D33"/>
    <w:rsid w:val="00434022"/>
    <w:rsid w:val="0043426B"/>
    <w:rsid w:val="004349F3"/>
    <w:rsid w:val="00434EEB"/>
    <w:rsid w:val="0043521D"/>
    <w:rsid w:val="00435356"/>
    <w:rsid w:val="00435A15"/>
    <w:rsid w:val="00435F38"/>
    <w:rsid w:val="004367AF"/>
    <w:rsid w:val="004370BC"/>
    <w:rsid w:val="00437266"/>
    <w:rsid w:val="0043740D"/>
    <w:rsid w:val="00437AE9"/>
    <w:rsid w:val="0044099A"/>
    <w:rsid w:val="00440D6F"/>
    <w:rsid w:val="00441991"/>
    <w:rsid w:val="00441AAC"/>
    <w:rsid w:val="00442024"/>
    <w:rsid w:val="004423EC"/>
    <w:rsid w:val="0044254C"/>
    <w:rsid w:val="00443F58"/>
    <w:rsid w:val="00443F6A"/>
    <w:rsid w:val="00444754"/>
    <w:rsid w:val="004461EB"/>
    <w:rsid w:val="00446798"/>
    <w:rsid w:val="00446AD2"/>
    <w:rsid w:val="004475B9"/>
    <w:rsid w:val="00450716"/>
    <w:rsid w:val="0045078C"/>
    <w:rsid w:val="00450A17"/>
    <w:rsid w:val="00450AC6"/>
    <w:rsid w:val="004512F9"/>
    <w:rsid w:val="00451598"/>
    <w:rsid w:val="00451A66"/>
    <w:rsid w:val="00452373"/>
    <w:rsid w:val="004525EC"/>
    <w:rsid w:val="00452970"/>
    <w:rsid w:val="004535CB"/>
    <w:rsid w:val="004539DD"/>
    <w:rsid w:val="00453AAC"/>
    <w:rsid w:val="00454258"/>
    <w:rsid w:val="004543A0"/>
    <w:rsid w:val="00454EFF"/>
    <w:rsid w:val="00455D1A"/>
    <w:rsid w:val="00457609"/>
    <w:rsid w:val="00457BC4"/>
    <w:rsid w:val="00457C76"/>
    <w:rsid w:val="004600E3"/>
    <w:rsid w:val="00461D5D"/>
    <w:rsid w:val="00461D73"/>
    <w:rsid w:val="004625F5"/>
    <w:rsid w:val="00463010"/>
    <w:rsid w:val="00463589"/>
    <w:rsid w:val="00463A93"/>
    <w:rsid w:val="00463D05"/>
    <w:rsid w:val="00463D3E"/>
    <w:rsid w:val="00463D62"/>
    <w:rsid w:val="00464B0C"/>
    <w:rsid w:val="00464C2C"/>
    <w:rsid w:val="00465070"/>
    <w:rsid w:val="0046531C"/>
    <w:rsid w:val="00466321"/>
    <w:rsid w:val="0046710B"/>
    <w:rsid w:val="0046710D"/>
    <w:rsid w:val="004672AF"/>
    <w:rsid w:val="00467383"/>
    <w:rsid w:val="0046759E"/>
    <w:rsid w:val="004678F3"/>
    <w:rsid w:val="00467B9C"/>
    <w:rsid w:val="00470B69"/>
    <w:rsid w:val="00470D3E"/>
    <w:rsid w:val="00471A7B"/>
    <w:rsid w:val="004727B0"/>
    <w:rsid w:val="00473C93"/>
    <w:rsid w:val="00473F7B"/>
    <w:rsid w:val="0047421C"/>
    <w:rsid w:val="00474639"/>
    <w:rsid w:val="00474ACA"/>
    <w:rsid w:val="00474F24"/>
    <w:rsid w:val="0047524D"/>
    <w:rsid w:val="00476728"/>
    <w:rsid w:val="00476977"/>
    <w:rsid w:val="00476D57"/>
    <w:rsid w:val="00477E43"/>
    <w:rsid w:val="00477E4F"/>
    <w:rsid w:val="00480247"/>
    <w:rsid w:val="00480643"/>
    <w:rsid w:val="0048081D"/>
    <w:rsid w:val="00480920"/>
    <w:rsid w:val="0048117E"/>
    <w:rsid w:val="00481CC1"/>
    <w:rsid w:val="00481CD8"/>
    <w:rsid w:val="004823D0"/>
    <w:rsid w:val="00483B8A"/>
    <w:rsid w:val="00483C7B"/>
    <w:rsid w:val="00484800"/>
    <w:rsid w:val="004855F6"/>
    <w:rsid w:val="004856F0"/>
    <w:rsid w:val="00486A63"/>
    <w:rsid w:val="00486C5C"/>
    <w:rsid w:val="00486F0C"/>
    <w:rsid w:val="00487896"/>
    <w:rsid w:val="004878D9"/>
    <w:rsid w:val="00487BD2"/>
    <w:rsid w:val="00487E7B"/>
    <w:rsid w:val="00491BB4"/>
    <w:rsid w:val="00492204"/>
    <w:rsid w:val="00492857"/>
    <w:rsid w:val="004928BB"/>
    <w:rsid w:val="00492DF3"/>
    <w:rsid w:val="004938F4"/>
    <w:rsid w:val="00494670"/>
    <w:rsid w:val="00494DB7"/>
    <w:rsid w:val="004964C2"/>
    <w:rsid w:val="00496565"/>
    <w:rsid w:val="0049660B"/>
    <w:rsid w:val="004970DA"/>
    <w:rsid w:val="00497363"/>
    <w:rsid w:val="00497941"/>
    <w:rsid w:val="00497BB2"/>
    <w:rsid w:val="00497C0F"/>
    <w:rsid w:val="00497D71"/>
    <w:rsid w:val="004A01E3"/>
    <w:rsid w:val="004A0827"/>
    <w:rsid w:val="004A0EB4"/>
    <w:rsid w:val="004A15B1"/>
    <w:rsid w:val="004A1618"/>
    <w:rsid w:val="004A1E90"/>
    <w:rsid w:val="004A3569"/>
    <w:rsid w:val="004A3823"/>
    <w:rsid w:val="004A3DEE"/>
    <w:rsid w:val="004A429B"/>
    <w:rsid w:val="004A42E9"/>
    <w:rsid w:val="004A4B13"/>
    <w:rsid w:val="004A4E21"/>
    <w:rsid w:val="004A59BB"/>
    <w:rsid w:val="004A5CD6"/>
    <w:rsid w:val="004A7A11"/>
    <w:rsid w:val="004A7C2F"/>
    <w:rsid w:val="004B140F"/>
    <w:rsid w:val="004B1BD3"/>
    <w:rsid w:val="004B2B35"/>
    <w:rsid w:val="004B4066"/>
    <w:rsid w:val="004B43A3"/>
    <w:rsid w:val="004B4C49"/>
    <w:rsid w:val="004B4C67"/>
    <w:rsid w:val="004B54A8"/>
    <w:rsid w:val="004B5636"/>
    <w:rsid w:val="004B58A5"/>
    <w:rsid w:val="004B5C56"/>
    <w:rsid w:val="004B63D9"/>
    <w:rsid w:val="004B6CCE"/>
    <w:rsid w:val="004B70E7"/>
    <w:rsid w:val="004B7413"/>
    <w:rsid w:val="004B7785"/>
    <w:rsid w:val="004C04AF"/>
    <w:rsid w:val="004C0882"/>
    <w:rsid w:val="004C0894"/>
    <w:rsid w:val="004C19D4"/>
    <w:rsid w:val="004C2991"/>
    <w:rsid w:val="004C2D2E"/>
    <w:rsid w:val="004C31A3"/>
    <w:rsid w:val="004C4385"/>
    <w:rsid w:val="004C43A6"/>
    <w:rsid w:val="004C4788"/>
    <w:rsid w:val="004C4C24"/>
    <w:rsid w:val="004C4F17"/>
    <w:rsid w:val="004C55BE"/>
    <w:rsid w:val="004C5607"/>
    <w:rsid w:val="004C65F3"/>
    <w:rsid w:val="004C6E3A"/>
    <w:rsid w:val="004C7218"/>
    <w:rsid w:val="004C7801"/>
    <w:rsid w:val="004D0DD1"/>
    <w:rsid w:val="004D0E05"/>
    <w:rsid w:val="004D1635"/>
    <w:rsid w:val="004D221C"/>
    <w:rsid w:val="004D2E14"/>
    <w:rsid w:val="004D44E6"/>
    <w:rsid w:val="004D49C1"/>
    <w:rsid w:val="004D49FF"/>
    <w:rsid w:val="004D4C5E"/>
    <w:rsid w:val="004D5435"/>
    <w:rsid w:val="004D6460"/>
    <w:rsid w:val="004D6E2C"/>
    <w:rsid w:val="004D7320"/>
    <w:rsid w:val="004D7367"/>
    <w:rsid w:val="004D77B4"/>
    <w:rsid w:val="004D7A77"/>
    <w:rsid w:val="004D7C50"/>
    <w:rsid w:val="004E0561"/>
    <w:rsid w:val="004E0824"/>
    <w:rsid w:val="004E084D"/>
    <w:rsid w:val="004E13AF"/>
    <w:rsid w:val="004E1FCD"/>
    <w:rsid w:val="004E2046"/>
    <w:rsid w:val="004E2A7A"/>
    <w:rsid w:val="004E2DE7"/>
    <w:rsid w:val="004E35CA"/>
    <w:rsid w:val="004E377C"/>
    <w:rsid w:val="004E3DB5"/>
    <w:rsid w:val="004E4100"/>
    <w:rsid w:val="004E4B57"/>
    <w:rsid w:val="004E4C0C"/>
    <w:rsid w:val="004E598C"/>
    <w:rsid w:val="004E5B30"/>
    <w:rsid w:val="004E5BE2"/>
    <w:rsid w:val="004E5F89"/>
    <w:rsid w:val="004E5FC1"/>
    <w:rsid w:val="004E69A1"/>
    <w:rsid w:val="004E73D5"/>
    <w:rsid w:val="004E740D"/>
    <w:rsid w:val="004E7629"/>
    <w:rsid w:val="004F0779"/>
    <w:rsid w:val="004F0B07"/>
    <w:rsid w:val="004F0D85"/>
    <w:rsid w:val="004F11F5"/>
    <w:rsid w:val="004F1230"/>
    <w:rsid w:val="004F1311"/>
    <w:rsid w:val="004F14C5"/>
    <w:rsid w:val="004F173F"/>
    <w:rsid w:val="004F177C"/>
    <w:rsid w:val="004F1B6D"/>
    <w:rsid w:val="004F2521"/>
    <w:rsid w:val="004F281F"/>
    <w:rsid w:val="004F2D2C"/>
    <w:rsid w:val="004F2DCE"/>
    <w:rsid w:val="004F38D8"/>
    <w:rsid w:val="004F3E8D"/>
    <w:rsid w:val="004F3FAA"/>
    <w:rsid w:val="004F5318"/>
    <w:rsid w:val="004F5998"/>
    <w:rsid w:val="004F5F34"/>
    <w:rsid w:val="004F6A4A"/>
    <w:rsid w:val="004F70CB"/>
    <w:rsid w:val="004F7203"/>
    <w:rsid w:val="004F7E47"/>
    <w:rsid w:val="00500817"/>
    <w:rsid w:val="00500922"/>
    <w:rsid w:val="005016D6"/>
    <w:rsid w:val="005019E9"/>
    <w:rsid w:val="005027B6"/>
    <w:rsid w:val="00502BBE"/>
    <w:rsid w:val="00502F5E"/>
    <w:rsid w:val="00503887"/>
    <w:rsid w:val="005039CB"/>
    <w:rsid w:val="00503E1C"/>
    <w:rsid w:val="00504F92"/>
    <w:rsid w:val="005052C6"/>
    <w:rsid w:val="0050558F"/>
    <w:rsid w:val="005057E0"/>
    <w:rsid w:val="00506286"/>
    <w:rsid w:val="00506D72"/>
    <w:rsid w:val="00506FDD"/>
    <w:rsid w:val="0050795F"/>
    <w:rsid w:val="00507997"/>
    <w:rsid w:val="00510079"/>
    <w:rsid w:val="005103DE"/>
    <w:rsid w:val="0051054B"/>
    <w:rsid w:val="005105C1"/>
    <w:rsid w:val="00510813"/>
    <w:rsid w:val="00510982"/>
    <w:rsid w:val="00510BC4"/>
    <w:rsid w:val="00511DE0"/>
    <w:rsid w:val="00512CB6"/>
    <w:rsid w:val="00512E80"/>
    <w:rsid w:val="00513531"/>
    <w:rsid w:val="00514736"/>
    <w:rsid w:val="005148FA"/>
    <w:rsid w:val="00514C13"/>
    <w:rsid w:val="00514D24"/>
    <w:rsid w:val="00515035"/>
    <w:rsid w:val="0051526C"/>
    <w:rsid w:val="00516127"/>
    <w:rsid w:val="0051667D"/>
    <w:rsid w:val="00516AC4"/>
    <w:rsid w:val="005170EF"/>
    <w:rsid w:val="005176A0"/>
    <w:rsid w:val="00517F02"/>
    <w:rsid w:val="00520AB0"/>
    <w:rsid w:val="00521297"/>
    <w:rsid w:val="005217A9"/>
    <w:rsid w:val="00522BA5"/>
    <w:rsid w:val="005238FE"/>
    <w:rsid w:val="00524547"/>
    <w:rsid w:val="0052480E"/>
    <w:rsid w:val="005258A2"/>
    <w:rsid w:val="0052596C"/>
    <w:rsid w:val="005271F7"/>
    <w:rsid w:val="00530F7C"/>
    <w:rsid w:val="00530FC8"/>
    <w:rsid w:val="00531767"/>
    <w:rsid w:val="00532A28"/>
    <w:rsid w:val="00532ED1"/>
    <w:rsid w:val="0053419D"/>
    <w:rsid w:val="00534567"/>
    <w:rsid w:val="00534F43"/>
    <w:rsid w:val="00535A84"/>
    <w:rsid w:val="00535E81"/>
    <w:rsid w:val="00536889"/>
    <w:rsid w:val="00536FD0"/>
    <w:rsid w:val="00537149"/>
    <w:rsid w:val="00537315"/>
    <w:rsid w:val="0053737F"/>
    <w:rsid w:val="00537DB9"/>
    <w:rsid w:val="00540746"/>
    <w:rsid w:val="0054176A"/>
    <w:rsid w:val="00542E07"/>
    <w:rsid w:val="00542E5B"/>
    <w:rsid w:val="00543611"/>
    <w:rsid w:val="00543FFE"/>
    <w:rsid w:val="0054456C"/>
    <w:rsid w:val="00544D06"/>
    <w:rsid w:val="0054584C"/>
    <w:rsid w:val="0054596B"/>
    <w:rsid w:val="00545A90"/>
    <w:rsid w:val="00545EF7"/>
    <w:rsid w:val="00547621"/>
    <w:rsid w:val="00547F80"/>
    <w:rsid w:val="00550FD9"/>
    <w:rsid w:val="00551B7A"/>
    <w:rsid w:val="005532EF"/>
    <w:rsid w:val="00553B4D"/>
    <w:rsid w:val="00553C1D"/>
    <w:rsid w:val="0055487C"/>
    <w:rsid w:val="00554A7B"/>
    <w:rsid w:val="0055572C"/>
    <w:rsid w:val="00555A5A"/>
    <w:rsid w:val="00556390"/>
    <w:rsid w:val="00556569"/>
    <w:rsid w:val="00556F69"/>
    <w:rsid w:val="00557ABF"/>
    <w:rsid w:val="00557CD3"/>
    <w:rsid w:val="00557F18"/>
    <w:rsid w:val="0056064F"/>
    <w:rsid w:val="00561B84"/>
    <w:rsid w:val="0056207C"/>
    <w:rsid w:val="00562658"/>
    <w:rsid w:val="00562C3E"/>
    <w:rsid w:val="0056308A"/>
    <w:rsid w:val="00563C16"/>
    <w:rsid w:val="005643E7"/>
    <w:rsid w:val="00564531"/>
    <w:rsid w:val="00564D0B"/>
    <w:rsid w:val="0056522E"/>
    <w:rsid w:val="00565664"/>
    <w:rsid w:val="00565CA3"/>
    <w:rsid w:val="00566B54"/>
    <w:rsid w:val="00567223"/>
    <w:rsid w:val="00567853"/>
    <w:rsid w:val="0057089A"/>
    <w:rsid w:val="00570B2B"/>
    <w:rsid w:val="005711AC"/>
    <w:rsid w:val="005713FB"/>
    <w:rsid w:val="00571AF8"/>
    <w:rsid w:val="00571D98"/>
    <w:rsid w:val="00572061"/>
    <w:rsid w:val="005720AE"/>
    <w:rsid w:val="00572FD2"/>
    <w:rsid w:val="005739B5"/>
    <w:rsid w:val="005744A7"/>
    <w:rsid w:val="005746F1"/>
    <w:rsid w:val="00574705"/>
    <w:rsid w:val="0057474C"/>
    <w:rsid w:val="005747E1"/>
    <w:rsid w:val="00574958"/>
    <w:rsid w:val="00575A32"/>
    <w:rsid w:val="00575DE2"/>
    <w:rsid w:val="00575FA8"/>
    <w:rsid w:val="00576027"/>
    <w:rsid w:val="00576067"/>
    <w:rsid w:val="005766B6"/>
    <w:rsid w:val="005767B7"/>
    <w:rsid w:val="00577D07"/>
    <w:rsid w:val="0058030D"/>
    <w:rsid w:val="00581A0E"/>
    <w:rsid w:val="00582045"/>
    <w:rsid w:val="005824B6"/>
    <w:rsid w:val="00584E44"/>
    <w:rsid w:val="0058575A"/>
    <w:rsid w:val="00585801"/>
    <w:rsid w:val="005867A5"/>
    <w:rsid w:val="00587972"/>
    <w:rsid w:val="00590AE3"/>
    <w:rsid w:val="00590FDE"/>
    <w:rsid w:val="005918F1"/>
    <w:rsid w:val="00591C50"/>
    <w:rsid w:val="00592535"/>
    <w:rsid w:val="00592825"/>
    <w:rsid w:val="00593A76"/>
    <w:rsid w:val="005940C2"/>
    <w:rsid w:val="00594E25"/>
    <w:rsid w:val="0059697A"/>
    <w:rsid w:val="00596F39"/>
    <w:rsid w:val="005975FB"/>
    <w:rsid w:val="00597ACF"/>
    <w:rsid w:val="00597B24"/>
    <w:rsid w:val="00597C20"/>
    <w:rsid w:val="00597E90"/>
    <w:rsid w:val="00597ED1"/>
    <w:rsid w:val="005A01BF"/>
    <w:rsid w:val="005A0506"/>
    <w:rsid w:val="005A06B7"/>
    <w:rsid w:val="005A122C"/>
    <w:rsid w:val="005A12E5"/>
    <w:rsid w:val="005A1759"/>
    <w:rsid w:val="005A1B02"/>
    <w:rsid w:val="005A2010"/>
    <w:rsid w:val="005A2116"/>
    <w:rsid w:val="005A217A"/>
    <w:rsid w:val="005A2A14"/>
    <w:rsid w:val="005A403D"/>
    <w:rsid w:val="005A41A1"/>
    <w:rsid w:val="005A477F"/>
    <w:rsid w:val="005A5A67"/>
    <w:rsid w:val="005A5C54"/>
    <w:rsid w:val="005A5FCD"/>
    <w:rsid w:val="005A635F"/>
    <w:rsid w:val="005A68DD"/>
    <w:rsid w:val="005A6DFC"/>
    <w:rsid w:val="005A72F8"/>
    <w:rsid w:val="005A7B92"/>
    <w:rsid w:val="005A7F18"/>
    <w:rsid w:val="005B07F2"/>
    <w:rsid w:val="005B09C4"/>
    <w:rsid w:val="005B12FA"/>
    <w:rsid w:val="005B1E81"/>
    <w:rsid w:val="005B32C3"/>
    <w:rsid w:val="005B37DF"/>
    <w:rsid w:val="005B39AA"/>
    <w:rsid w:val="005B3AAD"/>
    <w:rsid w:val="005B3D37"/>
    <w:rsid w:val="005B4006"/>
    <w:rsid w:val="005B4CBB"/>
    <w:rsid w:val="005B4D6D"/>
    <w:rsid w:val="005B4FBF"/>
    <w:rsid w:val="005B5BEA"/>
    <w:rsid w:val="005B6150"/>
    <w:rsid w:val="005B6290"/>
    <w:rsid w:val="005B741D"/>
    <w:rsid w:val="005B75B4"/>
    <w:rsid w:val="005B767A"/>
    <w:rsid w:val="005B7B49"/>
    <w:rsid w:val="005C14AB"/>
    <w:rsid w:val="005C213E"/>
    <w:rsid w:val="005C24DE"/>
    <w:rsid w:val="005C350F"/>
    <w:rsid w:val="005C3C60"/>
    <w:rsid w:val="005C3E50"/>
    <w:rsid w:val="005C4122"/>
    <w:rsid w:val="005C41C2"/>
    <w:rsid w:val="005C5BB5"/>
    <w:rsid w:val="005C616F"/>
    <w:rsid w:val="005D0369"/>
    <w:rsid w:val="005D083E"/>
    <w:rsid w:val="005D10A7"/>
    <w:rsid w:val="005D18D9"/>
    <w:rsid w:val="005D21D1"/>
    <w:rsid w:val="005D2519"/>
    <w:rsid w:val="005D343C"/>
    <w:rsid w:val="005D3511"/>
    <w:rsid w:val="005D443E"/>
    <w:rsid w:val="005D44CD"/>
    <w:rsid w:val="005D4E9C"/>
    <w:rsid w:val="005D4F02"/>
    <w:rsid w:val="005D53FE"/>
    <w:rsid w:val="005D5571"/>
    <w:rsid w:val="005D57F7"/>
    <w:rsid w:val="005D5E71"/>
    <w:rsid w:val="005D6B41"/>
    <w:rsid w:val="005D6B66"/>
    <w:rsid w:val="005D6CFF"/>
    <w:rsid w:val="005D7693"/>
    <w:rsid w:val="005D791B"/>
    <w:rsid w:val="005D7A0F"/>
    <w:rsid w:val="005E0438"/>
    <w:rsid w:val="005E09A9"/>
    <w:rsid w:val="005E121D"/>
    <w:rsid w:val="005E128D"/>
    <w:rsid w:val="005E1791"/>
    <w:rsid w:val="005E1EA3"/>
    <w:rsid w:val="005E1EB7"/>
    <w:rsid w:val="005E24B1"/>
    <w:rsid w:val="005E2CE6"/>
    <w:rsid w:val="005E2E13"/>
    <w:rsid w:val="005E33A7"/>
    <w:rsid w:val="005E3589"/>
    <w:rsid w:val="005E3E7E"/>
    <w:rsid w:val="005E4C23"/>
    <w:rsid w:val="005E4DBD"/>
    <w:rsid w:val="005E4FB5"/>
    <w:rsid w:val="005E5E5C"/>
    <w:rsid w:val="005E6324"/>
    <w:rsid w:val="005E64B7"/>
    <w:rsid w:val="005E71A5"/>
    <w:rsid w:val="005E7809"/>
    <w:rsid w:val="005F05B6"/>
    <w:rsid w:val="005F08A6"/>
    <w:rsid w:val="005F094F"/>
    <w:rsid w:val="005F211E"/>
    <w:rsid w:val="005F228B"/>
    <w:rsid w:val="005F29CD"/>
    <w:rsid w:val="005F3185"/>
    <w:rsid w:val="005F386F"/>
    <w:rsid w:val="005F416A"/>
    <w:rsid w:val="005F4216"/>
    <w:rsid w:val="005F4DFB"/>
    <w:rsid w:val="005F4F39"/>
    <w:rsid w:val="005F560A"/>
    <w:rsid w:val="005F63A3"/>
    <w:rsid w:val="005F68CD"/>
    <w:rsid w:val="005F6992"/>
    <w:rsid w:val="005F6BAD"/>
    <w:rsid w:val="005F6CC0"/>
    <w:rsid w:val="005F6D03"/>
    <w:rsid w:val="00600603"/>
    <w:rsid w:val="006007EA"/>
    <w:rsid w:val="00600B33"/>
    <w:rsid w:val="00600C83"/>
    <w:rsid w:val="006012F9"/>
    <w:rsid w:val="00601465"/>
    <w:rsid w:val="00601510"/>
    <w:rsid w:val="00601594"/>
    <w:rsid w:val="00601860"/>
    <w:rsid w:val="00601BB5"/>
    <w:rsid w:val="00601E00"/>
    <w:rsid w:val="00601ECC"/>
    <w:rsid w:val="0060233C"/>
    <w:rsid w:val="0060287E"/>
    <w:rsid w:val="00602CF0"/>
    <w:rsid w:val="00603013"/>
    <w:rsid w:val="006031F0"/>
    <w:rsid w:val="006037DD"/>
    <w:rsid w:val="00603E5B"/>
    <w:rsid w:val="00604567"/>
    <w:rsid w:val="00604996"/>
    <w:rsid w:val="006049D6"/>
    <w:rsid w:val="00604BC8"/>
    <w:rsid w:val="0060539E"/>
    <w:rsid w:val="0060556F"/>
    <w:rsid w:val="006055EC"/>
    <w:rsid w:val="00605E18"/>
    <w:rsid w:val="0060686B"/>
    <w:rsid w:val="0060687B"/>
    <w:rsid w:val="00606E26"/>
    <w:rsid w:val="00606FD2"/>
    <w:rsid w:val="00607C79"/>
    <w:rsid w:val="00610799"/>
    <w:rsid w:val="00610A96"/>
    <w:rsid w:val="00610A98"/>
    <w:rsid w:val="00610CD6"/>
    <w:rsid w:val="006117E0"/>
    <w:rsid w:val="00611AB3"/>
    <w:rsid w:val="00611EF2"/>
    <w:rsid w:val="0061358F"/>
    <w:rsid w:val="00613A0C"/>
    <w:rsid w:val="00613DF8"/>
    <w:rsid w:val="00613E62"/>
    <w:rsid w:val="00614E7B"/>
    <w:rsid w:val="00615B4C"/>
    <w:rsid w:val="00615B5D"/>
    <w:rsid w:val="0061639A"/>
    <w:rsid w:val="0061791D"/>
    <w:rsid w:val="00620092"/>
    <w:rsid w:val="006206BB"/>
    <w:rsid w:val="0062077F"/>
    <w:rsid w:val="00620FB2"/>
    <w:rsid w:val="0062146F"/>
    <w:rsid w:val="00621EE2"/>
    <w:rsid w:val="00622227"/>
    <w:rsid w:val="0062284C"/>
    <w:rsid w:val="006232CB"/>
    <w:rsid w:val="00623AAE"/>
    <w:rsid w:val="00623AE8"/>
    <w:rsid w:val="00623B1F"/>
    <w:rsid w:val="00624178"/>
    <w:rsid w:val="006259B8"/>
    <w:rsid w:val="00625C8E"/>
    <w:rsid w:val="00626704"/>
    <w:rsid w:val="006269D7"/>
    <w:rsid w:val="00627CBF"/>
    <w:rsid w:val="00627DD2"/>
    <w:rsid w:val="00630681"/>
    <w:rsid w:val="00630AAC"/>
    <w:rsid w:val="006312BA"/>
    <w:rsid w:val="00632A5B"/>
    <w:rsid w:val="00634118"/>
    <w:rsid w:val="006343AF"/>
    <w:rsid w:val="00634468"/>
    <w:rsid w:val="00634756"/>
    <w:rsid w:val="00635CAE"/>
    <w:rsid w:val="00635CD3"/>
    <w:rsid w:val="0063634A"/>
    <w:rsid w:val="006368A3"/>
    <w:rsid w:val="00636BE0"/>
    <w:rsid w:val="006402CE"/>
    <w:rsid w:val="00640552"/>
    <w:rsid w:val="00640646"/>
    <w:rsid w:val="00640BB1"/>
    <w:rsid w:val="00640D54"/>
    <w:rsid w:val="00640F21"/>
    <w:rsid w:val="006415EA"/>
    <w:rsid w:val="00641D01"/>
    <w:rsid w:val="00642156"/>
    <w:rsid w:val="0064250D"/>
    <w:rsid w:val="00642FBA"/>
    <w:rsid w:val="00643027"/>
    <w:rsid w:val="00643151"/>
    <w:rsid w:val="0064320B"/>
    <w:rsid w:val="0064327B"/>
    <w:rsid w:val="006432C6"/>
    <w:rsid w:val="0064379B"/>
    <w:rsid w:val="00643E88"/>
    <w:rsid w:val="00645255"/>
    <w:rsid w:val="00645529"/>
    <w:rsid w:val="00645C5A"/>
    <w:rsid w:val="00645D06"/>
    <w:rsid w:val="00645DAD"/>
    <w:rsid w:val="00645F73"/>
    <w:rsid w:val="00646F3A"/>
    <w:rsid w:val="00647932"/>
    <w:rsid w:val="00647987"/>
    <w:rsid w:val="006479AC"/>
    <w:rsid w:val="006505EF"/>
    <w:rsid w:val="0065083F"/>
    <w:rsid w:val="00650D5A"/>
    <w:rsid w:val="00651C11"/>
    <w:rsid w:val="00652546"/>
    <w:rsid w:val="00653223"/>
    <w:rsid w:val="006535EB"/>
    <w:rsid w:val="00653D18"/>
    <w:rsid w:val="00655320"/>
    <w:rsid w:val="006556D2"/>
    <w:rsid w:val="006573DD"/>
    <w:rsid w:val="00657EC8"/>
    <w:rsid w:val="00660AE5"/>
    <w:rsid w:val="00661308"/>
    <w:rsid w:val="00661D88"/>
    <w:rsid w:val="00661DB4"/>
    <w:rsid w:val="00662A7E"/>
    <w:rsid w:val="00663016"/>
    <w:rsid w:val="00663179"/>
    <w:rsid w:val="00664FE2"/>
    <w:rsid w:val="006650C4"/>
    <w:rsid w:val="0066517D"/>
    <w:rsid w:val="006657F4"/>
    <w:rsid w:val="006671A3"/>
    <w:rsid w:val="00667587"/>
    <w:rsid w:val="00667638"/>
    <w:rsid w:val="00667E93"/>
    <w:rsid w:val="006705B6"/>
    <w:rsid w:val="00670B4C"/>
    <w:rsid w:val="00670D8F"/>
    <w:rsid w:val="00670E77"/>
    <w:rsid w:val="00671036"/>
    <w:rsid w:val="00671111"/>
    <w:rsid w:val="00671535"/>
    <w:rsid w:val="006717EB"/>
    <w:rsid w:val="00671B64"/>
    <w:rsid w:val="0067384A"/>
    <w:rsid w:val="00673F82"/>
    <w:rsid w:val="00674605"/>
    <w:rsid w:val="006748B8"/>
    <w:rsid w:val="006750B5"/>
    <w:rsid w:val="00675226"/>
    <w:rsid w:val="0067609D"/>
    <w:rsid w:val="00676834"/>
    <w:rsid w:val="006772E7"/>
    <w:rsid w:val="00680C46"/>
    <w:rsid w:val="00680CEE"/>
    <w:rsid w:val="00680DB8"/>
    <w:rsid w:val="006816C9"/>
    <w:rsid w:val="00681DBA"/>
    <w:rsid w:val="00681EC6"/>
    <w:rsid w:val="00681F90"/>
    <w:rsid w:val="00682F8B"/>
    <w:rsid w:val="00682FE8"/>
    <w:rsid w:val="00684D06"/>
    <w:rsid w:val="0068535B"/>
    <w:rsid w:val="00685EB3"/>
    <w:rsid w:val="00686BC4"/>
    <w:rsid w:val="006870A2"/>
    <w:rsid w:val="0068736E"/>
    <w:rsid w:val="00687F50"/>
    <w:rsid w:val="00690924"/>
    <w:rsid w:val="006915F5"/>
    <w:rsid w:val="00691713"/>
    <w:rsid w:val="0069178B"/>
    <w:rsid w:val="00691D9F"/>
    <w:rsid w:val="0069290A"/>
    <w:rsid w:val="00692B6B"/>
    <w:rsid w:val="0069341D"/>
    <w:rsid w:val="006939B5"/>
    <w:rsid w:val="00695600"/>
    <w:rsid w:val="00695BE1"/>
    <w:rsid w:val="00696153"/>
    <w:rsid w:val="0069644B"/>
    <w:rsid w:val="006967A3"/>
    <w:rsid w:val="006967E6"/>
    <w:rsid w:val="00696969"/>
    <w:rsid w:val="00697032"/>
    <w:rsid w:val="0069752E"/>
    <w:rsid w:val="006975AC"/>
    <w:rsid w:val="0069769A"/>
    <w:rsid w:val="00697C78"/>
    <w:rsid w:val="006A01C0"/>
    <w:rsid w:val="006A1130"/>
    <w:rsid w:val="006A1441"/>
    <w:rsid w:val="006A15FB"/>
    <w:rsid w:val="006A1900"/>
    <w:rsid w:val="006A1A8E"/>
    <w:rsid w:val="006A1B64"/>
    <w:rsid w:val="006A1B67"/>
    <w:rsid w:val="006A263D"/>
    <w:rsid w:val="006A2B78"/>
    <w:rsid w:val="006A2DE5"/>
    <w:rsid w:val="006A314A"/>
    <w:rsid w:val="006A34C4"/>
    <w:rsid w:val="006A3635"/>
    <w:rsid w:val="006A49E0"/>
    <w:rsid w:val="006A4BF7"/>
    <w:rsid w:val="006A512F"/>
    <w:rsid w:val="006A6319"/>
    <w:rsid w:val="006A6948"/>
    <w:rsid w:val="006A72BF"/>
    <w:rsid w:val="006A734C"/>
    <w:rsid w:val="006A7B87"/>
    <w:rsid w:val="006A7EC5"/>
    <w:rsid w:val="006B00E8"/>
    <w:rsid w:val="006B0257"/>
    <w:rsid w:val="006B0333"/>
    <w:rsid w:val="006B044D"/>
    <w:rsid w:val="006B1337"/>
    <w:rsid w:val="006B175E"/>
    <w:rsid w:val="006B1E80"/>
    <w:rsid w:val="006B25AF"/>
    <w:rsid w:val="006B2774"/>
    <w:rsid w:val="006B2A4A"/>
    <w:rsid w:val="006B314B"/>
    <w:rsid w:val="006B332A"/>
    <w:rsid w:val="006B33BD"/>
    <w:rsid w:val="006B376A"/>
    <w:rsid w:val="006B395E"/>
    <w:rsid w:val="006B3FD8"/>
    <w:rsid w:val="006B42F8"/>
    <w:rsid w:val="006B48AD"/>
    <w:rsid w:val="006B54AC"/>
    <w:rsid w:val="006B5B4F"/>
    <w:rsid w:val="006B5C60"/>
    <w:rsid w:val="006B5CE7"/>
    <w:rsid w:val="006B6101"/>
    <w:rsid w:val="006B78E4"/>
    <w:rsid w:val="006C0457"/>
    <w:rsid w:val="006C0660"/>
    <w:rsid w:val="006C14C7"/>
    <w:rsid w:val="006C1769"/>
    <w:rsid w:val="006C237C"/>
    <w:rsid w:val="006C3358"/>
    <w:rsid w:val="006C3F75"/>
    <w:rsid w:val="006C5615"/>
    <w:rsid w:val="006C662A"/>
    <w:rsid w:val="006C70B3"/>
    <w:rsid w:val="006C759D"/>
    <w:rsid w:val="006C77E6"/>
    <w:rsid w:val="006C7A35"/>
    <w:rsid w:val="006C7E0F"/>
    <w:rsid w:val="006D0613"/>
    <w:rsid w:val="006D170E"/>
    <w:rsid w:val="006D1916"/>
    <w:rsid w:val="006D1D17"/>
    <w:rsid w:val="006D21FC"/>
    <w:rsid w:val="006D238B"/>
    <w:rsid w:val="006D2B27"/>
    <w:rsid w:val="006D352F"/>
    <w:rsid w:val="006D41AB"/>
    <w:rsid w:val="006D443F"/>
    <w:rsid w:val="006D4545"/>
    <w:rsid w:val="006D4721"/>
    <w:rsid w:val="006D4857"/>
    <w:rsid w:val="006D498B"/>
    <w:rsid w:val="006D5F34"/>
    <w:rsid w:val="006D60F5"/>
    <w:rsid w:val="006D6155"/>
    <w:rsid w:val="006D630C"/>
    <w:rsid w:val="006D66F7"/>
    <w:rsid w:val="006D6A7E"/>
    <w:rsid w:val="006D7033"/>
    <w:rsid w:val="006D71E6"/>
    <w:rsid w:val="006D73F2"/>
    <w:rsid w:val="006D74AF"/>
    <w:rsid w:val="006D7BF6"/>
    <w:rsid w:val="006E06AF"/>
    <w:rsid w:val="006E0F00"/>
    <w:rsid w:val="006E1668"/>
    <w:rsid w:val="006E1782"/>
    <w:rsid w:val="006E1B90"/>
    <w:rsid w:val="006E237A"/>
    <w:rsid w:val="006E2876"/>
    <w:rsid w:val="006E3287"/>
    <w:rsid w:val="006E362F"/>
    <w:rsid w:val="006E3645"/>
    <w:rsid w:val="006E370E"/>
    <w:rsid w:val="006E38F0"/>
    <w:rsid w:val="006E39EA"/>
    <w:rsid w:val="006E3C6A"/>
    <w:rsid w:val="006E437C"/>
    <w:rsid w:val="006E457C"/>
    <w:rsid w:val="006E4932"/>
    <w:rsid w:val="006E4EBE"/>
    <w:rsid w:val="006E5128"/>
    <w:rsid w:val="006E55CD"/>
    <w:rsid w:val="006E5A9E"/>
    <w:rsid w:val="006E5E35"/>
    <w:rsid w:val="006E618C"/>
    <w:rsid w:val="006E7050"/>
    <w:rsid w:val="006E7401"/>
    <w:rsid w:val="006E741C"/>
    <w:rsid w:val="006E7792"/>
    <w:rsid w:val="006E7A48"/>
    <w:rsid w:val="006E7F9A"/>
    <w:rsid w:val="006F0958"/>
    <w:rsid w:val="006F0B1B"/>
    <w:rsid w:val="006F11EB"/>
    <w:rsid w:val="006F146C"/>
    <w:rsid w:val="006F1789"/>
    <w:rsid w:val="006F2A8A"/>
    <w:rsid w:val="006F2BBE"/>
    <w:rsid w:val="006F359A"/>
    <w:rsid w:val="006F392B"/>
    <w:rsid w:val="006F4139"/>
    <w:rsid w:val="006F48A6"/>
    <w:rsid w:val="006F4B6F"/>
    <w:rsid w:val="006F6DF7"/>
    <w:rsid w:val="006F701A"/>
    <w:rsid w:val="006F74F8"/>
    <w:rsid w:val="007006B5"/>
    <w:rsid w:val="0070089E"/>
    <w:rsid w:val="007008A5"/>
    <w:rsid w:val="00701360"/>
    <w:rsid w:val="00701412"/>
    <w:rsid w:val="00701997"/>
    <w:rsid w:val="00701C5F"/>
    <w:rsid w:val="007025AD"/>
    <w:rsid w:val="007031B8"/>
    <w:rsid w:val="00703B80"/>
    <w:rsid w:val="00704EB7"/>
    <w:rsid w:val="00705764"/>
    <w:rsid w:val="00705C48"/>
    <w:rsid w:val="00705C4F"/>
    <w:rsid w:val="00706A7B"/>
    <w:rsid w:val="00706C5D"/>
    <w:rsid w:val="00707535"/>
    <w:rsid w:val="00710466"/>
    <w:rsid w:val="00711355"/>
    <w:rsid w:val="007118E6"/>
    <w:rsid w:val="00711BBA"/>
    <w:rsid w:val="0071206D"/>
    <w:rsid w:val="0071246D"/>
    <w:rsid w:val="0071253C"/>
    <w:rsid w:val="00713281"/>
    <w:rsid w:val="00714A35"/>
    <w:rsid w:val="00715487"/>
    <w:rsid w:val="00715682"/>
    <w:rsid w:val="00715EA7"/>
    <w:rsid w:val="00716027"/>
    <w:rsid w:val="0071653F"/>
    <w:rsid w:val="00716F20"/>
    <w:rsid w:val="007179B4"/>
    <w:rsid w:val="00720231"/>
    <w:rsid w:val="00720337"/>
    <w:rsid w:val="007225C9"/>
    <w:rsid w:val="0072262E"/>
    <w:rsid w:val="00722FD8"/>
    <w:rsid w:val="00723A69"/>
    <w:rsid w:val="00723C32"/>
    <w:rsid w:val="00723FFF"/>
    <w:rsid w:val="007244C2"/>
    <w:rsid w:val="00724E06"/>
    <w:rsid w:val="007252F1"/>
    <w:rsid w:val="007256E5"/>
    <w:rsid w:val="00725BB7"/>
    <w:rsid w:val="00725D3B"/>
    <w:rsid w:val="007263E7"/>
    <w:rsid w:val="007275B7"/>
    <w:rsid w:val="00727EAB"/>
    <w:rsid w:val="007302E0"/>
    <w:rsid w:val="00730A44"/>
    <w:rsid w:val="00730C82"/>
    <w:rsid w:val="00731441"/>
    <w:rsid w:val="0073168E"/>
    <w:rsid w:val="007316C9"/>
    <w:rsid w:val="00731E67"/>
    <w:rsid w:val="00731E80"/>
    <w:rsid w:val="00733748"/>
    <w:rsid w:val="00733D9B"/>
    <w:rsid w:val="00734535"/>
    <w:rsid w:val="00734AB4"/>
    <w:rsid w:val="00734CE0"/>
    <w:rsid w:val="00735524"/>
    <w:rsid w:val="00735C77"/>
    <w:rsid w:val="00735CD7"/>
    <w:rsid w:val="00736555"/>
    <w:rsid w:val="00736CEA"/>
    <w:rsid w:val="007404A0"/>
    <w:rsid w:val="00740E7D"/>
    <w:rsid w:val="0074147D"/>
    <w:rsid w:val="0074161B"/>
    <w:rsid w:val="00742363"/>
    <w:rsid w:val="00743CC8"/>
    <w:rsid w:val="00744C74"/>
    <w:rsid w:val="0074678A"/>
    <w:rsid w:val="007470EE"/>
    <w:rsid w:val="0075056E"/>
    <w:rsid w:val="00750691"/>
    <w:rsid w:val="0075110B"/>
    <w:rsid w:val="007521E6"/>
    <w:rsid w:val="00752BD7"/>
    <w:rsid w:val="007534D4"/>
    <w:rsid w:val="00754034"/>
    <w:rsid w:val="007547FA"/>
    <w:rsid w:val="00754A1F"/>
    <w:rsid w:val="00754BF1"/>
    <w:rsid w:val="00755A30"/>
    <w:rsid w:val="00755A41"/>
    <w:rsid w:val="00755B16"/>
    <w:rsid w:val="00755E1C"/>
    <w:rsid w:val="00756556"/>
    <w:rsid w:val="007568CF"/>
    <w:rsid w:val="0076132B"/>
    <w:rsid w:val="00761FEF"/>
    <w:rsid w:val="007623AE"/>
    <w:rsid w:val="00762434"/>
    <w:rsid w:val="00762CFB"/>
    <w:rsid w:val="00762EAE"/>
    <w:rsid w:val="007652BA"/>
    <w:rsid w:val="00766378"/>
    <w:rsid w:val="007663CA"/>
    <w:rsid w:val="007671BA"/>
    <w:rsid w:val="0076741A"/>
    <w:rsid w:val="00767794"/>
    <w:rsid w:val="00767E18"/>
    <w:rsid w:val="00770055"/>
    <w:rsid w:val="007708E5"/>
    <w:rsid w:val="00770A08"/>
    <w:rsid w:val="00770B19"/>
    <w:rsid w:val="00772306"/>
    <w:rsid w:val="00772549"/>
    <w:rsid w:val="00772753"/>
    <w:rsid w:val="00772A7D"/>
    <w:rsid w:val="00773F4C"/>
    <w:rsid w:val="00774E36"/>
    <w:rsid w:val="00774FA0"/>
    <w:rsid w:val="007757C0"/>
    <w:rsid w:val="00775ED2"/>
    <w:rsid w:val="00776620"/>
    <w:rsid w:val="0077693A"/>
    <w:rsid w:val="00776CFB"/>
    <w:rsid w:val="00777A71"/>
    <w:rsid w:val="00777B6D"/>
    <w:rsid w:val="00780285"/>
    <w:rsid w:val="00780FDA"/>
    <w:rsid w:val="007811F1"/>
    <w:rsid w:val="007815BD"/>
    <w:rsid w:val="00781A4A"/>
    <w:rsid w:val="00781B05"/>
    <w:rsid w:val="00782516"/>
    <w:rsid w:val="007826C5"/>
    <w:rsid w:val="007831AD"/>
    <w:rsid w:val="00783710"/>
    <w:rsid w:val="007839D2"/>
    <w:rsid w:val="007845D2"/>
    <w:rsid w:val="00784855"/>
    <w:rsid w:val="00784CB1"/>
    <w:rsid w:val="00784F39"/>
    <w:rsid w:val="0078545C"/>
    <w:rsid w:val="00785A59"/>
    <w:rsid w:val="00786D61"/>
    <w:rsid w:val="00786DD2"/>
    <w:rsid w:val="007871C5"/>
    <w:rsid w:val="007906C4"/>
    <w:rsid w:val="007915D0"/>
    <w:rsid w:val="007915F5"/>
    <w:rsid w:val="00791691"/>
    <w:rsid w:val="00791A1F"/>
    <w:rsid w:val="0079285B"/>
    <w:rsid w:val="007928BF"/>
    <w:rsid w:val="00792BEB"/>
    <w:rsid w:val="0079378F"/>
    <w:rsid w:val="007940EA"/>
    <w:rsid w:val="00794465"/>
    <w:rsid w:val="00794654"/>
    <w:rsid w:val="0079510F"/>
    <w:rsid w:val="00795428"/>
    <w:rsid w:val="0079567E"/>
    <w:rsid w:val="00795DB0"/>
    <w:rsid w:val="00796208"/>
    <w:rsid w:val="007966EF"/>
    <w:rsid w:val="007967E8"/>
    <w:rsid w:val="00796F39"/>
    <w:rsid w:val="00797030"/>
    <w:rsid w:val="0079740F"/>
    <w:rsid w:val="0079743D"/>
    <w:rsid w:val="00797A14"/>
    <w:rsid w:val="007A001F"/>
    <w:rsid w:val="007A019F"/>
    <w:rsid w:val="007A024D"/>
    <w:rsid w:val="007A03BC"/>
    <w:rsid w:val="007A076E"/>
    <w:rsid w:val="007A0AA5"/>
    <w:rsid w:val="007A0B65"/>
    <w:rsid w:val="007A1266"/>
    <w:rsid w:val="007A1295"/>
    <w:rsid w:val="007A1CA3"/>
    <w:rsid w:val="007A292C"/>
    <w:rsid w:val="007A300C"/>
    <w:rsid w:val="007A367C"/>
    <w:rsid w:val="007A3CA2"/>
    <w:rsid w:val="007A4647"/>
    <w:rsid w:val="007A539B"/>
    <w:rsid w:val="007A5852"/>
    <w:rsid w:val="007A610B"/>
    <w:rsid w:val="007A63F2"/>
    <w:rsid w:val="007A6704"/>
    <w:rsid w:val="007A67A4"/>
    <w:rsid w:val="007A7413"/>
    <w:rsid w:val="007A7E8B"/>
    <w:rsid w:val="007B0F49"/>
    <w:rsid w:val="007B31AD"/>
    <w:rsid w:val="007B4FE2"/>
    <w:rsid w:val="007B5778"/>
    <w:rsid w:val="007B6861"/>
    <w:rsid w:val="007B68DE"/>
    <w:rsid w:val="007B6DF6"/>
    <w:rsid w:val="007B7405"/>
    <w:rsid w:val="007B7E0A"/>
    <w:rsid w:val="007C1514"/>
    <w:rsid w:val="007C15E8"/>
    <w:rsid w:val="007C16EA"/>
    <w:rsid w:val="007C1857"/>
    <w:rsid w:val="007C2843"/>
    <w:rsid w:val="007C2BDE"/>
    <w:rsid w:val="007C380B"/>
    <w:rsid w:val="007C4038"/>
    <w:rsid w:val="007C44E2"/>
    <w:rsid w:val="007C4924"/>
    <w:rsid w:val="007C4DF2"/>
    <w:rsid w:val="007C50D1"/>
    <w:rsid w:val="007C514F"/>
    <w:rsid w:val="007C5833"/>
    <w:rsid w:val="007C5E3E"/>
    <w:rsid w:val="007C6005"/>
    <w:rsid w:val="007C611C"/>
    <w:rsid w:val="007C6BA6"/>
    <w:rsid w:val="007C6D9B"/>
    <w:rsid w:val="007D02A3"/>
    <w:rsid w:val="007D0F95"/>
    <w:rsid w:val="007D2195"/>
    <w:rsid w:val="007D262F"/>
    <w:rsid w:val="007D3300"/>
    <w:rsid w:val="007D3880"/>
    <w:rsid w:val="007D3AD7"/>
    <w:rsid w:val="007D4313"/>
    <w:rsid w:val="007D506E"/>
    <w:rsid w:val="007D5859"/>
    <w:rsid w:val="007D6406"/>
    <w:rsid w:val="007D6E3C"/>
    <w:rsid w:val="007D70CE"/>
    <w:rsid w:val="007D7AC9"/>
    <w:rsid w:val="007D7ECB"/>
    <w:rsid w:val="007E00C9"/>
    <w:rsid w:val="007E0CA4"/>
    <w:rsid w:val="007E0F2B"/>
    <w:rsid w:val="007E1463"/>
    <w:rsid w:val="007E1D46"/>
    <w:rsid w:val="007E23D8"/>
    <w:rsid w:val="007E25A1"/>
    <w:rsid w:val="007E2BAA"/>
    <w:rsid w:val="007E31B7"/>
    <w:rsid w:val="007E31DC"/>
    <w:rsid w:val="007E34EF"/>
    <w:rsid w:val="007E3D5C"/>
    <w:rsid w:val="007E43F9"/>
    <w:rsid w:val="007E47EF"/>
    <w:rsid w:val="007E4B73"/>
    <w:rsid w:val="007E4BD2"/>
    <w:rsid w:val="007E4F9F"/>
    <w:rsid w:val="007E52EF"/>
    <w:rsid w:val="007E5441"/>
    <w:rsid w:val="007E6326"/>
    <w:rsid w:val="007E6EDD"/>
    <w:rsid w:val="007E7145"/>
    <w:rsid w:val="007E73A4"/>
    <w:rsid w:val="007F071B"/>
    <w:rsid w:val="007F1320"/>
    <w:rsid w:val="007F1983"/>
    <w:rsid w:val="007F1DA5"/>
    <w:rsid w:val="007F2198"/>
    <w:rsid w:val="007F2BA2"/>
    <w:rsid w:val="007F2EF1"/>
    <w:rsid w:val="007F3060"/>
    <w:rsid w:val="007F31B0"/>
    <w:rsid w:val="007F362F"/>
    <w:rsid w:val="007F3916"/>
    <w:rsid w:val="007F3C14"/>
    <w:rsid w:val="007F4B20"/>
    <w:rsid w:val="007F4C65"/>
    <w:rsid w:val="007F4C8E"/>
    <w:rsid w:val="007F4CCF"/>
    <w:rsid w:val="007F4FB6"/>
    <w:rsid w:val="007F5E92"/>
    <w:rsid w:val="007F7B29"/>
    <w:rsid w:val="00801179"/>
    <w:rsid w:val="00802479"/>
    <w:rsid w:val="00802E29"/>
    <w:rsid w:val="00803592"/>
    <w:rsid w:val="008044C0"/>
    <w:rsid w:val="0080489B"/>
    <w:rsid w:val="00804C7F"/>
    <w:rsid w:val="00804DA5"/>
    <w:rsid w:val="0080531A"/>
    <w:rsid w:val="00805372"/>
    <w:rsid w:val="008054C8"/>
    <w:rsid w:val="00805895"/>
    <w:rsid w:val="00805B7B"/>
    <w:rsid w:val="00805E3B"/>
    <w:rsid w:val="00806E6D"/>
    <w:rsid w:val="0080787D"/>
    <w:rsid w:val="00807FE0"/>
    <w:rsid w:val="008100C6"/>
    <w:rsid w:val="00810562"/>
    <w:rsid w:val="00811747"/>
    <w:rsid w:val="0081293E"/>
    <w:rsid w:val="00812F11"/>
    <w:rsid w:val="00812F2E"/>
    <w:rsid w:val="00812FAB"/>
    <w:rsid w:val="008132B7"/>
    <w:rsid w:val="00813F38"/>
    <w:rsid w:val="00814E4A"/>
    <w:rsid w:val="00814FFB"/>
    <w:rsid w:val="008151D8"/>
    <w:rsid w:val="00815286"/>
    <w:rsid w:val="00815365"/>
    <w:rsid w:val="0081587E"/>
    <w:rsid w:val="0081629F"/>
    <w:rsid w:val="008166A1"/>
    <w:rsid w:val="00816A52"/>
    <w:rsid w:val="00816CBE"/>
    <w:rsid w:val="008174E2"/>
    <w:rsid w:val="00820568"/>
    <w:rsid w:val="00820632"/>
    <w:rsid w:val="00820E18"/>
    <w:rsid w:val="00821067"/>
    <w:rsid w:val="0082224E"/>
    <w:rsid w:val="00822275"/>
    <w:rsid w:val="008231D8"/>
    <w:rsid w:val="008237AD"/>
    <w:rsid w:val="00823985"/>
    <w:rsid w:val="00823DAE"/>
    <w:rsid w:val="008240C9"/>
    <w:rsid w:val="00824110"/>
    <w:rsid w:val="008245B8"/>
    <w:rsid w:val="00824CA5"/>
    <w:rsid w:val="00825345"/>
    <w:rsid w:val="008253BF"/>
    <w:rsid w:val="00825868"/>
    <w:rsid w:val="00825A26"/>
    <w:rsid w:val="00825A5C"/>
    <w:rsid w:val="00826496"/>
    <w:rsid w:val="008267A6"/>
    <w:rsid w:val="0082720C"/>
    <w:rsid w:val="00830207"/>
    <w:rsid w:val="00830C5C"/>
    <w:rsid w:val="00830DAE"/>
    <w:rsid w:val="00831A80"/>
    <w:rsid w:val="008326FD"/>
    <w:rsid w:val="008328CC"/>
    <w:rsid w:val="00832AD7"/>
    <w:rsid w:val="00832C1F"/>
    <w:rsid w:val="00832D76"/>
    <w:rsid w:val="008330D7"/>
    <w:rsid w:val="0083313B"/>
    <w:rsid w:val="008332C8"/>
    <w:rsid w:val="008336CA"/>
    <w:rsid w:val="00833743"/>
    <w:rsid w:val="00833769"/>
    <w:rsid w:val="00833D53"/>
    <w:rsid w:val="008340A4"/>
    <w:rsid w:val="00834352"/>
    <w:rsid w:val="00834647"/>
    <w:rsid w:val="00834D96"/>
    <w:rsid w:val="00834D98"/>
    <w:rsid w:val="00835B66"/>
    <w:rsid w:val="00835FAB"/>
    <w:rsid w:val="00836799"/>
    <w:rsid w:val="00836C08"/>
    <w:rsid w:val="00837028"/>
    <w:rsid w:val="00837131"/>
    <w:rsid w:val="00837181"/>
    <w:rsid w:val="00837CCA"/>
    <w:rsid w:val="00837FA7"/>
    <w:rsid w:val="0084036C"/>
    <w:rsid w:val="008409A3"/>
    <w:rsid w:val="00840DFF"/>
    <w:rsid w:val="0084226D"/>
    <w:rsid w:val="00842A3A"/>
    <w:rsid w:val="00843577"/>
    <w:rsid w:val="008436A3"/>
    <w:rsid w:val="00843FFE"/>
    <w:rsid w:val="00844343"/>
    <w:rsid w:val="00844ADB"/>
    <w:rsid w:val="00844B04"/>
    <w:rsid w:val="00844C53"/>
    <w:rsid w:val="00844E2C"/>
    <w:rsid w:val="008456A0"/>
    <w:rsid w:val="00845936"/>
    <w:rsid w:val="00845F57"/>
    <w:rsid w:val="008461D8"/>
    <w:rsid w:val="00847153"/>
    <w:rsid w:val="00847E9E"/>
    <w:rsid w:val="00850738"/>
    <w:rsid w:val="00850958"/>
    <w:rsid w:val="00850B70"/>
    <w:rsid w:val="00851859"/>
    <w:rsid w:val="0085194A"/>
    <w:rsid w:val="00851BDA"/>
    <w:rsid w:val="00851EC4"/>
    <w:rsid w:val="00851F76"/>
    <w:rsid w:val="008521E0"/>
    <w:rsid w:val="008525B0"/>
    <w:rsid w:val="00852652"/>
    <w:rsid w:val="008550E5"/>
    <w:rsid w:val="00855960"/>
    <w:rsid w:val="008566CF"/>
    <w:rsid w:val="008567FD"/>
    <w:rsid w:val="008577A3"/>
    <w:rsid w:val="008577FE"/>
    <w:rsid w:val="00857978"/>
    <w:rsid w:val="0086176A"/>
    <w:rsid w:val="008623CA"/>
    <w:rsid w:val="008629CE"/>
    <w:rsid w:val="008634AF"/>
    <w:rsid w:val="0086373B"/>
    <w:rsid w:val="00863A78"/>
    <w:rsid w:val="00863E16"/>
    <w:rsid w:val="0086476D"/>
    <w:rsid w:val="00865495"/>
    <w:rsid w:val="00865650"/>
    <w:rsid w:val="0086596F"/>
    <w:rsid w:val="00866852"/>
    <w:rsid w:val="008669E9"/>
    <w:rsid w:val="00866BB7"/>
    <w:rsid w:val="00867969"/>
    <w:rsid w:val="0086799D"/>
    <w:rsid w:val="00867B0B"/>
    <w:rsid w:val="00867B52"/>
    <w:rsid w:val="00867CBC"/>
    <w:rsid w:val="0087061E"/>
    <w:rsid w:val="0087065C"/>
    <w:rsid w:val="00870B1F"/>
    <w:rsid w:val="00871429"/>
    <w:rsid w:val="00871ED5"/>
    <w:rsid w:val="00872053"/>
    <w:rsid w:val="00872E9B"/>
    <w:rsid w:val="008733FE"/>
    <w:rsid w:val="0087356B"/>
    <w:rsid w:val="008739AB"/>
    <w:rsid w:val="00873AD9"/>
    <w:rsid w:val="008740BC"/>
    <w:rsid w:val="00874A9C"/>
    <w:rsid w:val="0087578D"/>
    <w:rsid w:val="008757D8"/>
    <w:rsid w:val="008759BD"/>
    <w:rsid w:val="00876C30"/>
    <w:rsid w:val="00877017"/>
    <w:rsid w:val="00877154"/>
    <w:rsid w:val="008773C0"/>
    <w:rsid w:val="00877919"/>
    <w:rsid w:val="00877D58"/>
    <w:rsid w:val="00880364"/>
    <w:rsid w:val="00880646"/>
    <w:rsid w:val="0088239A"/>
    <w:rsid w:val="00882C01"/>
    <w:rsid w:val="00882ED3"/>
    <w:rsid w:val="00884DC9"/>
    <w:rsid w:val="0088573D"/>
    <w:rsid w:val="00886B4D"/>
    <w:rsid w:val="00886C4C"/>
    <w:rsid w:val="00886EEE"/>
    <w:rsid w:val="0088711C"/>
    <w:rsid w:val="00887850"/>
    <w:rsid w:val="00887E93"/>
    <w:rsid w:val="008909D8"/>
    <w:rsid w:val="00890A22"/>
    <w:rsid w:val="00890BE0"/>
    <w:rsid w:val="00891065"/>
    <w:rsid w:val="0089151C"/>
    <w:rsid w:val="00891522"/>
    <w:rsid w:val="008916AE"/>
    <w:rsid w:val="0089184E"/>
    <w:rsid w:val="00891E29"/>
    <w:rsid w:val="008926D8"/>
    <w:rsid w:val="00892BA8"/>
    <w:rsid w:val="00892ECF"/>
    <w:rsid w:val="00892F06"/>
    <w:rsid w:val="00894117"/>
    <w:rsid w:val="00894285"/>
    <w:rsid w:val="008947FB"/>
    <w:rsid w:val="00896136"/>
    <w:rsid w:val="00896654"/>
    <w:rsid w:val="008969B4"/>
    <w:rsid w:val="00896F2A"/>
    <w:rsid w:val="008A2874"/>
    <w:rsid w:val="008A2FB7"/>
    <w:rsid w:val="008A3AEA"/>
    <w:rsid w:val="008A40AE"/>
    <w:rsid w:val="008A4628"/>
    <w:rsid w:val="008A4AFA"/>
    <w:rsid w:val="008A4E19"/>
    <w:rsid w:val="008A5B0E"/>
    <w:rsid w:val="008A67C5"/>
    <w:rsid w:val="008A6A39"/>
    <w:rsid w:val="008A6E35"/>
    <w:rsid w:val="008A74C8"/>
    <w:rsid w:val="008A7E20"/>
    <w:rsid w:val="008B02C9"/>
    <w:rsid w:val="008B1FAF"/>
    <w:rsid w:val="008B1FCF"/>
    <w:rsid w:val="008B22E1"/>
    <w:rsid w:val="008B2315"/>
    <w:rsid w:val="008B254F"/>
    <w:rsid w:val="008B34F4"/>
    <w:rsid w:val="008B3C78"/>
    <w:rsid w:val="008B440D"/>
    <w:rsid w:val="008B4561"/>
    <w:rsid w:val="008B4AE9"/>
    <w:rsid w:val="008B6523"/>
    <w:rsid w:val="008B7286"/>
    <w:rsid w:val="008B7705"/>
    <w:rsid w:val="008B7928"/>
    <w:rsid w:val="008B7D50"/>
    <w:rsid w:val="008C02A1"/>
    <w:rsid w:val="008C1278"/>
    <w:rsid w:val="008C17B2"/>
    <w:rsid w:val="008C202C"/>
    <w:rsid w:val="008C2FE7"/>
    <w:rsid w:val="008C30AD"/>
    <w:rsid w:val="008C34D9"/>
    <w:rsid w:val="008C36E2"/>
    <w:rsid w:val="008C4095"/>
    <w:rsid w:val="008C42AC"/>
    <w:rsid w:val="008C438A"/>
    <w:rsid w:val="008C439A"/>
    <w:rsid w:val="008C463A"/>
    <w:rsid w:val="008C463F"/>
    <w:rsid w:val="008C4CAE"/>
    <w:rsid w:val="008C50F8"/>
    <w:rsid w:val="008C5612"/>
    <w:rsid w:val="008C5B00"/>
    <w:rsid w:val="008C5D8A"/>
    <w:rsid w:val="008C6CD8"/>
    <w:rsid w:val="008D068E"/>
    <w:rsid w:val="008D078F"/>
    <w:rsid w:val="008D0BE3"/>
    <w:rsid w:val="008D0F7A"/>
    <w:rsid w:val="008D0FE5"/>
    <w:rsid w:val="008D1911"/>
    <w:rsid w:val="008D240E"/>
    <w:rsid w:val="008D28A7"/>
    <w:rsid w:val="008D33BF"/>
    <w:rsid w:val="008D355E"/>
    <w:rsid w:val="008D3AC2"/>
    <w:rsid w:val="008D3C7E"/>
    <w:rsid w:val="008D3D4C"/>
    <w:rsid w:val="008D3DDF"/>
    <w:rsid w:val="008D4617"/>
    <w:rsid w:val="008D46EA"/>
    <w:rsid w:val="008D56CF"/>
    <w:rsid w:val="008D5DA0"/>
    <w:rsid w:val="008D5FF3"/>
    <w:rsid w:val="008D617F"/>
    <w:rsid w:val="008D63BE"/>
    <w:rsid w:val="008D6B36"/>
    <w:rsid w:val="008D6D7E"/>
    <w:rsid w:val="008D7802"/>
    <w:rsid w:val="008E0CFF"/>
    <w:rsid w:val="008E1878"/>
    <w:rsid w:val="008E1E49"/>
    <w:rsid w:val="008E2E0D"/>
    <w:rsid w:val="008E327F"/>
    <w:rsid w:val="008E382D"/>
    <w:rsid w:val="008E3930"/>
    <w:rsid w:val="008E3ED4"/>
    <w:rsid w:val="008E49F2"/>
    <w:rsid w:val="008E4AB3"/>
    <w:rsid w:val="008E4AE7"/>
    <w:rsid w:val="008E4B20"/>
    <w:rsid w:val="008E4DE7"/>
    <w:rsid w:val="008E531F"/>
    <w:rsid w:val="008E5730"/>
    <w:rsid w:val="008E5D6B"/>
    <w:rsid w:val="008E63CD"/>
    <w:rsid w:val="008E689B"/>
    <w:rsid w:val="008E6C55"/>
    <w:rsid w:val="008E6E7F"/>
    <w:rsid w:val="008E76F0"/>
    <w:rsid w:val="008F1313"/>
    <w:rsid w:val="008F1350"/>
    <w:rsid w:val="008F15FE"/>
    <w:rsid w:val="008F1A11"/>
    <w:rsid w:val="008F1B1E"/>
    <w:rsid w:val="008F1B89"/>
    <w:rsid w:val="008F1BC6"/>
    <w:rsid w:val="008F25D8"/>
    <w:rsid w:val="008F2728"/>
    <w:rsid w:val="008F2A94"/>
    <w:rsid w:val="008F2B97"/>
    <w:rsid w:val="008F2F5F"/>
    <w:rsid w:val="008F33BF"/>
    <w:rsid w:val="008F35B7"/>
    <w:rsid w:val="008F372D"/>
    <w:rsid w:val="008F4606"/>
    <w:rsid w:val="008F4831"/>
    <w:rsid w:val="008F4D00"/>
    <w:rsid w:val="008F4FC3"/>
    <w:rsid w:val="008F5187"/>
    <w:rsid w:val="008F533E"/>
    <w:rsid w:val="008F709C"/>
    <w:rsid w:val="008F7B0D"/>
    <w:rsid w:val="0090057A"/>
    <w:rsid w:val="0090126D"/>
    <w:rsid w:val="0090191A"/>
    <w:rsid w:val="00902338"/>
    <w:rsid w:val="0090312B"/>
    <w:rsid w:val="00904159"/>
    <w:rsid w:val="009047DA"/>
    <w:rsid w:val="00904961"/>
    <w:rsid w:val="00904A2C"/>
    <w:rsid w:val="00904E91"/>
    <w:rsid w:val="00905164"/>
    <w:rsid w:val="0090589A"/>
    <w:rsid w:val="00905DE0"/>
    <w:rsid w:val="0090620E"/>
    <w:rsid w:val="00906AC6"/>
    <w:rsid w:val="00906FD0"/>
    <w:rsid w:val="00907140"/>
    <w:rsid w:val="00907C02"/>
    <w:rsid w:val="00907D88"/>
    <w:rsid w:val="00907ECE"/>
    <w:rsid w:val="00907FC2"/>
    <w:rsid w:val="0091077A"/>
    <w:rsid w:val="00910894"/>
    <w:rsid w:val="00910A07"/>
    <w:rsid w:val="00910C69"/>
    <w:rsid w:val="00910EB6"/>
    <w:rsid w:val="009126A9"/>
    <w:rsid w:val="00913164"/>
    <w:rsid w:val="009131A8"/>
    <w:rsid w:val="0091391D"/>
    <w:rsid w:val="00914C35"/>
    <w:rsid w:val="00916414"/>
    <w:rsid w:val="0091736D"/>
    <w:rsid w:val="00920951"/>
    <w:rsid w:val="00920A12"/>
    <w:rsid w:val="00920B29"/>
    <w:rsid w:val="00921726"/>
    <w:rsid w:val="0092252F"/>
    <w:rsid w:val="00923E18"/>
    <w:rsid w:val="009248B7"/>
    <w:rsid w:val="00924AD8"/>
    <w:rsid w:val="00925AA6"/>
    <w:rsid w:val="00925C07"/>
    <w:rsid w:val="009260B4"/>
    <w:rsid w:val="00926EA9"/>
    <w:rsid w:val="00930092"/>
    <w:rsid w:val="00931001"/>
    <w:rsid w:val="0093115C"/>
    <w:rsid w:val="00931167"/>
    <w:rsid w:val="00931271"/>
    <w:rsid w:val="0093156A"/>
    <w:rsid w:val="00931863"/>
    <w:rsid w:val="0093215C"/>
    <w:rsid w:val="009322C0"/>
    <w:rsid w:val="00933524"/>
    <w:rsid w:val="00934575"/>
    <w:rsid w:val="00935C83"/>
    <w:rsid w:val="00935F97"/>
    <w:rsid w:val="009369CE"/>
    <w:rsid w:val="00936FCF"/>
    <w:rsid w:val="009373B9"/>
    <w:rsid w:val="00937587"/>
    <w:rsid w:val="0093782E"/>
    <w:rsid w:val="00937A7A"/>
    <w:rsid w:val="00937C90"/>
    <w:rsid w:val="00937D31"/>
    <w:rsid w:val="0094009C"/>
    <w:rsid w:val="00940439"/>
    <w:rsid w:val="0094148D"/>
    <w:rsid w:val="009416E6"/>
    <w:rsid w:val="00941704"/>
    <w:rsid w:val="00941A25"/>
    <w:rsid w:val="00942674"/>
    <w:rsid w:val="0094278D"/>
    <w:rsid w:val="00942CF1"/>
    <w:rsid w:val="0094304A"/>
    <w:rsid w:val="00943684"/>
    <w:rsid w:val="00943A46"/>
    <w:rsid w:val="009440EA"/>
    <w:rsid w:val="0094477C"/>
    <w:rsid w:val="00944CE6"/>
    <w:rsid w:val="00945114"/>
    <w:rsid w:val="00945154"/>
    <w:rsid w:val="009460A6"/>
    <w:rsid w:val="00946E59"/>
    <w:rsid w:val="00946EBF"/>
    <w:rsid w:val="00947CF2"/>
    <w:rsid w:val="00947E24"/>
    <w:rsid w:val="00950B38"/>
    <w:rsid w:val="00951022"/>
    <w:rsid w:val="0095113E"/>
    <w:rsid w:val="00951282"/>
    <w:rsid w:val="009517DD"/>
    <w:rsid w:val="00951ABB"/>
    <w:rsid w:val="0095305B"/>
    <w:rsid w:val="0095308A"/>
    <w:rsid w:val="009535FE"/>
    <w:rsid w:val="009536EB"/>
    <w:rsid w:val="00953F63"/>
    <w:rsid w:val="00953FA8"/>
    <w:rsid w:val="0095408E"/>
    <w:rsid w:val="00954134"/>
    <w:rsid w:val="00954587"/>
    <w:rsid w:val="00954699"/>
    <w:rsid w:val="0095508E"/>
    <w:rsid w:val="009553A6"/>
    <w:rsid w:val="00955AEE"/>
    <w:rsid w:val="00956470"/>
    <w:rsid w:val="0095693B"/>
    <w:rsid w:val="00956F14"/>
    <w:rsid w:val="00957003"/>
    <w:rsid w:val="0095714C"/>
    <w:rsid w:val="009571BA"/>
    <w:rsid w:val="00957897"/>
    <w:rsid w:val="009600DF"/>
    <w:rsid w:val="00960674"/>
    <w:rsid w:val="00960857"/>
    <w:rsid w:val="0096115D"/>
    <w:rsid w:val="00961BDB"/>
    <w:rsid w:val="009620FD"/>
    <w:rsid w:val="0096247A"/>
    <w:rsid w:val="009627ED"/>
    <w:rsid w:val="0096302F"/>
    <w:rsid w:val="009638A6"/>
    <w:rsid w:val="009638C3"/>
    <w:rsid w:val="00963A8A"/>
    <w:rsid w:val="00963AB0"/>
    <w:rsid w:val="0096500B"/>
    <w:rsid w:val="009658A7"/>
    <w:rsid w:val="00965F4B"/>
    <w:rsid w:val="00965F6F"/>
    <w:rsid w:val="00965FF9"/>
    <w:rsid w:val="00966420"/>
    <w:rsid w:val="0096646B"/>
    <w:rsid w:val="009665B6"/>
    <w:rsid w:val="00966EB5"/>
    <w:rsid w:val="00967C06"/>
    <w:rsid w:val="00970127"/>
    <w:rsid w:val="00970F8A"/>
    <w:rsid w:val="00971282"/>
    <w:rsid w:val="009715DC"/>
    <w:rsid w:val="00971A03"/>
    <w:rsid w:val="00971FB5"/>
    <w:rsid w:val="009728DA"/>
    <w:rsid w:val="00972D2A"/>
    <w:rsid w:val="00973427"/>
    <w:rsid w:val="009741B1"/>
    <w:rsid w:val="00974780"/>
    <w:rsid w:val="0097478E"/>
    <w:rsid w:val="00974AC0"/>
    <w:rsid w:val="00974FAF"/>
    <w:rsid w:val="0097503A"/>
    <w:rsid w:val="009750ED"/>
    <w:rsid w:val="00975618"/>
    <w:rsid w:val="00975BD4"/>
    <w:rsid w:val="00975C44"/>
    <w:rsid w:val="00975CC5"/>
    <w:rsid w:val="00976328"/>
    <w:rsid w:val="00976AFC"/>
    <w:rsid w:val="00976B4E"/>
    <w:rsid w:val="00976E72"/>
    <w:rsid w:val="00977297"/>
    <w:rsid w:val="009775D8"/>
    <w:rsid w:val="00977829"/>
    <w:rsid w:val="00977ACD"/>
    <w:rsid w:val="00977BF8"/>
    <w:rsid w:val="009804F8"/>
    <w:rsid w:val="0098165D"/>
    <w:rsid w:val="0098192A"/>
    <w:rsid w:val="00981D02"/>
    <w:rsid w:val="00981D76"/>
    <w:rsid w:val="009825FB"/>
    <w:rsid w:val="00982F98"/>
    <w:rsid w:val="00984458"/>
    <w:rsid w:val="0098488F"/>
    <w:rsid w:val="00985283"/>
    <w:rsid w:val="00985645"/>
    <w:rsid w:val="009856A2"/>
    <w:rsid w:val="00985AE1"/>
    <w:rsid w:val="00985EFD"/>
    <w:rsid w:val="00986200"/>
    <w:rsid w:val="00986B14"/>
    <w:rsid w:val="00986C8B"/>
    <w:rsid w:val="00987118"/>
    <w:rsid w:val="00987322"/>
    <w:rsid w:val="00987AB2"/>
    <w:rsid w:val="00987ACD"/>
    <w:rsid w:val="00987CFC"/>
    <w:rsid w:val="00987F2A"/>
    <w:rsid w:val="0099155A"/>
    <w:rsid w:val="00991648"/>
    <w:rsid w:val="0099191F"/>
    <w:rsid w:val="00991E89"/>
    <w:rsid w:val="009927C9"/>
    <w:rsid w:val="00992D2D"/>
    <w:rsid w:val="0099345A"/>
    <w:rsid w:val="00993468"/>
    <w:rsid w:val="0099353A"/>
    <w:rsid w:val="00993FFA"/>
    <w:rsid w:val="00994FFD"/>
    <w:rsid w:val="0099574C"/>
    <w:rsid w:val="009957F6"/>
    <w:rsid w:val="00995BCC"/>
    <w:rsid w:val="009962E8"/>
    <w:rsid w:val="00996789"/>
    <w:rsid w:val="00996DF7"/>
    <w:rsid w:val="00997284"/>
    <w:rsid w:val="009975EA"/>
    <w:rsid w:val="00997C2C"/>
    <w:rsid w:val="00997C72"/>
    <w:rsid w:val="009A0398"/>
    <w:rsid w:val="009A0620"/>
    <w:rsid w:val="009A0CAE"/>
    <w:rsid w:val="009A0F3B"/>
    <w:rsid w:val="009A1137"/>
    <w:rsid w:val="009A15A9"/>
    <w:rsid w:val="009A18CD"/>
    <w:rsid w:val="009A1C2B"/>
    <w:rsid w:val="009A2152"/>
    <w:rsid w:val="009A22EA"/>
    <w:rsid w:val="009A343C"/>
    <w:rsid w:val="009A3ECB"/>
    <w:rsid w:val="009A451F"/>
    <w:rsid w:val="009A4DC3"/>
    <w:rsid w:val="009A4FE1"/>
    <w:rsid w:val="009A69FD"/>
    <w:rsid w:val="009A6FA4"/>
    <w:rsid w:val="009A71B3"/>
    <w:rsid w:val="009A71E9"/>
    <w:rsid w:val="009A72C7"/>
    <w:rsid w:val="009A7653"/>
    <w:rsid w:val="009B0331"/>
    <w:rsid w:val="009B0506"/>
    <w:rsid w:val="009B0897"/>
    <w:rsid w:val="009B093F"/>
    <w:rsid w:val="009B0B00"/>
    <w:rsid w:val="009B13B3"/>
    <w:rsid w:val="009B1996"/>
    <w:rsid w:val="009B1B1A"/>
    <w:rsid w:val="009B1D7A"/>
    <w:rsid w:val="009B232B"/>
    <w:rsid w:val="009B3726"/>
    <w:rsid w:val="009B39E6"/>
    <w:rsid w:val="009B4F87"/>
    <w:rsid w:val="009B513E"/>
    <w:rsid w:val="009B5E64"/>
    <w:rsid w:val="009B64AF"/>
    <w:rsid w:val="009B6AFE"/>
    <w:rsid w:val="009B760C"/>
    <w:rsid w:val="009B7A31"/>
    <w:rsid w:val="009B7F10"/>
    <w:rsid w:val="009C0EE4"/>
    <w:rsid w:val="009C109F"/>
    <w:rsid w:val="009C2BBA"/>
    <w:rsid w:val="009C2F4D"/>
    <w:rsid w:val="009C3561"/>
    <w:rsid w:val="009C3F32"/>
    <w:rsid w:val="009C40E1"/>
    <w:rsid w:val="009C4F9B"/>
    <w:rsid w:val="009C58E1"/>
    <w:rsid w:val="009C6652"/>
    <w:rsid w:val="009C6C61"/>
    <w:rsid w:val="009C71B7"/>
    <w:rsid w:val="009C71E3"/>
    <w:rsid w:val="009C78E9"/>
    <w:rsid w:val="009C7E50"/>
    <w:rsid w:val="009C7FA0"/>
    <w:rsid w:val="009D07E4"/>
    <w:rsid w:val="009D0852"/>
    <w:rsid w:val="009D1369"/>
    <w:rsid w:val="009D1737"/>
    <w:rsid w:val="009D1A4C"/>
    <w:rsid w:val="009D1FBF"/>
    <w:rsid w:val="009D298E"/>
    <w:rsid w:val="009D2F08"/>
    <w:rsid w:val="009D3335"/>
    <w:rsid w:val="009D3B55"/>
    <w:rsid w:val="009D3EEF"/>
    <w:rsid w:val="009D4459"/>
    <w:rsid w:val="009D44B6"/>
    <w:rsid w:val="009D4A5A"/>
    <w:rsid w:val="009D4DA5"/>
    <w:rsid w:val="009D5810"/>
    <w:rsid w:val="009D5A4C"/>
    <w:rsid w:val="009D6E20"/>
    <w:rsid w:val="009D6FF7"/>
    <w:rsid w:val="009D79B2"/>
    <w:rsid w:val="009D7AA8"/>
    <w:rsid w:val="009D7D0B"/>
    <w:rsid w:val="009D7F58"/>
    <w:rsid w:val="009E0685"/>
    <w:rsid w:val="009E155B"/>
    <w:rsid w:val="009E283A"/>
    <w:rsid w:val="009E3000"/>
    <w:rsid w:val="009E35BE"/>
    <w:rsid w:val="009E3900"/>
    <w:rsid w:val="009E399C"/>
    <w:rsid w:val="009E416A"/>
    <w:rsid w:val="009E42A2"/>
    <w:rsid w:val="009E43C1"/>
    <w:rsid w:val="009E4853"/>
    <w:rsid w:val="009E4A37"/>
    <w:rsid w:val="009E548C"/>
    <w:rsid w:val="009E57B2"/>
    <w:rsid w:val="009E7488"/>
    <w:rsid w:val="009E7D2E"/>
    <w:rsid w:val="009E7E95"/>
    <w:rsid w:val="009F050F"/>
    <w:rsid w:val="009F0827"/>
    <w:rsid w:val="009F0DDC"/>
    <w:rsid w:val="009F116F"/>
    <w:rsid w:val="009F1492"/>
    <w:rsid w:val="009F1AEC"/>
    <w:rsid w:val="009F2107"/>
    <w:rsid w:val="009F210C"/>
    <w:rsid w:val="009F2929"/>
    <w:rsid w:val="009F29DE"/>
    <w:rsid w:val="009F2B0D"/>
    <w:rsid w:val="009F2B1B"/>
    <w:rsid w:val="009F2BE8"/>
    <w:rsid w:val="009F329E"/>
    <w:rsid w:val="009F3991"/>
    <w:rsid w:val="009F3FBB"/>
    <w:rsid w:val="009F4005"/>
    <w:rsid w:val="009F4379"/>
    <w:rsid w:val="009F4CF9"/>
    <w:rsid w:val="009F5070"/>
    <w:rsid w:val="009F5102"/>
    <w:rsid w:val="009F5151"/>
    <w:rsid w:val="009F53C5"/>
    <w:rsid w:val="009F55BC"/>
    <w:rsid w:val="009F5AB3"/>
    <w:rsid w:val="009F5DC9"/>
    <w:rsid w:val="009F5F9D"/>
    <w:rsid w:val="009F6156"/>
    <w:rsid w:val="009F6529"/>
    <w:rsid w:val="009F6C63"/>
    <w:rsid w:val="009F6CA4"/>
    <w:rsid w:val="009F7167"/>
    <w:rsid w:val="009F7631"/>
    <w:rsid w:val="009F7712"/>
    <w:rsid w:val="009F79EC"/>
    <w:rsid w:val="009F7ED3"/>
    <w:rsid w:val="00A00802"/>
    <w:rsid w:val="00A00E90"/>
    <w:rsid w:val="00A0230B"/>
    <w:rsid w:val="00A025C9"/>
    <w:rsid w:val="00A03095"/>
    <w:rsid w:val="00A032D4"/>
    <w:rsid w:val="00A03607"/>
    <w:rsid w:val="00A047FF"/>
    <w:rsid w:val="00A04FEF"/>
    <w:rsid w:val="00A0698A"/>
    <w:rsid w:val="00A07607"/>
    <w:rsid w:val="00A07A6A"/>
    <w:rsid w:val="00A1051B"/>
    <w:rsid w:val="00A122CD"/>
    <w:rsid w:val="00A1238F"/>
    <w:rsid w:val="00A12429"/>
    <w:rsid w:val="00A1245F"/>
    <w:rsid w:val="00A12585"/>
    <w:rsid w:val="00A129CB"/>
    <w:rsid w:val="00A12A32"/>
    <w:rsid w:val="00A12B27"/>
    <w:rsid w:val="00A12C50"/>
    <w:rsid w:val="00A135D3"/>
    <w:rsid w:val="00A13764"/>
    <w:rsid w:val="00A13861"/>
    <w:rsid w:val="00A13B7F"/>
    <w:rsid w:val="00A13BCC"/>
    <w:rsid w:val="00A13D22"/>
    <w:rsid w:val="00A13F05"/>
    <w:rsid w:val="00A14248"/>
    <w:rsid w:val="00A1479B"/>
    <w:rsid w:val="00A14947"/>
    <w:rsid w:val="00A14BA3"/>
    <w:rsid w:val="00A14FEB"/>
    <w:rsid w:val="00A15691"/>
    <w:rsid w:val="00A16341"/>
    <w:rsid w:val="00A174AA"/>
    <w:rsid w:val="00A17D7E"/>
    <w:rsid w:val="00A20181"/>
    <w:rsid w:val="00A203C9"/>
    <w:rsid w:val="00A20A1E"/>
    <w:rsid w:val="00A21B8F"/>
    <w:rsid w:val="00A22997"/>
    <w:rsid w:val="00A22D8E"/>
    <w:rsid w:val="00A239F3"/>
    <w:rsid w:val="00A23DC5"/>
    <w:rsid w:val="00A23F74"/>
    <w:rsid w:val="00A24432"/>
    <w:rsid w:val="00A24547"/>
    <w:rsid w:val="00A24F4E"/>
    <w:rsid w:val="00A24F79"/>
    <w:rsid w:val="00A25C27"/>
    <w:rsid w:val="00A263F8"/>
    <w:rsid w:val="00A26516"/>
    <w:rsid w:val="00A26591"/>
    <w:rsid w:val="00A306C2"/>
    <w:rsid w:val="00A30850"/>
    <w:rsid w:val="00A30853"/>
    <w:rsid w:val="00A324A7"/>
    <w:rsid w:val="00A32532"/>
    <w:rsid w:val="00A32CB4"/>
    <w:rsid w:val="00A32FA8"/>
    <w:rsid w:val="00A33943"/>
    <w:rsid w:val="00A33F1D"/>
    <w:rsid w:val="00A34028"/>
    <w:rsid w:val="00A34B02"/>
    <w:rsid w:val="00A34EE2"/>
    <w:rsid w:val="00A35568"/>
    <w:rsid w:val="00A35B96"/>
    <w:rsid w:val="00A36620"/>
    <w:rsid w:val="00A37056"/>
    <w:rsid w:val="00A376A6"/>
    <w:rsid w:val="00A37ACF"/>
    <w:rsid w:val="00A40070"/>
    <w:rsid w:val="00A40ECE"/>
    <w:rsid w:val="00A42808"/>
    <w:rsid w:val="00A43262"/>
    <w:rsid w:val="00A4358F"/>
    <w:rsid w:val="00A437D2"/>
    <w:rsid w:val="00A43A7E"/>
    <w:rsid w:val="00A44396"/>
    <w:rsid w:val="00A4498A"/>
    <w:rsid w:val="00A455E7"/>
    <w:rsid w:val="00A45F34"/>
    <w:rsid w:val="00A469AA"/>
    <w:rsid w:val="00A46F67"/>
    <w:rsid w:val="00A477E8"/>
    <w:rsid w:val="00A47A82"/>
    <w:rsid w:val="00A47FF6"/>
    <w:rsid w:val="00A50079"/>
    <w:rsid w:val="00A5012D"/>
    <w:rsid w:val="00A51E6D"/>
    <w:rsid w:val="00A527BB"/>
    <w:rsid w:val="00A53806"/>
    <w:rsid w:val="00A539DE"/>
    <w:rsid w:val="00A54AA1"/>
    <w:rsid w:val="00A55100"/>
    <w:rsid w:val="00A55752"/>
    <w:rsid w:val="00A5590A"/>
    <w:rsid w:val="00A5682F"/>
    <w:rsid w:val="00A568FF"/>
    <w:rsid w:val="00A56FE5"/>
    <w:rsid w:val="00A57266"/>
    <w:rsid w:val="00A57983"/>
    <w:rsid w:val="00A57A16"/>
    <w:rsid w:val="00A602E2"/>
    <w:rsid w:val="00A60D5C"/>
    <w:rsid w:val="00A60F75"/>
    <w:rsid w:val="00A61496"/>
    <w:rsid w:val="00A61833"/>
    <w:rsid w:val="00A61CDD"/>
    <w:rsid w:val="00A624C6"/>
    <w:rsid w:val="00A62845"/>
    <w:rsid w:val="00A63CEC"/>
    <w:rsid w:val="00A63DD4"/>
    <w:rsid w:val="00A6485F"/>
    <w:rsid w:val="00A6529D"/>
    <w:rsid w:val="00A652A1"/>
    <w:rsid w:val="00A65D63"/>
    <w:rsid w:val="00A65FFD"/>
    <w:rsid w:val="00A663DE"/>
    <w:rsid w:val="00A66595"/>
    <w:rsid w:val="00A66B54"/>
    <w:rsid w:val="00A672A3"/>
    <w:rsid w:val="00A67964"/>
    <w:rsid w:val="00A67DF7"/>
    <w:rsid w:val="00A67FDD"/>
    <w:rsid w:val="00A7027E"/>
    <w:rsid w:val="00A7031E"/>
    <w:rsid w:val="00A703B0"/>
    <w:rsid w:val="00A71155"/>
    <w:rsid w:val="00A724E2"/>
    <w:rsid w:val="00A726B6"/>
    <w:rsid w:val="00A72784"/>
    <w:rsid w:val="00A728B1"/>
    <w:rsid w:val="00A72BA4"/>
    <w:rsid w:val="00A73F8B"/>
    <w:rsid w:val="00A741F5"/>
    <w:rsid w:val="00A74D8D"/>
    <w:rsid w:val="00A74E3E"/>
    <w:rsid w:val="00A7505B"/>
    <w:rsid w:val="00A751C0"/>
    <w:rsid w:val="00A75860"/>
    <w:rsid w:val="00A7587B"/>
    <w:rsid w:val="00A75BC8"/>
    <w:rsid w:val="00A763DE"/>
    <w:rsid w:val="00A76438"/>
    <w:rsid w:val="00A77CFD"/>
    <w:rsid w:val="00A803D6"/>
    <w:rsid w:val="00A81282"/>
    <w:rsid w:val="00A82679"/>
    <w:rsid w:val="00A826E8"/>
    <w:rsid w:val="00A82BB1"/>
    <w:rsid w:val="00A82DFA"/>
    <w:rsid w:val="00A83233"/>
    <w:rsid w:val="00A83257"/>
    <w:rsid w:val="00A83934"/>
    <w:rsid w:val="00A842D2"/>
    <w:rsid w:val="00A84468"/>
    <w:rsid w:val="00A8452D"/>
    <w:rsid w:val="00A85D02"/>
    <w:rsid w:val="00A8713F"/>
    <w:rsid w:val="00A8764B"/>
    <w:rsid w:val="00A90431"/>
    <w:rsid w:val="00A90E7C"/>
    <w:rsid w:val="00A90FC1"/>
    <w:rsid w:val="00A91167"/>
    <w:rsid w:val="00A9171C"/>
    <w:rsid w:val="00A91977"/>
    <w:rsid w:val="00A91A40"/>
    <w:rsid w:val="00A92CDB"/>
    <w:rsid w:val="00A92FFD"/>
    <w:rsid w:val="00A9333C"/>
    <w:rsid w:val="00A934E1"/>
    <w:rsid w:val="00A93E08"/>
    <w:rsid w:val="00A9416D"/>
    <w:rsid w:val="00A94477"/>
    <w:rsid w:val="00A94812"/>
    <w:rsid w:val="00A94BA9"/>
    <w:rsid w:val="00A958A3"/>
    <w:rsid w:val="00A95975"/>
    <w:rsid w:val="00A97077"/>
    <w:rsid w:val="00A9708D"/>
    <w:rsid w:val="00A970FC"/>
    <w:rsid w:val="00A97912"/>
    <w:rsid w:val="00A97F16"/>
    <w:rsid w:val="00A97F24"/>
    <w:rsid w:val="00AA03E7"/>
    <w:rsid w:val="00AA0D93"/>
    <w:rsid w:val="00AA0D94"/>
    <w:rsid w:val="00AA11A2"/>
    <w:rsid w:val="00AA11D7"/>
    <w:rsid w:val="00AA1714"/>
    <w:rsid w:val="00AA1905"/>
    <w:rsid w:val="00AA2C17"/>
    <w:rsid w:val="00AA371C"/>
    <w:rsid w:val="00AA3D83"/>
    <w:rsid w:val="00AA4172"/>
    <w:rsid w:val="00AA4820"/>
    <w:rsid w:val="00AA5C0A"/>
    <w:rsid w:val="00AA7342"/>
    <w:rsid w:val="00AA75EA"/>
    <w:rsid w:val="00AA771C"/>
    <w:rsid w:val="00AB0B47"/>
    <w:rsid w:val="00AB0E2E"/>
    <w:rsid w:val="00AB17DE"/>
    <w:rsid w:val="00AB1914"/>
    <w:rsid w:val="00AB4BE6"/>
    <w:rsid w:val="00AB4FE5"/>
    <w:rsid w:val="00AB5330"/>
    <w:rsid w:val="00AB5EDB"/>
    <w:rsid w:val="00AB66F1"/>
    <w:rsid w:val="00AB6B5A"/>
    <w:rsid w:val="00AB72BA"/>
    <w:rsid w:val="00AB7648"/>
    <w:rsid w:val="00AB7696"/>
    <w:rsid w:val="00AB7747"/>
    <w:rsid w:val="00AB7C70"/>
    <w:rsid w:val="00AC05F5"/>
    <w:rsid w:val="00AC08C2"/>
    <w:rsid w:val="00AC0DA0"/>
    <w:rsid w:val="00AC157D"/>
    <w:rsid w:val="00AC1583"/>
    <w:rsid w:val="00AC1DF8"/>
    <w:rsid w:val="00AC241E"/>
    <w:rsid w:val="00AC2532"/>
    <w:rsid w:val="00AC28F9"/>
    <w:rsid w:val="00AC2993"/>
    <w:rsid w:val="00AC2C4A"/>
    <w:rsid w:val="00AC361A"/>
    <w:rsid w:val="00AC3690"/>
    <w:rsid w:val="00AC3B45"/>
    <w:rsid w:val="00AC3CBB"/>
    <w:rsid w:val="00AC3CE8"/>
    <w:rsid w:val="00AC4DD7"/>
    <w:rsid w:val="00AC57DD"/>
    <w:rsid w:val="00AC5B1C"/>
    <w:rsid w:val="00AC6F62"/>
    <w:rsid w:val="00AD0EC1"/>
    <w:rsid w:val="00AD10DA"/>
    <w:rsid w:val="00AD1507"/>
    <w:rsid w:val="00AD1A9F"/>
    <w:rsid w:val="00AD23A6"/>
    <w:rsid w:val="00AD2BC9"/>
    <w:rsid w:val="00AD3034"/>
    <w:rsid w:val="00AD3391"/>
    <w:rsid w:val="00AD35EB"/>
    <w:rsid w:val="00AD397A"/>
    <w:rsid w:val="00AD3FF0"/>
    <w:rsid w:val="00AD4035"/>
    <w:rsid w:val="00AD4048"/>
    <w:rsid w:val="00AD454A"/>
    <w:rsid w:val="00AD474C"/>
    <w:rsid w:val="00AD5056"/>
    <w:rsid w:val="00AD5A70"/>
    <w:rsid w:val="00AD5DCA"/>
    <w:rsid w:val="00AD5DE7"/>
    <w:rsid w:val="00AD604C"/>
    <w:rsid w:val="00AD6234"/>
    <w:rsid w:val="00AD6239"/>
    <w:rsid w:val="00AD65F7"/>
    <w:rsid w:val="00AD6C0D"/>
    <w:rsid w:val="00AD6E12"/>
    <w:rsid w:val="00AD7086"/>
    <w:rsid w:val="00AD738B"/>
    <w:rsid w:val="00AD7812"/>
    <w:rsid w:val="00AD794E"/>
    <w:rsid w:val="00AE0845"/>
    <w:rsid w:val="00AE1BF4"/>
    <w:rsid w:val="00AE26F4"/>
    <w:rsid w:val="00AE2C37"/>
    <w:rsid w:val="00AE3451"/>
    <w:rsid w:val="00AE3D94"/>
    <w:rsid w:val="00AE49E1"/>
    <w:rsid w:val="00AE54D7"/>
    <w:rsid w:val="00AE5D97"/>
    <w:rsid w:val="00AE61F5"/>
    <w:rsid w:val="00AE6794"/>
    <w:rsid w:val="00AE6863"/>
    <w:rsid w:val="00AE6882"/>
    <w:rsid w:val="00AE7039"/>
    <w:rsid w:val="00AE7DDF"/>
    <w:rsid w:val="00AF026B"/>
    <w:rsid w:val="00AF0425"/>
    <w:rsid w:val="00AF069A"/>
    <w:rsid w:val="00AF0D90"/>
    <w:rsid w:val="00AF1927"/>
    <w:rsid w:val="00AF1DA2"/>
    <w:rsid w:val="00AF23A3"/>
    <w:rsid w:val="00AF3C8B"/>
    <w:rsid w:val="00AF3D3C"/>
    <w:rsid w:val="00AF4D35"/>
    <w:rsid w:val="00AF5872"/>
    <w:rsid w:val="00AF5C1B"/>
    <w:rsid w:val="00AF6162"/>
    <w:rsid w:val="00AF61E6"/>
    <w:rsid w:val="00AF61E8"/>
    <w:rsid w:val="00AF670D"/>
    <w:rsid w:val="00AF687D"/>
    <w:rsid w:val="00AF6E12"/>
    <w:rsid w:val="00AF7395"/>
    <w:rsid w:val="00AF7EE8"/>
    <w:rsid w:val="00B01110"/>
    <w:rsid w:val="00B014AC"/>
    <w:rsid w:val="00B01B4D"/>
    <w:rsid w:val="00B01D3B"/>
    <w:rsid w:val="00B02262"/>
    <w:rsid w:val="00B025E6"/>
    <w:rsid w:val="00B02877"/>
    <w:rsid w:val="00B030F1"/>
    <w:rsid w:val="00B0399A"/>
    <w:rsid w:val="00B03CEC"/>
    <w:rsid w:val="00B05CF3"/>
    <w:rsid w:val="00B06CB7"/>
    <w:rsid w:val="00B072BD"/>
    <w:rsid w:val="00B075B1"/>
    <w:rsid w:val="00B076B5"/>
    <w:rsid w:val="00B0799F"/>
    <w:rsid w:val="00B10270"/>
    <w:rsid w:val="00B10FA9"/>
    <w:rsid w:val="00B1105D"/>
    <w:rsid w:val="00B119FF"/>
    <w:rsid w:val="00B1209F"/>
    <w:rsid w:val="00B124E0"/>
    <w:rsid w:val="00B1297D"/>
    <w:rsid w:val="00B12AD0"/>
    <w:rsid w:val="00B1498A"/>
    <w:rsid w:val="00B15B56"/>
    <w:rsid w:val="00B16B4F"/>
    <w:rsid w:val="00B16D09"/>
    <w:rsid w:val="00B171E8"/>
    <w:rsid w:val="00B17AD6"/>
    <w:rsid w:val="00B17CAF"/>
    <w:rsid w:val="00B20187"/>
    <w:rsid w:val="00B203DE"/>
    <w:rsid w:val="00B21276"/>
    <w:rsid w:val="00B216D4"/>
    <w:rsid w:val="00B21E3A"/>
    <w:rsid w:val="00B22071"/>
    <w:rsid w:val="00B22A35"/>
    <w:rsid w:val="00B23AB3"/>
    <w:rsid w:val="00B23F9A"/>
    <w:rsid w:val="00B24B1A"/>
    <w:rsid w:val="00B24F30"/>
    <w:rsid w:val="00B24FE1"/>
    <w:rsid w:val="00B2516B"/>
    <w:rsid w:val="00B2520B"/>
    <w:rsid w:val="00B25A4F"/>
    <w:rsid w:val="00B25B84"/>
    <w:rsid w:val="00B2615D"/>
    <w:rsid w:val="00B26863"/>
    <w:rsid w:val="00B26C87"/>
    <w:rsid w:val="00B27A1F"/>
    <w:rsid w:val="00B301B2"/>
    <w:rsid w:val="00B31ABF"/>
    <w:rsid w:val="00B31DB4"/>
    <w:rsid w:val="00B3240D"/>
    <w:rsid w:val="00B32920"/>
    <w:rsid w:val="00B32D7E"/>
    <w:rsid w:val="00B3332D"/>
    <w:rsid w:val="00B335AE"/>
    <w:rsid w:val="00B33A42"/>
    <w:rsid w:val="00B33F3A"/>
    <w:rsid w:val="00B3458E"/>
    <w:rsid w:val="00B347ED"/>
    <w:rsid w:val="00B34E01"/>
    <w:rsid w:val="00B34F83"/>
    <w:rsid w:val="00B36471"/>
    <w:rsid w:val="00B367FE"/>
    <w:rsid w:val="00B36C74"/>
    <w:rsid w:val="00B36EF6"/>
    <w:rsid w:val="00B37CE1"/>
    <w:rsid w:val="00B40642"/>
    <w:rsid w:val="00B40ACF"/>
    <w:rsid w:val="00B4197F"/>
    <w:rsid w:val="00B41AE6"/>
    <w:rsid w:val="00B426C1"/>
    <w:rsid w:val="00B4291D"/>
    <w:rsid w:val="00B42AD0"/>
    <w:rsid w:val="00B430E2"/>
    <w:rsid w:val="00B4431D"/>
    <w:rsid w:val="00B44AFD"/>
    <w:rsid w:val="00B454E0"/>
    <w:rsid w:val="00B46ACD"/>
    <w:rsid w:val="00B46BAA"/>
    <w:rsid w:val="00B50001"/>
    <w:rsid w:val="00B50B5F"/>
    <w:rsid w:val="00B51613"/>
    <w:rsid w:val="00B516E3"/>
    <w:rsid w:val="00B51BF1"/>
    <w:rsid w:val="00B5242E"/>
    <w:rsid w:val="00B52523"/>
    <w:rsid w:val="00B539E8"/>
    <w:rsid w:val="00B54128"/>
    <w:rsid w:val="00B543E6"/>
    <w:rsid w:val="00B54CFE"/>
    <w:rsid w:val="00B554C8"/>
    <w:rsid w:val="00B55826"/>
    <w:rsid w:val="00B56798"/>
    <w:rsid w:val="00B5690E"/>
    <w:rsid w:val="00B56B4A"/>
    <w:rsid w:val="00B56C7B"/>
    <w:rsid w:val="00B56D47"/>
    <w:rsid w:val="00B572B2"/>
    <w:rsid w:val="00B57573"/>
    <w:rsid w:val="00B5792C"/>
    <w:rsid w:val="00B57EC3"/>
    <w:rsid w:val="00B60426"/>
    <w:rsid w:val="00B6043B"/>
    <w:rsid w:val="00B622AD"/>
    <w:rsid w:val="00B622DD"/>
    <w:rsid w:val="00B6312F"/>
    <w:rsid w:val="00B63522"/>
    <w:rsid w:val="00B63D37"/>
    <w:rsid w:val="00B64966"/>
    <w:rsid w:val="00B64A60"/>
    <w:rsid w:val="00B64B8A"/>
    <w:rsid w:val="00B64F85"/>
    <w:rsid w:val="00B65061"/>
    <w:rsid w:val="00B653F9"/>
    <w:rsid w:val="00B6547B"/>
    <w:rsid w:val="00B65C7C"/>
    <w:rsid w:val="00B65CDE"/>
    <w:rsid w:val="00B65CF1"/>
    <w:rsid w:val="00B66156"/>
    <w:rsid w:val="00B66346"/>
    <w:rsid w:val="00B66452"/>
    <w:rsid w:val="00B66C8A"/>
    <w:rsid w:val="00B66FA4"/>
    <w:rsid w:val="00B6715B"/>
    <w:rsid w:val="00B674D1"/>
    <w:rsid w:val="00B678CD"/>
    <w:rsid w:val="00B67E6B"/>
    <w:rsid w:val="00B71908"/>
    <w:rsid w:val="00B719D4"/>
    <w:rsid w:val="00B71C18"/>
    <w:rsid w:val="00B71CC2"/>
    <w:rsid w:val="00B71D88"/>
    <w:rsid w:val="00B71E98"/>
    <w:rsid w:val="00B72010"/>
    <w:rsid w:val="00B72F39"/>
    <w:rsid w:val="00B7329F"/>
    <w:rsid w:val="00B73A4B"/>
    <w:rsid w:val="00B75141"/>
    <w:rsid w:val="00B756B2"/>
    <w:rsid w:val="00B75DCC"/>
    <w:rsid w:val="00B76139"/>
    <w:rsid w:val="00B76D0A"/>
    <w:rsid w:val="00B76F1D"/>
    <w:rsid w:val="00B7764E"/>
    <w:rsid w:val="00B77ADC"/>
    <w:rsid w:val="00B77CC2"/>
    <w:rsid w:val="00B80F94"/>
    <w:rsid w:val="00B80FCF"/>
    <w:rsid w:val="00B81AA4"/>
    <w:rsid w:val="00B81F72"/>
    <w:rsid w:val="00B81FC3"/>
    <w:rsid w:val="00B8381F"/>
    <w:rsid w:val="00B839DB"/>
    <w:rsid w:val="00B84170"/>
    <w:rsid w:val="00B843E1"/>
    <w:rsid w:val="00B84774"/>
    <w:rsid w:val="00B85C36"/>
    <w:rsid w:val="00B85F3F"/>
    <w:rsid w:val="00B874B6"/>
    <w:rsid w:val="00B907BC"/>
    <w:rsid w:val="00B911D7"/>
    <w:rsid w:val="00B92046"/>
    <w:rsid w:val="00B92A19"/>
    <w:rsid w:val="00B92AEA"/>
    <w:rsid w:val="00B9314A"/>
    <w:rsid w:val="00B933A2"/>
    <w:rsid w:val="00B93787"/>
    <w:rsid w:val="00B93C72"/>
    <w:rsid w:val="00B94462"/>
    <w:rsid w:val="00B94922"/>
    <w:rsid w:val="00B94BDC"/>
    <w:rsid w:val="00B94FDB"/>
    <w:rsid w:val="00B9544C"/>
    <w:rsid w:val="00B96796"/>
    <w:rsid w:val="00B96B17"/>
    <w:rsid w:val="00B96C17"/>
    <w:rsid w:val="00B97971"/>
    <w:rsid w:val="00BA0BFF"/>
    <w:rsid w:val="00BA1681"/>
    <w:rsid w:val="00BA29E9"/>
    <w:rsid w:val="00BA2A11"/>
    <w:rsid w:val="00BA2C3E"/>
    <w:rsid w:val="00BA2E25"/>
    <w:rsid w:val="00BA2FA1"/>
    <w:rsid w:val="00BA30F0"/>
    <w:rsid w:val="00BA334C"/>
    <w:rsid w:val="00BA3B83"/>
    <w:rsid w:val="00BA445A"/>
    <w:rsid w:val="00BA54FA"/>
    <w:rsid w:val="00BA5C7A"/>
    <w:rsid w:val="00BA620D"/>
    <w:rsid w:val="00BA6C70"/>
    <w:rsid w:val="00BA7195"/>
    <w:rsid w:val="00BA74A8"/>
    <w:rsid w:val="00BA750B"/>
    <w:rsid w:val="00BA76AE"/>
    <w:rsid w:val="00BA76FB"/>
    <w:rsid w:val="00BA77B3"/>
    <w:rsid w:val="00BA7EF0"/>
    <w:rsid w:val="00BB0253"/>
    <w:rsid w:val="00BB0589"/>
    <w:rsid w:val="00BB0B64"/>
    <w:rsid w:val="00BB0F86"/>
    <w:rsid w:val="00BB14E5"/>
    <w:rsid w:val="00BB1D33"/>
    <w:rsid w:val="00BB256C"/>
    <w:rsid w:val="00BB2802"/>
    <w:rsid w:val="00BB281F"/>
    <w:rsid w:val="00BB299C"/>
    <w:rsid w:val="00BB30B7"/>
    <w:rsid w:val="00BB3618"/>
    <w:rsid w:val="00BB446D"/>
    <w:rsid w:val="00BB5F7E"/>
    <w:rsid w:val="00BB6773"/>
    <w:rsid w:val="00BB7E20"/>
    <w:rsid w:val="00BC0C74"/>
    <w:rsid w:val="00BC0C9E"/>
    <w:rsid w:val="00BC0E08"/>
    <w:rsid w:val="00BC25E2"/>
    <w:rsid w:val="00BC26F4"/>
    <w:rsid w:val="00BC2902"/>
    <w:rsid w:val="00BC2E1D"/>
    <w:rsid w:val="00BC32DC"/>
    <w:rsid w:val="00BC33BA"/>
    <w:rsid w:val="00BC352E"/>
    <w:rsid w:val="00BC36B1"/>
    <w:rsid w:val="00BC37A5"/>
    <w:rsid w:val="00BC3D43"/>
    <w:rsid w:val="00BC3FAD"/>
    <w:rsid w:val="00BC4030"/>
    <w:rsid w:val="00BC427D"/>
    <w:rsid w:val="00BC4BBA"/>
    <w:rsid w:val="00BC523F"/>
    <w:rsid w:val="00BC56DC"/>
    <w:rsid w:val="00BC6549"/>
    <w:rsid w:val="00BC6712"/>
    <w:rsid w:val="00BC73BD"/>
    <w:rsid w:val="00BC7459"/>
    <w:rsid w:val="00BC7730"/>
    <w:rsid w:val="00BC7805"/>
    <w:rsid w:val="00BC7F52"/>
    <w:rsid w:val="00BD017B"/>
    <w:rsid w:val="00BD0993"/>
    <w:rsid w:val="00BD0E62"/>
    <w:rsid w:val="00BD103C"/>
    <w:rsid w:val="00BD1780"/>
    <w:rsid w:val="00BD1B51"/>
    <w:rsid w:val="00BD3A7B"/>
    <w:rsid w:val="00BD4409"/>
    <w:rsid w:val="00BD47F6"/>
    <w:rsid w:val="00BD5573"/>
    <w:rsid w:val="00BD61C0"/>
    <w:rsid w:val="00BD67A2"/>
    <w:rsid w:val="00BD78C6"/>
    <w:rsid w:val="00BD79C8"/>
    <w:rsid w:val="00BD7B66"/>
    <w:rsid w:val="00BE0970"/>
    <w:rsid w:val="00BE0FC0"/>
    <w:rsid w:val="00BE1C97"/>
    <w:rsid w:val="00BE1FD0"/>
    <w:rsid w:val="00BE2361"/>
    <w:rsid w:val="00BE312D"/>
    <w:rsid w:val="00BE342E"/>
    <w:rsid w:val="00BE3A25"/>
    <w:rsid w:val="00BE3FCA"/>
    <w:rsid w:val="00BE41A4"/>
    <w:rsid w:val="00BE482C"/>
    <w:rsid w:val="00BE4E47"/>
    <w:rsid w:val="00BE5A82"/>
    <w:rsid w:val="00BE5B12"/>
    <w:rsid w:val="00BE60EF"/>
    <w:rsid w:val="00BE61B2"/>
    <w:rsid w:val="00BE66EA"/>
    <w:rsid w:val="00BE67F2"/>
    <w:rsid w:val="00BE6D90"/>
    <w:rsid w:val="00BE6E1B"/>
    <w:rsid w:val="00BE71BD"/>
    <w:rsid w:val="00BE7452"/>
    <w:rsid w:val="00BE7C13"/>
    <w:rsid w:val="00BE7F32"/>
    <w:rsid w:val="00BE7FD4"/>
    <w:rsid w:val="00BF0351"/>
    <w:rsid w:val="00BF068C"/>
    <w:rsid w:val="00BF0C0F"/>
    <w:rsid w:val="00BF103F"/>
    <w:rsid w:val="00BF22CE"/>
    <w:rsid w:val="00BF2A5B"/>
    <w:rsid w:val="00BF2FF6"/>
    <w:rsid w:val="00BF3099"/>
    <w:rsid w:val="00BF3D00"/>
    <w:rsid w:val="00BF42D8"/>
    <w:rsid w:val="00BF4344"/>
    <w:rsid w:val="00BF4B9B"/>
    <w:rsid w:val="00BF4C39"/>
    <w:rsid w:val="00BF4E6D"/>
    <w:rsid w:val="00BF545E"/>
    <w:rsid w:val="00BF5A30"/>
    <w:rsid w:val="00BF7258"/>
    <w:rsid w:val="00BF726B"/>
    <w:rsid w:val="00BF7361"/>
    <w:rsid w:val="00BF7B28"/>
    <w:rsid w:val="00BF7FD1"/>
    <w:rsid w:val="00C0010E"/>
    <w:rsid w:val="00C0096B"/>
    <w:rsid w:val="00C00C2E"/>
    <w:rsid w:val="00C00CB6"/>
    <w:rsid w:val="00C00CF4"/>
    <w:rsid w:val="00C00DF6"/>
    <w:rsid w:val="00C00E89"/>
    <w:rsid w:val="00C01110"/>
    <w:rsid w:val="00C02436"/>
    <w:rsid w:val="00C02B21"/>
    <w:rsid w:val="00C04179"/>
    <w:rsid w:val="00C04434"/>
    <w:rsid w:val="00C05409"/>
    <w:rsid w:val="00C0564A"/>
    <w:rsid w:val="00C05719"/>
    <w:rsid w:val="00C05A00"/>
    <w:rsid w:val="00C05D45"/>
    <w:rsid w:val="00C06200"/>
    <w:rsid w:val="00C06280"/>
    <w:rsid w:val="00C062BB"/>
    <w:rsid w:val="00C06368"/>
    <w:rsid w:val="00C06778"/>
    <w:rsid w:val="00C079F5"/>
    <w:rsid w:val="00C07C74"/>
    <w:rsid w:val="00C07CF3"/>
    <w:rsid w:val="00C10578"/>
    <w:rsid w:val="00C106BD"/>
    <w:rsid w:val="00C10C01"/>
    <w:rsid w:val="00C10DB7"/>
    <w:rsid w:val="00C1120B"/>
    <w:rsid w:val="00C13643"/>
    <w:rsid w:val="00C13F39"/>
    <w:rsid w:val="00C14B49"/>
    <w:rsid w:val="00C14BA4"/>
    <w:rsid w:val="00C14C9A"/>
    <w:rsid w:val="00C170C5"/>
    <w:rsid w:val="00C17D62"/>
    <w:rsid w:val="00C2082C"/>
    <w:rsid w:val="00C216C8"/>
    <w:rsid w:val="00C21C71"/>
    <w:rsid w:val="00C21FDC"/>
    <w:rsid w:val="00C224E8"/>
    <w:rsid w:val="00C22540"/>
    <w:rsid w:val="00C22FA7"/>
    <w:rsid w:val="00C242AE"/>
    <w:rsid w:val="00C24594"/>
    <w:rsid w:val="00C24DFA"/>
    <w:rsid w:val="00C24EE7"/>
    <w:rsid w:val="00C2596A"/>
    <w:rsid w:val="00C25A94"/>
    <w:rsid w:val="00C25F5B"/>
    <w:rsid w:val="00C261EC"/>
    <w:rsid w:val="00C271BE"/>
    <w:rsid w:val="00C271E7"/>
    <w:rsid w:val="00C272B6"/>
    <w:rsid w:val="00C2738B"/>
    <w:rsid w:val="00C27425"/>
    <w:rsid w:val="00C279EF"/>
    <w:rsid w:val="00C27CF1"/>
    <w:rsid w:val="00C3029E"/>
    <w:rsid w:val="00C3086A"/>
    <w:rsid w:val="00C30E64"/>
    <w:rsid w:val="00C31D1E"/>
    <w:rsid w:val="00C31FE7"/>
    <w:rsid w:val="00C322E7"/>
    <w:rsid w:val="00C328FE"/>
    <w:rsid w:val="00C3298A"/>
    <w:rsid w:val="00C32D64"/>
    <w:rsid w:val="00C336B6"/>
    <w:rsid w:val="00C3374F"/>
    <w:rsid w:val="00C33A05"/>
    <w:rsid w:val="00C34185"/>
    <w:rsid w:val="00C3444B"/>
    <w:rsid w:val="00C347B0"/>
    <w:rsid w:val="00C353B9"/>
    <w:rsid w:val="00C3589E"/>
    <w:rsid w:val="00C35AF6"/>
    <w:rsid w:val="00C36166"/>
    <w:rsid w:val="00C36C52"/>
    <w:rsid w:val="00C37517"/>
    <w:rsid w:val="00C37EB2"/>
    <w:rsid w:val="00C400F2"/>
    <w:rsid w:val="00C40433"/>
    <w:rsid w:val="00C409FF"/>
    <w:rsid w:val="00C42500"/>
    <w:rsid w:val="00C427D0"/>
    <w:rsid w:val="00C4369A"/>
    <w:rsid w:val="00C43D35"/>
    <w:rsid w:val="00C43F94"/>
    <w:rsid w:val="00C4404B"/>
    <w:rsid w:val="00C4409D"/>
    <w:rsid w:val="00C4459F"/>
    <w:rsid w:val="00C448A9"/>
    <w:rsid w:val="00C45062"/>
    <w:rsid w:val="00C455BE"/>
    <w:rsid w:val="00C4692C"/>
    <w:rsid w:val="00C46E0F"/>
    <w:rsid w:val="00C47B8E"/>
    <w:rsid w:val="00C504BE"/>
    <w:rsid w:val="00C50725"/>
    <w:rsid w:val="00C50B15"/>
    <w:rsid w:val="00C50C13"/>
    <w:rsid w:val="00C50E35"/>
    <w:rsid w:val="00C51E5F"/>
    <w:rsid w:val="00C52086"/>
    <w:rsid w:val="00C5252A"/>
    <w:rsid w:val="00C5278D"/>
    <w:rsid w:val="00C52D3F"/>
    <w:rsid w:val="00C52E1F"/>
    <w:rsid w:val="00C53115"/>
    <w:rsid w:val="00C53C43"/>
    <w:rsid w:val="00C54533"/>
    <w:rsid w:val="00C54D35"/>
    <w:rsid w:val="00C56503"/>
    <w:rsid w:val="00C5676A"/>
    <w:rsid w:val="00C567F7"/>
    <w:rsid w:val="00C57C98"/>
    <w:rsid w:val="00C6136F"/>
    <w:rsid w:val="00C616FA"/>
    <w:rsid w:val="00C61E4B"/>
    <w:rsid w:val="00C621D4"/>
    <w:rsid w:val="00C625BD"/>
    <w:rsid w:val="00C62E3A"/>
    <w:rsid w:val="00C62E41"/>
    <w:rsid w:val="00C634B6"/>
    <w:rsid w:val="00C63D10"/>
    <w:rsid w:val="00C64503"/>
    <w:rsid w:val="00C64A1F"/>
    <w:rsid w:val="00C64BFF"/>
    <w:rsid w:val="00C64F67"/>
    <w:rsid w:val="00C6539B"/>
    <w:rsid w:val="00C6553C"/>
    <w:rsid w:val="00C658B7"/>
    <w:rsid w:val="00C65BAE"/>
    <w:rsid w:val="00C66696"/>
    <w:rsid w:val="00C6708C"/>
    <w:rsid w:val="00C676E8"/>
    <w:rsid w:val="00C6793A"/>
    <w:rsid w:val="00C67C36"/>
    <w:rsid w:val="00C70959"/>
    <w:rsid w:val="00C70C26"/>
    <w:rsid w:val="00C713FD"/>
    <w:rsid w:val="00C71AAB"/>
    <w:rsid w:val="00C7201D"/>
    <w:rsid w:val="00C729A7"/>
    <w:rsid w:val="00C73777"/>
    <w:rsid w:val="00C738EC"/>
    <w:rsid w:val="00C738FA"/>
    <w:rsid w:val="00C7440F"/>
    <w:rsid w:val="00C7472B"/>
    <w:rsid w:val="00C74772"/>
    <w:rsid w:val="00C759CF"/>
    <w:rsid w:val="00C763C9"/>
    <w:rsid w:val="00C76A4F"/>
    <w:rsid w:val="00C76DF6"/>
    <w:rsid w:val="00C7734A"/>
    <w:rsid w:val="00C77756"/>
    <w:rsid w:val="00C77E54"/>
    <w:rsid w:val="00C80057"/>
    <w:rsid w:val="00C808A6"/>
    <w:rsid w:val="00C813A8"/>
    <w:rsid w:val="00C8175C"/>
    <w:rsid w:val="00C81C9D"/>
    <w:rsid w:val="00C81DFE"/>
    <w:rsid w:val="00C81E78"/>
    <w:rsid w:val="00C82912"/>
    <w:rsid w:val="00C82C79"/>
    <w:rsid w:val="00C82D71"/>
    <w:rsid w:val="00C82FE9"/>
    <w:rsid w:val="00C83504"/>
    <w:rsid w:val="00C840F2"/>
    <w:rsid w:val="00C84753"/>
    <w:rsid w:val="00C84B9F"/>
    <w:rsid w:val="00C853EB"/>
    <w:rsid w:val="00C8615F"/>
    <w:rsid w:val="00C866DB"/>
    <w:rsid w:val="00C87577"/>
    <w:rsid w:val="00C87A9F"/>
    <w:rsid w:val="00C87E2A"/>
    <w:rsid w:val="00C90405"/>
    <w:rsid w:val="00C90BED"/>
    <w:rsid w:val="00C910BC"/>
    <w:rsid w:val="00C91611"/>
    <w:rsid w:val="00C91823"/>
    <w:rsid w:val="00C91F7A"/>
    <w:rsid w:val="00C9263C"/>
    <w:rsid w:val="00C92D1F"/>
    <w:rsid w:val="00C92F42"/>
    <w:rsid w:val="00C93BC2"/>
    <w:rsid w:val="00C951C5"/>
    <w:rsid w:val="00C9540D"/>
    <w:rsid w:val="00C95A9A"/>
    <w:rsid w:val="00C9627E"/>
    <w:rsid w:val="00C96A41"/>
    <w:rsid w:val="00C96DF4"/>
    <w:rsid w:val="00C973B4"/>
    <w:rsid w:val="00C97675"/>
    <w:rsid w:val="00C9796F"/>
    <w:rsid w:val="00CA16F1"/>
    <w:rsid w:val="00CA2988"/>
    <w:rsid w:val="00CA2AF0"/>
    <w:rsid w:val="00CA3585"/>
    <w:rsid w:val="00CA3644"/>
    <w:rsid w:val="00CA3D5A"/>
    <w:rsid w:val="00CA3FD0"/>
    <w:rsid w:val="00CA440D"/>
    <w:rsid w:val="00CA4AE4"/>
    <w:rsid w:val="00CA4C7C"/>
    <w:rsid w:val="00CA5128"/>
    <w:rsid w:val="00CA5217"/>
    <w:rsid w:val="00CA526C"/>
    <w:rsid w:val="00CA5C47"/>
    <w:rsid w:val="00CA6A19"/>
    <w:rsid w:val="00CA7033"/>
    <w:rsid w:val="00CA71BE"/>
    <w:rsid w:val="00CA7761"/>
    <w:rsid w:val="00CA79C8"/>
    <w:rsid w:val="00CA7C2B"/>
    <w:rsid w:val="00CB008F"/>
    <w:rsid w:val="00CB0183"/>
    <w:rsid w:val="00CB0716"/>
    <w:rsid w:val="00CB0D3A"/>
    <w:rsid w:val="00CB1B20"/>
    <w:rsid w:val="00CB1B5E"/>
    <w:rsid w:val="00CB1EA3"/>
    <w:rsid w:val="00CB3221"/>
    <w:rsid w:val="00CB50E2"/>
    <w:rsid w:val="00CB552C"/>
    <w:rsid w:val="00CB6234"/>
    <w:rsid w:val="00CB628B"/>
    <w:rsid w:val="00CB6A9E"/>
    <w:rsid w:val="00CB6C6B"/>
    <w:rsid w:val="00CB764E"/>
    <w:rsid w:val="00CC00C5"/>
    <w:rsid w:val="00CC0649"/>
    <w:rsid w:val="00CC15BC"/>
    <w:rsid w:val="00CC1B09"/>
    <w:rsid w:val="00CC22B4"/>
    <w:rsid w:val="00CC25BA"/>
    <w:rsid w:val="00CC4E31"/>
    <w:rsid w:val="00CC4E7A"/>
    <w:rsid w:val="00CC558B"/>
    <w:rsid w:val="00CC6181"/>
    <w:rsid w:val="00CC6931"/>
    <w:rsid w:val="00CC6A71"/>
    <w:rsid w:val="00CC6D1D"/>
    <w:rsid w:val="00CC6E30"/>
    <w:rsid w:val="00CC7698"/>
    <w:rsid w:val="00CD0547"/>
    <w:rsid w:val="00CD0909"/>
    <w:rsid w:val="00CD1568"/>
    <w:rsid w:val="00CD1D48"/>
    <w:rsid w:val="00CD2093"/>
    <w:rsid w:val="00CD2BCD"/>
    <w:rsid w:val="00CD32C9"/>
    <w:rsid w:val="00CD36AA"/>
    <w:rsid w:val="00CD371D"/>
    <w:rsid w:val="00CD3791"/>
    <w:rsid w:val="00CD3B14"/>
    <w:rsid w:val="00CD3DF1"/>
    <w:rsid w:val="00CD3F0A"/>
    <w:rsid w:val="00CD3FBF"/>
    <w:rsid w:val="00CD44EA"/>
    <w:rsid w:val="00CD46F9"/>
    <w:rsid w:val="00CD4970"/>
    <w:rsid w:val="00CD65B0"/>
    <w:rsid w:val="00CD6B92"/>
    <w:rsid w:val="00CD6BAD"/>
    <w:rsid w:val="00CD6D4E"/>
    <w:rsid w:val="00CD7ECA"/>
    <w:rsid w:val="00CE0005"/>
    <w:rsid w:val="00CE0076"/>
    <w:rsid w:val="00CE02CD"/>
    <w:rsid w:val="00CE03DA"/>
    <w:rsid w:val="00CE04E5"/>
    <w:rsid w:val="00CE06EB"/>
    <w:rsid w:val="00CE10E9"/>
    <w:rsid w:val="00CE168F"/>
    <w:rsid w:val="00CE19C4"/>
    <w:rsid w:val="00CE23AD"/>
    <w:rsid w:val="00CE2436"/>
    <w:rsid w:val="00CE2ACE"/>
    <w:rsid w:val="00CE2C7F"/>
    <w:rsid w:val="00CE3719"/>
    <w:rsid w:val="00CE3B5E"/>
    <w:rsid w:val="00CE3D07"/>
    <w:rsid w:val="00CE41F6"/>
    <w:rsid w:val="00CE42AF"/>
    <w:rsid w:val="00CE4BE7"/>
    <w:rsid w:val="00CE4DC8"/>
    <w:rsid w:val="00CE522C"/>
    <w:rsid w:val="00CE55DD"/>
    <w:rsid w:val="00CE603D"/>
    <w:rsid w:val="00CE65FE"/>
    <w:rsid w:val="00CE66DC"/>
    <w:rsid w:val="00CE6CA1"/>
    <w:rsid w:val="00CF0BBE"/>
    <w:rsid w:val="00CF0CD4"/>
    <w:rsid w:val="00CF19C0"/>
    <w:rsid w:val="00CF1F00"/>
    <w:rsid w:val="00CF1F07"/>
    <w:rsid w:val="00CF2143"/>
    <w:rsid w:val="00CF31E2"/>
    <w:rsid w:val="00CF410C"/>
    <w:rsid w:val="00CF4462"/>
    <w:rsid w:val="00CF46F8"/>
    <w:rsid w:val="00CF471C"/>
    <w:rsid w:val="00CF5350"/>
    <w:rsid w:val="00CF5465"/>
    <w:rsid w:val="00CF6039"/>
    <w:rsid w:val="00CF6A0A"/>
    <w:rsid w:val="00CF722D"/>
    <w:rsid w:val="00CF75D4"/>
    <w:rsid w:val="00CF7AB0"/>
    <w:rsid w:val="00CF7BE3"/>
    <w:rsid w:val="00CF7D5B"/>
    <w:rsid w:val="00D0072E"/>
    <w:rsid w:val="00D00F29"/>
    <w:rsid w:val="00D01226"/>
    <w:rsid w:val="00D01379"/>
    <w:rsid w:val="00D01BF2"/>
    <w:rsid w:val="00D01E7A"/>
    <w:rsid w:val="00D0200C"/>
    <w:rsid w:val="00D03493"/>
    <w:rsid w:val="00D03AF1"/>
    <w:rsid w:val="00D0476F"/>
    <w:rsid w:val="00D04DBD"/>
    <w:rsid w:val="00D05546"/>
    <w:rsid w:val="00D05BEE"/>
    <w:rsid w:val="00D05FB0"/>
    <w:rsid w:val="00D069C3"/>
    <w:rsid w:val="00D069D5"/>
    <w:rsid w:val="00D06CF4"/>
    <w:rsid w:val="00D0794E"/>
    <w:rsid w:val="00D079B5"/>
    <w:rsid w:val="00D07BCA"/>
    <w:rsid w:val="00D1041E"/>
    <w:rsid w:val="00D105F0"/>
    <w:rsid w:val="00D106E7"/>
    <w:rsid w:val="00D108A5"/>
    <w:rsid w:val="00D119DD"/>
    <w:rsid w:val="00D11DAA"/>
    <w:rsid w:val="00D11FC6"/>
    <w:rsid w:val="00D120B9"/>
    <w:rsid w:val="00D13887"/>
    <w:rsid w:val="00D14AFD"/>
    <w:rsid w:val="00D15727"/>
    <w:rsid w:val="00D15C9A"/>
    <w:rsid w:val="00D16332"/>
    <w:rsid w:val="00D16414"/>
    <w:rsid w:val="00D208E1"/>
    <w:rsid w:val="00D20E22"/>
    <w:rsid w:val="00D23B48"/>
    <w:rsid w:val="00D2407F"/>
    <w:rsid w:val="00D24972"/>
    <w:rsid w:val="00D24E06"/>
    <w:rsid w:val="00D2515E"/>
    <w:rsid w:val="00D25475"/>
    <w:rsid w:val="00D25493"/>
    <w:rsid w:val="00D25647"/>
    <w:rsid w:val="00D25A85"/>
    <w:rsid w:val="00D267E5"/>
    <w:rsid w:val="00D26F21"/>
    <w:rsid w:val="00D27459"/>
    <w:rsid w:val="00D2746B"/>
    <w:rsid w:val="00D27808"/>
    <w:rsid w:val="00D30450"/>
    <w:rsid w:val="00D308ED"/>
    <w:rsid w:val="00D3168E"/>
    <w:rsid w:val="00D31AAC"/>
    <w:rsid w:val="00D3209C"/>
    <w:rsid w:val="00D322B4"/>
    <w:rsid w:val="00D32676"/>
    <w:rsid w:val="00D32BC3"/>
    <w:rsid w:val="00D33306"/>
    <w:rsid w:val="00D33739"/>
    <w:rsid w:val="00D34171"/>
    <w:rsid w:val="00D346C0"/>
    <w:rsid w:val="00D34824"/>
    <w:rsid w:val="00D34A15"/>
    <w:rsid w:val="00D34B56"/>
    <w:rsid w:val="00D34DBD"/>
    <w:rsid w:val="00D354FD"/>
    <w:rsid w:val="00D359BE"/>
    <w:rsid w:val="00D35A4A"/>
    <w:rsid w:val="00D35AED"/>
    <w:rsid w:val="00D361D8"/>
    <w:rsid w:val="00D36DF3"/>
    <w:rsid w:val="00D3773C"/>
    <w:rsid w:val="00D37D5D"/>
    <w:rsid w:val="00D402A5"/>
    <w:rsid w:val="00D40451"/>
    <w:rsid w:val="00D40976"/>
    <w:rsid w:val="00D40D21"/>
    <w:rsid w:val="00D40D25"/>
    <w:rsid w:val="00D40FD4"/>
    <w:rsid w:val="00D40FED"/>
    <w:rsid w:val="00D41ADE"/>
    <w:rsid w:val="00D42282"/>
    <w:rsid w:val="00D42325"/>
    <w:rsid w:val="00D4245C"/>
    <w:rsid w:val="00D428EA"/>
    <w:rsid w:val="00D43F7E"/>
    <w:rsid w:val="00D44337"/>
    <w:rsid w:val="00D44BDB"/>
    <w:rsid w:val="00D44D93"/>
    <w:rsid w:val="00D45E4D"/>
    <w:rsid w:val="00D46068"/>
    <w:rsid w:val="00D4688E"/>
    <w:rsid w:val="00D46BBA"/>
    <w:rsid w:val="00D46F0C"/>
    <w:rsid w:val="00D47116"/>
    <w:rsid w:val="00D47480"/>
    <w:rsid w:val="00D4770C"/>
    <w:rsid w:val="00D506C0"/>
    <w:rsid w:val="00D511E7"/>
    <w:rsid w:val="00D52351"/>
    <w:rsid w:val="00D52CC0"/>
    <w:rsid w:val="00D540F6"/>
    <w:rsid w:val="00D5436C"/>
    <w:rsid w:val="00D5445E"/>
    <w:rsid w:val="00D54521"/>
    <w:rsid w:val="00D55BF9"/>
    <w:rsid w:val="00D55C85"/>
    <w:rsid w:val="00D55CF5"/>
    <w:rsid w:val="00D55D06"/>
    <w:rsid w:val="00D56178"/>
    <w:rsid w:val="00D566C5"/>
    <w:rsid w:val="00D56CF0"/>
    <w:rsid w:val="00D56F5C"/>
    <w:rsid w:val="00D572E2"/>
    <w:rsid w:val="00D5773E"/>
    <w:rsid w:val="00D6001A"/>
    <w:rsid w:val="00D60308"/>
    <w:rsid w:val="00D603C6"/>
    <w:rsid w:val="00D60B4B"/>
    <w:rsid w:val="00D615D3"/>
    <w:rsid w:val="00D62680"/>
    <w:rsid w:val="00D62E50"/>
    <w:rsid w:val="00D62F14"/>
    <w:rsid w:val="00D62F59"/>
    <w:rsid w:val="00D63A03"/>
    <w:rsid w:val="00D63C17"/>
    <w:rsid w:val="00D63D6A"/>
    <w:rsid w:val="00D64D02"/>
    <w:rsid w:val="00D65082"/>
    <w:rsid w:val="00D657ED"/>
    <w:rsid w:val="00D65EBD"/>
    <w:rsid w:val="00D66918"/>
    <w:rsid w:val="00D671C1"/>
    <w:rsid w:val="00D6722D"/>
    <w:rsid w:val="00D6736A"/>
    <w:rsid w:val="00D677A9"/>
    <w:rsid w:val="00D67A70"/>
    <w:rsid w:val="00D67EFC"/>
    <w:rsid w:val="00D704B1"/>
    <w:rsid w:val="00D70A57"/>
    <w:rsid w:val="00D70B63"/>
    <w:rsid w:val="00D70ED0"/>
    <w:rsid w:val="00D712D6"/>
    <w:rsid w:val="00D714F7"/>
    <w:rsid w:val="00D71EF5"/>
    <w:rsid w:val="00D721E4"/>
    <w:rsid w:val="00D72B92"/>
    <w:rsid w:val="00D72ED4"/>
    <w:rsid w:val="00D72F22"/>
    <w:rsid w:val="00D72F6A"/>
    <w:rsid w:val="00D73F61"/>
    <w:rsid w:val="00D741F2"/>
    <w:rsid w:val="00D74DDA"/>
    <w:rsid w:val="00D754C0"/>
    <w:rsid w:val="00D7591F"/>
    <w:rsid w:val="00D75D62"/>
    <w:rsid w:val="00D765BC"/>
    <w:rsid w:val="00D776A2"/>
    <w:rsid w:val="00D77757"/>
    <w:rsid w:val="00D801C4"/>
    <w:rsid w:val="00D8041C"/>
    <w:rsid w:val="00D80631"/>
    <w:rsid w:val="00D81065"/>
    <w:rsid w:val="00D81147"/>
    <w:rsid w:val="00D8190D"/>
    <w:rsid w:val="00D8201A"/>
    <w:rsid w:val="00D826B1"/>
    <w:rsid w:val="00D82EDF"/>
    <w:rsid w:val="00D8350B"/>
    <w:rsid w:val="00D838EB"/>
    <w:rsid w:val="00D8399F"/>
    <w:rsid w:val="00D83C03"/>
    <w:rsid w:val="00D84670"/>
    <w:rsid w:val="00D84839"/>
    <w:rsid w:val="00D84992"/>
    <w:rsid w:val="00D8547A"/>
    <w:rsid w:val="00D85EA9"/>
    <w:rsid w:val="00D860C9"/>
    <w:rsid w:val="00D8650D"/>
    <w:rsid w:val="00D869B0"/>
    <w:rsid w:val="00D87592"/>
    <w:rsid w:val="00D879CE"/>
    <w:rsid w:val="00D90604"/>
    <w:rsid w:val="00D90836"/>
    <w:rsid w:val="00D90B07"/>
    <w:rsid w:val="00D90D3B"/>
    <w:rsid w:val="00D91610"/>
    <w:rsid w:val="00D91D80"/>
    <w:rsid w:val="00D923C8"/>
    <w:rsid w:val="00D925A3"/>
    <w:rsid w:val="00D939EC"/>
    <w:rsid w:val="00D93DB2"/>
    <w:rsid w:val="00D93EDA"/>
    <w:rsid w:val="00D9473C"/>
    <w:rsid w:val="00D94DCE"/>
    <w:rsid w:val="00D94F31"/>
    <w:rsid w:val="00D95809"/>
    <w:rsid w:val="00D95896"/>
    <w:rsid w:val="00D95946"/>
    <w:rsid w:val="00D95CC6"/>
    <w:rsid w:val="00D96034"/>
    <w:rsid w:val="00D9619A"/>
    <w:rsid w:val="00D963D2"/>
    <w:rsid w:val="00D96761"/>
    <w:rsid w:val="00D97721"/>
    <w:rsid w:val="00D9793A"/>
    <w:rsid w:val="00D979B0"/>
    <w:rsid w:val="00DA046D"/>
    <w:rsid w:val="00DA0482"/>
    <w:rsid w:val="00DA23ED"/>
    <w:rsid w:val="00DA2B81"/>
    <w:rsid w:val="00DA2BD4"/>
    <w:rsid w:val="00DA2DA3"/>
    <w:rsid w:val="00DA2E4F"/>
    <w:rsid w:val="00DA3519"/>
    <w:rsid w:val="00DA353A"/>
    <w:rsid w:val="00DA3A27"/>
    <w:rsid w:val="00DA3C41"/>
    <w:rsid w:val="00DA3F59"/>
    <w:rsid w:val="00DA4D31"/>
    <w:rsid w:val="00DA5314"/>
    <w:rsid w:val="00DA5B72"/>
    <w:rsid w:val="00DA60A3"/>
    <w:rsid w:val="00DA60D1"/>
    <w:rsid w:val="00DA6615"/>
    <w:rsid w:val="00DA67AD"/>
    <w:rsid w:val="00DA6846"/>
    <w:rsid w:val="00DA6FCC"/>
    <w:rsid w:val="00DA745A"/>
    <w:rsid w:val="00DA7584"/>
    <w:rsid w:val="00DA76AE"/>
    <w:rsid w:val="00DA7D4B"/>
    <w:rsid w:val="00DB181E"/>
    <w:rsid w:val="00DB1C2E"/>
    <w:rsid w:val="00DB1C7A"/>
    <w:rsid w:val="00DB24CF"/>
    <w:rsid w:val="00DB2983"/>
    <w:rsid w:val="00DB343D"/>
    <w:rsid w:val="00DB4217"/>
    <w:rsid w:val="00DB43F8"/>
    <w:rsid w:val="00DB4843"/>
    <w:rsid w:val="00DB49A6"/>
    <w:rsid w:val="00DB5579"/>
    <w:rsid w:val="00DB5B84"/>
    <w:rsid w:val="00DB5CFE"/>
    <w:rsid w:val="00DB6375"/>
    <w:rsid w:val="00DB786D"/>
    <w:rsid w:val="00DC0DF9"/>
    <w:rsid w:val="00DC112F"/>
    <w:rsid w:val="00DC119C"/>
    <w:rsid w:val="00DC1557"/>
    <w:rsid w:val="00DC15FF"/>
    <w:rsid w:val="00DC18E9"/>
    <w:rsid w:val="00DC1B4C"/>
    <w:rsid w:val="00DC37C1"/>
    <w:rsid w:val="00DC396F"/>
    <w:rsid w:val="00DC3973"/>
    <w:rsid w:val="00DC56BE"/>
    <w:rsid w:val="00DC5C42"/>
    <w:rsid w:val="00DC5F33"/>
    <w:rsid w:val="00DC5F96"/>
    <w:rsid w:val="00DC5FC8"/>
    <w:rsid w:val="00DC6516"/>
    <w:rsid w:val="00DC67B4"/>
    <w:rsid w:val="00DC72A6"/>
    <w:rsid w:val="00DC7917"/>
    <w:rsid w:val="00DC7CA7"/>
    <w:rsid w:val="00DD00F6"/>
    <w:rsid w:val="00DD0CE3"/>
    <w:rsid w:val="00DD1FCE"/>
    <w:rsid w:val="00DD2113"/>
    <w:rsid w:val="00DD2415"/>
    <w:rsid w:val="00DD265E"/>
    <w:rsid w:val="00DD2EF2"/>
    <w:rsid w:val="00DD3040"/>
    <w:rsid w:val="00DD386A"/>
    <w:rsid w:val="00DD3C03"/>
    <w:rsid w:val="00DD3FB0"/>
    <w:rsid w:val="00DD4AF4"/>
    <w:rsid w:val="00DD4FA4"/>
    <w:rsid w:val="00DD5560"/>
    <w:rsid w:val="00DD5DDD"/>
    <w:rsid w:val="00DD6B49"/>
    <w:rsid w:val="00DD75E1"/>
    <w:rsid w:val="00DD7D18"/>
    <w:rsid w:val="00DE0435"/>
    <w:rsid w:val="00DE1967"/>
    <w:rsid w:val="00DE1C53"/>
    <w:rsid w:val="00DE3201"/>
    <w:rsid w:val="00DE35C9"/>
    <w:rsid w:val="00DE3789"/>
    <w:rsid w:val="00DE3FF1"/>
    <w:rsid w:val="00DE42E0"/>
    <w:rsid w:val="00DE4A0A"/>
    <w:rsid w:val="00DE5315"/>
    <w:rsid w:val="00DE53CF"/>
    <w:rsid w:val="00DE547A"/>
    <w:rsid w:val="00DE5C33"/>
    <w:rsid w:val="00DE6698"/>
    <w:rsid w:val="00DE688F"/>
    <w:rsid w:val="00DE6CBF"/>
    <w:rsid w:val="00DE771C"/>
    <w:rsid w:val="00DE7C7A"/>
    <w:rsid w:val="00DF0429"/>
    <w:rsid w:val="00DF0697"/>
    <w:rsid w:val="00DF1797"/>
    <w:rsid w:val="00DF1930"/>
    <w:rsid w:val="00DF19BD"/>
    <w:rsid w:val="00DF1BB8"/>
    <w:rsid w:val="00DF21B6"/>
    <w:rsid w:val="00DF2671"/>
    <w:rsid w:val="00DF29FC"/>
    <w:rsid w:val="00DF2D81"/>
    <w:rsid w:val="00DF3865"/>
    <w:rsid w:val="00DF48A8"/>
    <w:rsid w:val="00DF514A"/>
    <w:rsid w:val="00DF549E"/>
    <w:rsid w:val="00DF56E9"/>
    <w:rsid w:val="00DF5723"/>
    <w:rsid w:val="00DF5E9B"/>
    <w:rsid w:val="00DF6460"/>
    <w:rsid w:val="00DF77CA"/>
    <w:rsid w:val="00E008FA"/>
    <w:rsid w:val="00E00B7C"/>
    <w:rsid w:val="00E00C96"/>
    <w:rsid w:val="00E01FF1"/>
    <w:rsid w:val="00E0358D"/>
    <w:rsid w:val="00E0432B"/>
    <w:rsid w:val="00E043D7"/>
    <w:rsid w:val="00E05364"/>
    <w:rsid w:val="00E05850"/>
    <w:rsid w:val="00E06327"/>
    <w:rsid w:val="00E06793"/>
    <w:rsid w:val="00E0725F"/>
    <w:rsid w:val="00E072A9"/>
    <w:rsid w:val="00E07993"/>
    <w:rsid w:val="00E10BE2"/>
    <w:rsid w:val="00E11259"/>
    <w:rsid w:val="00E117CE"/>
    <w:rsid w:val="00E13A02"/>
    <w:rsid w:val="00E14C84"/>
    <w:rsid w:val="00E14D60"/>
    <w:rsid w:val="00E153A5"/>
    <w:rsid w:val="00E154DA"/>
    <w:rsid w:val="00E15EA1"/>
    <w:rsid w:val="00E164EF"/>
    <w:rsid w:val="00E16E08"/>
    <w:rsid w:val="00E17203"/>
    <w:rsid w:val="00E17780"/>
    <w:rsid w:val="00E17A88"/>
    <w:rsid w:val="00E17BC1"/>
    <w:rsid w:val="00E17EBA"/>
    <w:rsid w:val="00E2033A"/>
    <w:rsid w:val="00E20348"/>
    <w:rsid w:val="00E2049D"/>
    <w:rsid w:val="00E2064B"/>
    <w:rsid w:val="00E208C0"/>
    <w:rsid w:val="00E20F6A"/>
    <w:rsid w:val="00E20F8F"/>
    <w:rsid w:val="00E21364"/>
    <w:rsid w:val="00E21A10"/>
    <w:rsid w:val="00E23233"/>
    <w:rsid w:val="00E233EA"/>
    <w:rsid w:val="00E23B4F"/>
    <w:rsid w:val="00E25239"/>
    <w:rsid w:val="00E25631"/>
    <w:rsid w:val="00E258D0"/>
    <w:rsid w:val="00E25B31"/>
    <w:rsid w:val="00E25E7E"/>
    <w:rsid w:val="00E2634B"/>
    <w:rsid w:val="00E26472"/>
    <w:rsid w:val="00E265B1"/>
    <w:rsid w:val="00E26BF1"/>
    <w:rsid w:val="00E26D5D"/>
    <w:rsid w:val="00E275B0"/>
    <w:rsid w:val="00E275CA"/>
    <w:rsid w:val="00E2766C"/>
    <w:rsid w:val="00E30652"/>
    <w:rsid w:val="00E30BA0"/>
    <w:rsid w:val="00E32418"/>
    <w:rsid w:val="00E3276F"/>
    <w:rsid w:val="00E32BF2"/>
    <w:rsid w:val="00E33627"/>
    <w:rsid w:val="00E33714"/>
    <w:rsid w:val="00E33C12"/>
    <w:rsid w:val="00E33DA1"/>
    <w:rsid w:val="00E33FD2"/>
    <w:rsid w:val="00E344B0"/>
    <w:rsid w:val="00E344E5"/>
    <w:rsid w:val="00E34B82"/>
    <w:rsid w:val="00E34BA9"/>
    <w:rsid w:val="00E34C43"/>
    <w:rsid w:val="00E35C0E"/>
    <w:rsid w:val="00E35E26"/>
    <w:rsid w:val="00E369A3"/>
    <w:rsid w:val="00E37208"/>
    <w:rsid w:val="00E372E7"/>
    <w:rsid w:val="00E406DE"/>
    <w:rsid w:val="00E40790"/>
    <w:rsid w:val="00E40F5A"/>
    <w:rsid w:val="00E412D0"/>
    <w:rsid w:val="00E412F7"/>
    <w:rsid w:val="00E4216E"/>
    <w:rsid w:val="00E43254"/>
    <w:rsid w:val="00E439FE"/>
    <w:rsid w:val="00E43AA8"/>
    <w:rsid w:val="00E446AD"/>
    <w:rsid w:val="00E446E6"/>
    <w:rsid w:val="00E44BC2"/>
    <w:rsid w:val="00E44CA7"/>
    <w:rsid w:val="00E44FE7"/>
    <w:rsid w:val="00E452E3"/>
    <w:rsid w:val="00E45AFD"/>
    <w:rsid w:val="00E45F0F"/>
    <w:rsid w:val="00E45F42"/>
    <w:rsid w:val="00E46005"/>
    <w:rsid w:val="00E463CD"/>
    <w:rsid w:val="00E473DA"/>
    <w:rsid w:val="00E47CDB"/>
    <w:rsid w:val="00E50424"/>
    <w:rsid w:val="00E50843"/>
    <w:rsid w:val="00E508A1"/>
    <w:rsid w:val="00E50D20"/>
    <w:rsid w:val="00E517CE"/>
    <w:rsid w:val="00E51A50"/>
    <w:rsid w:val="00E52559"/>
    <w:rsid w:val="00E529EF"/>
    <w:rsid w:val="00E5347F"/>
    <w:rsid w:val="00E53481"/>
    <w:rsid w:val="00E54309"/>
    <w:rsid w:val="00E547D6"/>
    <w:rsid w:val="00E5560A"/>
    <w:rsid w:val="00E55E4F"/>
    <w:rsid w:val="00E565CB"/>
    <w:rsid w:val="00E566BC"/>
    <w:rsid w:val="00E568FA"/>
    <w:rsid w:val="00E60982"/>
    <w:rsid w:val="00E609FF"/>
    <w:rsid w:val="00E60C8D"/>
    <w:rsid w:val="00E6162F"/>
    <w:rsid w:val="00E6311B"/>
    <w:rsid w:val="00E631F2"/>
    <w:rsid w:val="00E63584"/>
    <w:rsid w:val="00E6376F"/>
    <w:rsid w:val="00E647AD"/>
    <w:rsid w:val="00E64F06"/>
    <w:rsid w:val="00E65184"/>
    <w:rsid w:val="00E65840"/>
    <w:rsid w:val="00E65D97"/>
    <w:rsid w:val="00E65F4B"/>
    <w:rsid w:val="00E67AA1"/>
    <w:rsid w:val="00E67EFD"/>
    <w:rsid w:val="00E67F2B"/>
    <w:rsid w:val="00E701AC"/>
    <w:rsid w:val="00E70239"/>
    <w:rsid w:val="00E702DC"/>
    <w:rsid w:val="00E7036C"/>
    <w:rsid w:val="00E70E11"/>
    <w:rsid w:val="00E7105D"/>
    <w:rsid w:val="00E710BD"/>
    <w:rsid w:val="00E71636"/>
    <w:rsid w:val="00E71D0B"/>
    <w:rsid w:val="00E71FFB"/>
    <w:rsid w:val="00E7297A"/>
    <w:rsid w:val="00E72B94"/>
    <w:rsid w:val="00E734DE"/>
    <w:rsid w:val="00E73E4B"/>
    <w:rsid w:val="00E7484A"/>
    <w:rsid w:val="00E74AC7"/>
    <w:rsid w:val="00E763CB"/>
    <w:rsid w:val="00E76B6A"/>
    <w:rsid w:val="00E76C4C"/>
    <w:rsid w:val="00E76D1D"/>
    <w:rsid w:val="00E7711F"/>
    <w:rsid w:val="00E7719E"/>
    <w:rsid w:val="00E776DE"/>
    <w:rsid w:val="00E77E55"/>
    <w:rsid w:val="00E806F8"/>
    <w:rsid w:val="00E813A1"/>
    <w:rsid w:val="00E8299D"/>
    <w:rsid w:val="00E82F4A"/>
    <w:rsid w:val="00E83B6C"/>
    <w:rsid w:val="00E84AF9"/>
    <w:rsid w:val="00E85B2F"/>
    <w:rsid w:val="00E876E0"/>
    <w:rsid w:val="00E87752"/>
    <w:rsid w:val="00E8793B"/>
    <w:rsid w:val="00E90F81"/>
    <w:rsid w:val="00E91A6D"/>
    <w:rsid w:val="00E92357"/>
    <w:rsid w:val="00E9242D"/>
    <w:rsid w:val="00E92617"/>
    <w:rsid w:val="00E92C25"/>
    <w:rsid w:val="00E93320"/>
    <w:rsid w:val="00E93538"/>
    <w:rsid w:val="00E935F7"/>
    <w:rsid w:val="00E93769"/>
    <w:rsid w:val="00E939D2"/>
    <w:rsid w:val="00E93EBA"/>
    <w:rsid w:val="00E94851"/>
    <w:rsid w:val="00E94E70"/>
    <w:rsid w:val="00E95B77"/>
    <w:rsid w:val="00E95FFB"/>
    <w:rsid w:val="00E96588"/>
    <w:rsid w:val="00E97AF1"/>
    <w:rsid w:val="00EA0294"/>
    <w:rsid w:val="00EA0324"/>
    <w:rsid w:val="00EA16F1"/>
    <w:rsid w:val="00EA1929"/>
    <w:rsid w:val="00EA1AF5"/>
    <w:rsid w:val="00EA2331"/>
    <w:rsid w:val="00EA2953"/>
    <w:rsid w:val="00EA32E1"/>
    <w:rsid w:val="00EA39AE"/>
    <w:rsid w:val="00EA4E79"/>
    <w:rsid w:val="00EA61A7"/>
    <w:rsid w:val="00EA62EB"/>
    <w:rsid w:val="00EA758A"/>
    <w:rsid w:val="00EA79C3"/>
    <w:rsid w:val="00EA7DD7"/>
    <w:rsid w:val="00EB001D"/>
    <w:rsid w:val="00EB041C"/>
    <w:rsid w:val="00EB06DE"/>
    <w:rsid w:val="00EB0705"/>
    <w:rsid w:val="00EB08A9"/>
    <w:rsid w:val="00EB0D72"/>
    <w:rsid w:val="00EB19F4"/>
    <w:rsid w:val="00EB1DF3"/>
    <w:rsid w:val="00EB2632"/>
    <w:rsid w:val="00EB2A4A"/>
    <w:rsid w:val="00EB37C4"/>
    <w:rsid w:val="00EB3C68"/>
    <w:rsid w:val="00EB5B7E"/>
    <w:rsid w:val="00EB611C"/>
    <w:rsid w:val="00EB6613"/>
    <w:rsid w:val="00EB698C"/>
    <w:rsid w:val="00EB6FA6"/>
    <w:rsid w:val="00EB7321"/>
    <w:rsid w:val="00EB776F"/>
    <w:rsid w:val="00EB77C5"/>
    <w:rsid w:val="00EB7A5A"/>
    <w:rsid w:val="00EB7BA0"/>
    <w:rsid w:val="00EB7F1D"/>
    <w:rsid w:val="00EB7F9D"/>
    <w:rsid w:val="00EC031D"/>
    <w:rsid w:val="00EC03B7"/>
    <w:rsid w:val="00EC1AD2"/>
    <w:rsid w:val="00EC1D63"/>
    <w:rsid w:val="00EC220E"/>
    <w:rsid w:val="00EC227E"/>
    <w:rsid w:val="00EC2BCB"/>
    <w:rsid w:val="00EC343A"/>
    <w:rsid w:val="00EC3D18"/>
    <w:rsid w:val="00EC412D"/>
    <w:rsid w:val="00EC4336"/>
    <w:rsid w:val="00EC4443"/>
    <w:rsid w:val="00EC4666"/>
    <w:rsid w:val="00EC4D6B"/>
    <w:rsid w:val="00EC5165"/>
    <w:rsid w:val="00EC5874"/>
    <w:rsid w:val="00EC6020"/>
    <w:rsid w:val="00EC6FD7"/>
    <w:rsid w:val="00ED0479"/>
    <w:rsid w:val="00ED0570"/>
    <w:rsid w:val="00ED0AFE"/>
    <w:rsid w:val="00ED0F63"/>
    <w:rsid w:val="00ED1349"/>
    <w:rsid w:val="00ED192D"/>
    <w:rsid w:val="00ED1AAD"/>
    <w:rsid w:val="00ED27C7"/>
    <w:rsid w:val="00ED2B99"/>
    <w:rsid w:val="00ED2D16"/>
    <w:rsid w:val="00ED2D5A"/>
    <w:rsid w:val="00ED2FC9"/>
    <w:rsid w:val="00ED30B4"/>
    <w:rsid w:val="00ED31F5"/>
    <w:rsid w:val="00ED3B61"/>
    <w:rsid w:val="00ED3F57"/>
    <w:rsid w:val="00ED4033"/>
    <w:rsid w:val="00ED4182"/>
    <w:rsid w:val="00ED43F7"/>
    <w:rsid w:val="00ED52FC"/>
    <w:rsid w:val="00ED582B"/>
    <w:rsid w:val="00ED5875"/>
    <w:rsid w:val="00ED5AE9"/>
    <w:rsid w:val="00ED6A99"/>
    <w:rsid w:val="00ED6E6B"/>
    <w:rsid w:val="00ED7232"/>
    <w:rsid w:val="00ED7774"/>
    <w:rsid w:val="00ED7B47"/>
    <w:rsid w:val="00EE038D"/>
    <w:rsid w:val="00EE0C16"/>
    <w:rsid w:val="00EE0D9F"/>
    <w:rsid w:val="00EE1016"/>
    <w:rsid w:val="00EE2B16"/>
    <w:rsid w:val="00EE315A"/>
    <w:rsid w:val="00EE34F0"/>
    <w:rsid w:val="00EE471D"/>
    <w:rsid w:val="00EE4A9C"/>
    <w:rsid w:val="00EE4FB2"/>
    <w:rsid w:val="00EE50A6"/>
    <w:rsid w:val="00EE565B"/>
    <w:rsid w:val="00EE569C"/>
    <w:rsid w:val="00EE57A6"/>
    <w:rsid w:val="00EE5F5C"/>
    <w:rsid w:val="00EE671E"/>
    <w:rsid w:val="00EE67B5"/>
    <w:rsid w:val="00EE6BAF"/>
    <w:rsid w:val="00EE6BC0"/>
    <w:rsid w:val="00EF0BCB"/>
    <w:rsid w:val="00EF0BE3"/>
    <w:rsid w:val="00EF0EF1"/>
    <w:rsid w:val="00EF148A"/>
    <w:rsid w:val="00EF1BFA"/>
    <w:rsid w:val="00EF2192"/>
    <w:rsid w:val="00EF2759"/>
    <w:rsid w:val="00EF2D76"/>
    <w:rsid w:val="00EF4043"/>
    <w:rsid w:val="00EF45EB"/>
    <w:rsid w:val="00EF5099"/>
    <w:rsid w:val="00EF50F1"/>
    <w:rsid w:val="00EF5535"/>
    <w:rsid w:val="00EF5904"/>
    <w:rsid w:val="00EF5A50"/>
    <w:rsid w:val="00EF5E33"/>
    <w:rsid w:val="00EF627B"/>
    <w:rsid w:val="00EF6830"/>
    <w:rsid w:val="00EF6DA2"/>
    <w:rsid w:val="00EF7494"/>
    <w:rsid w:val="00EF7C1E"/>
    <w:rsid w:val="00F00075"/>
    <w:rsid w:val="00F00EEB"/>
    <w:rsid w:val="00F013BD"/>
    <w:rsid w:val="00F01B14"/>
    <w:rsid w:val="00F01BE7"/>
    <w:rsid w:val="00F01F5F"/>
    <w:rsid w:val="00F02A86"/>
    <w:rsid w:val="00F030E9"/>
    <w:rsid w:val="00F03571"/>
    <w:rsid w:val="00F0409B"/>
    <w:rsid w:val="00F04543"/>
    <w:rsid w:val="00F04711"/>
    <w:rsid w:val="00F048A5"/>
    <w:rsid w:val="00F04CA2"/>
    <w:rsid w:val="00F059A9"/>
    <w:rsid w:val="00F05A56"/>
    <w:rsid w:val="00F05B96"/>
    <w:rsid w:val="00F068C3"/>
    <w:rsid w:val="00F072A9"/>
    <w:rsid w:val="00F07822"/>
    <w:rsid w:val="00F10428"/>
    <w:rsid w:val="00F10EE7"/>
    <w:rsid w:val="00F112CE"/>
    <w:rsid w:val="00F1170B"/>
    <w:rsid w:val="00F11B4F"/>
    <w:rsid w:val="00F11B50"/>
    <w:rsid w:val="00F11BDC"/>
    <w:rsid w:val="00F11FBC"/>
    <w:rsid w:val="00F124CE"/>
    <w:rsid w:val="00F12606"/>
    <w:rsid w:val="00F129AB"/>
    <w:rsid w:val="00F12A46"/>
    <w:rsid w:val="00F12AAA"/>
    <w:rsid w:val="00F12FDE"/>
    <w:rsid w:val="00F1383A"/>
    <w:rsid w:val="00F14311"/>
    <w:rsid w:val="00F146B8"/>
    <w:rsid w:val="00F14D9C"/>
    <w:rsid w:val="00F15773"/>
    <w:rsid w:val="00F15C95"/>
    <w:rsid w:val="00F15E8B"/>
    <w:rsid w:val="00F16526"/>
    <w:rsid w:val="00F16F71"/>
    <w:rsid w:val="00F1748B"/>
    <w:rsid w:val="00F17742"/>
    <w:rsid w:val="00F17CB9"/>
    <w:rsid w:val="00F17FA2"/>
    <w:rsid w:val="00F20AC0"/>
    <w:rsid w:val="00F20B79"/>
    <w:rsid w:val="00F20EDE"/>
    <w:rsid w:val="00F223BB"/>
    <w:rsid w:val="00F22843"/>
    <w:rsid w:val="00F2288A"/>
    <w:rsid w:val="00F22985"/>
    <w:rsid w:val="00F23915"/>
    <w:rsid w:val="00F23C08"/>
    <w:rsid w:val="00F240BE"/>
    <w:rsid w:val="00F241AB"/>
    <w:rsid w:val="00F24801"/>
    <w:rsid w:val="00F24E60"/>
    <w:rsid w:val="00F250B1"/>
    <w:rsid w:val="00F2544A"/>
    <w:rsid w:val="00F25E31"/>
    <w:rsid w:val="00F26361"/>
    <w:rsid w:val="00F26B31"/>
    <w:rsid w:val="00F26B55"/>
    <w:rsid w:val="00F26D74"/>
    <w:rsid w:val="00F2741D"/>
    <w:rsid w:val="00F31122"/>
    <w:rsid w:val="00F31382"/>
    <w:rsid w:val="00F314F8"/>
    <w:rsid w:val="00F31B65"/>
    <w:rsid w:val="00F32352"/>
    <w:rsid w:val="00F324A3"/>
    <w:rsid w:val="00F3316D"/>
    <w:rsid w:val="00F337C2"/>
    <w:rsid w:val="00F340B6"/>
    <w:rsid w:val="00F34D42"/>
    <w:rsid w:val="00F35060"/>
    <w:rsid w:val="00F35484"/>
    <w:rsid w:val="00F3572B"/>
    <w:rsid w:val="00F35829"/>
    <w:rsid w:val="00F369F6"/>
    <w:rsid w:val="00F3744B"/>
    <w:rsid w:val="00F379A7"/>
    <w:rsid w:val="00F37C0C"/>
    <w:rsid w:val="00F37F90"/>
    <w:rsid w:val="00F4151F"/>
    <w:rsid w:val="00F422AF"/>
    <w:rsid w:val="00F42868"/>
    <w:rsid w:val="00F42FB9"/>
    <w:rsid w:val="00F43273"/>
    <w:rsid w:val="00F4431C"/>
    <w:rsid w:val="00F449E2"/>
    <w:rsid w:val="00F44E3F"/>
    <w:rsid w:val="00F45043"/>
    <w:rsid w:val="00F465A7"/>
    <w:rsid w:val="00F47FA1"/>
    <w:rsid w:val="00F50B7C"/>
    <w:rsid w:val="00F51557"/>
    <w:rsid w:val="00F5178F"/>
    <w:rsid w:val="00F5202D"/>
    <w:rsid w:val="00F523A1"/>
    <w:rsid w:val="00F52CF6"/>
    <w:rsid w:val="00F5304F"/>
    <w:rsid w:val="00F534B1"/>
    <w:rsid w:val="00F5353D"/>
    <w:rsid w:val="00F536E6"/>
    <w:rsid w:val="00F53B7A"/>
    <w:rsid w:val="00F54387"/>
    <w:rsid w:val="00F54496"/>
    <w:rsid w:val="00F54D81"/>
    <w:rsid w:val="00F55890"/>
    <w:rsid w:val="00F55BDA"/>
    <w:rsid w:val="00F561B6"/>
    <w:rsid w:val="00F56C79"/>
    <w:rsid w:val="00F5711D"/>
    <w:rsid w:val="00F5775D"/>
    <w:rsid w:val="00F579AA"/>
    <w:rsid w:val="00F57E05"/>
    <w:rsid w:val="00F600C7"/>
    <w:rsid w:val="00F60556"/>
    <w:rsid w:val="00F61097"/>
    <w:rsid w:val="00F61546"/>
    <w:rsid w:val="00F61ABD"/>
    <w:rsid w:val="00F61C4A"/>
    <w:rsid w:val="00F621E2"/>
    <w:rsid w:val="00F63347"/>
    <w:rsid w:val="00F63425"/>
    <w:rsid w:val="00F6345A"/>
    <w:rsid w:val="00F635B0"/>
    <w:rsid w:val="00F63699"/>
    <w:rsid w:val="00F637BA"/>
    <w:rsid w:val="00F63AD2"/>
    <w:rsid w:val="00F63F06"/>
    <w:rsid w:val="00F645C2"/>
    <w:rsid w:val="00F6645A"/>
    <w:rsid w:val="00F6660D"/>
    <w:rsid w:val="00F667CC"/>
    <w:rsid w:val="00F6701A"/>
    <w:rsid w:val="00F67164"/>
    <w:rsid w:val="00F67269"/>
    <w:rsid w:val="00F67659"/>
    <w:rsid w:val="00F67A2B"/>
    <w:rsid w:val="00F67F89"/>
    <w:rsid w:val="00F701D8"/>
    <w:rsid w:val="00F70308"/>
    <w:rsid w:val="00F704B8"/>
    <w:rsid w:val="00F704C7"/>
    <w:rsid w:val="00F70755"/>
    <w:rsid w:val="00F70B44"/>
    <w:rsid w:val="00F70D59"/>
    <w:rsid w:val="00F70E26"/>
    <w:rsid w:val="00F715FC"/>
    <w:rsid w:val="00F71AA3"/>
    <w:rsid w:val="00F72135"/>
    <w:rsid w:val="00F72275"/>
    <w:rsid w:val="00F72422"/>
    <w:rsid w:val="00F735A6"/>
    <w:rsid w:val="00F73A42"/>
    <w:rsid w:val="00F73C31"/>
    <w:rsid w:val="00F742C6"/>
    <w:rsid w:val="00F74345"/>
    <w:rsid w:val="00F74441"/>
    <w:rsid w:val="00F74DF8"/>
    <w:rsid w:val="00F75142"/>
    <w:rsid w:val="00F75289"/>
    <w:rsid w:val="00F765EF"/>
    <w:rsid w:val="00F7663D"/>
    <w:rsid w:val="00F76EB0"/>
    <w:rsid w:val="00F77A9C"/>
    <w:rsid w:val="00F77F30"/>
    <w:rsid w:val="00F82589"/>
    <w:rsid w:val="00F82B19"/>
    <w:rsid w:val="00F83169"/>
    <w:rsid w:val="00F83214"/>
    <w:rsid w:val="00F83F34"/>
    <w:rsid w:val="00F8517C"/>
    <w:rsid w:val="00F85242"/>
    <w:rsid w:val="00F85DBD"/>
    <w:rsid w:val="00F85EBB"/>
    <w:rsid w:val="00F85F7D"/>
    <w:rsid w:val="00F86443"/>
    <w:rsid w:val="00F86A69"/>
    <w:rsid w:val="00F8709C"/>
    <w:rsid w:val="00F87AB8"/>
    <w:rsid w:val="00F87ED6"/>
    <w:rsid w:val="00F9048B"/>
    <w:rsid w:val="00F90AA7"/>
    <w:rsid w:val="00F90EE4"/>
    <w:rsid w:val="00F91E5D"/>
    <w:rsid w:val="00F9212D"/>
    <w:rsid w:val="00F9237C"/>
    <w:rsid w:val="00F9275E"/>
    <w:rsid w:val="00F927DB"/>
    <w:rsid w:val="00F939FE"/>
    <w:rsid w:val="00F93B5C"/>
    <w:rsid w:val="00F93C4D"/>
    <w:rsid w:val="00F93D70"/>
    <w:rsid w:val="00F94759"/>
    <w:rsid w:val="00F958F1"/>
    <w:rsid w:val="00F960AC"/>
    <w:rsid w:val="00F963E1"/>
    <w:rsid w:val="00F96C30"/>
    <w:rsid w:val="00F97028"/>
    <w:rsid w:val="00F97335"/>
    <w:rsid w:val="00F974A4"/>
    <w:rsid w:val="00F97995"/>
    <w:rsid w:val="00FA2437"/>
    <w:rsid w:val="00FA2718"/>
    <w:rsid w:val="00FA301A"/>
    <w:rsid w:val="00FA311E"/>
    <w:rsid w:val="00FA3507"/>
    <w:rsid w:val="00FA3562"/>
    <w:rsid w:val="00FA3A48"/>
    <w:rsid w:val="00FA3BCD"/>
    <w:rsid w:val="00FA406A"/>
    <w:rsid w:val="00FA4855"/>
    <w:rsid w:val="00FA4CCB"/>
    <w:rsid w:val="00FA58A7"/>
    <w:rsid w:val="00FA5CB6"/>
    <w:rsid w:val="00FA6CA5"/>
    <w:rsid w:val="00FA712D"/>
    <w:rsid w:val="00FA7D93"/>
    <w:rsid w:val="00FB0244"/>
    <w:rsid w:val="00FB027C"/>
    <w:rsid w:val="00FB08C2"/>
    <w:rsid w:val="00FB0D14"/>
    <w:rsid w:val="00FB15C7"/>
    <w:rsid w:val="00FB15F8"/>
    <w:rsid w:val="00FB16F3"/>
    <w:rsid w:val="00FB173E"/>
    <w:rsid w:val="00FB2C34"/>
    <w:rsid w:val="00FB2F71"/>
    <w:rsid w:val="00FB2F8D"/>
    <w:rsid w:val="00FB3003"/>
    <w:rsid w:val="00FB30D5"/>
    <w:rsid w:val="00FB45FA"/>
    <w:rsid w:val="00FB46C5"/>
    <w:rsid w:val="00FB4A84"/>
    <w:rsid w:val="00FB4BE9"/>
    <w:rsid w:val="00FB4F5C"/>
    <w:rsid w:val="00FB53F3"/>
    <w:rsid w:val="00FB5410"/>
    <w:rsid w:val="00FB5A4B"/>
    <w:rsid w:val="00FB5A94"/>
    <w:rsid w:val="00FB6413"/>
    <w:rsid w:val="00FB6415"/>
    <w:rsid w:val="00FB6F70"/>
    <w:rsid w:val="00FB7C78"/>
    <w:rsid w:val="00FB7F44"/>
    <w:rsid w:val="00FC006E"/>
    <w:rsid w:val="00FC02BA"/>
    <w:rsid w:val="00FC0AF9"/>
    <w:rsid w:val="00FC0D31"/>
    <w:rsid w:val="00FC146A"/>
    <w:rsid w:val="00FC1E03"/>
    <w:rsid w:val="00FC32A5"/>
    <w:rsid w:val="00FC330F"/>
    <w:rsid w:val="00FC3482"/>
    <w:rsid w:val="00FC364E"/>
    <w:rsid w:val="00FC3B6A"/>
    <w:rsid w:val="00FC3C0C"/>
    <w:rsid w:val="00FC3E2F"/>
    <w:rsid w:val="00FC448C"/>
    <w:rsid w:val="00FC4A9E"/>
    <w:rsid w:val="00FC4DC6"/>
    <w:rsid w:val="00FC5AE8"/>
    <w:rsid w:val="00FC5B87"/>
    <w:rsid w:val="00FC5C69"/>
    <w:rsid w:val="00FC64B8"/>
    <w:rsid w:val="00FC66AC"/>
    <w:rsid w:val="00FC6F50"/>
    <w:rsid w:val="00FD0E29"/>
    <w:rsid w:val="00FD17CD"/>
    <w:rsid w:val="00FD18F4"/>
    <w:rsid w:val="00FD2463"/>
    <w:rsid w:val="00FD268F"/>
    <w:rsid w:val="00FD30AF"/>
    <w:rsid w:val="00FD3A81"/>
    <w:rsid w:val="00FD4A44"/>
    <w:rsid w:val="00FD4BCC"/>
    <w:rsid w:val="00FD59B9"/>
    <w:rsid w:val="00FD6099"/>
    <w:rsid w:val="00FD6145"/>
    <w:rsid w:val="00FD6D15"/>
    <w:rsid w:val="00FD6D75"/>
    <w:rsid w:val="00FD70F6"/>
    <w:rsid w:val="00FD74B4"/>
    <w:rsid w:val="00FD759F"/>
    <w:rsid w:val="00FE09E6"/>
    <w:rsid w:val="00FE1527"/>
    <w:rsid w:val="00FE2CAD"/>
    <w:rsid w:val="00FE33D9"/>
    <w:rsid w:val="00FE3611"/>
    <w:rsid w:val="00FE3A90"/>
    <w:rsid w:val="00FE3DE9"/>
    <w:rsid w:val="00FE4082"/>
    <w:rsid w:val="00FE40C8"/>
    <w:rsid w:val="00FE69A1"/>
    <w:rsid w:val="00FE72C5"/>
    <w:rsid w:val="00FF0057"/>
    <w:rsid w:val="00FF01E6"/>
    <w:rsid w:val="00FF020E"/>
    <w:rsid w:val="00FF1C6D"/>
    <w:rsid w:val="00FF29F6"/>
    <w:rsid w:val="00FF3456"/>
    <w:rsid w:val="00FF43A4"/>
    <w:rsid w:val="00FF4AF6"/>
    <w:rsid w:val="00FF4C86"/>
    <w:rsid w:val="00FF4FBA"/>
    <w:rsid w:val="00FF52A4"/>
    <w:rsid w:val="00FF5396"/>
    <w:rsid w:val="00FF56C8"/>
    <w:rsid w:val="00FF6321"/>
    <w:rsid w:val="00FF656D"/>
    <w:rsid w:val="00FF6792"/>
    <w:rsid w:val="00FF6AE3"/>
    <w:rsid w:val="00FF6E2B"/>
    <w:rsid w:val="00FF6EBA"/>
    <w:rsid w:val="00FF6FCE"/>
    <w:rsid w:val="00FF7518"/>
    <w:rsid w:val="00FF7767"/>
    <w:rsid w:val="00FF7D25"/>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0829F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allout" idref="#线形标注 1 14"/>
        <o:r id="V:Rule2" type="callout" idref="#线形标注 1 30"/>
      </o:rules>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0" w:semiHidden="0" w:name="Normal Indent"/>
    <w:lsdException w:uiPriority="0" w:name="footnote text"/>
    <w:lsdException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unhideWhenUsed="0" w:uiPriority="0" w:semiHidden="0" w:name="Body Text"/>
    <w:lsdException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ocked="1"/>
    <w:lsdException w:unhideWhenUsed="0" w:uiPriority="0" w:semiHidden="0" w:name="Emphasis" w:locked="1"/>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firstLine="0" w:firstLineChars="0"/>
      <w:jc w:val="center"/>
      <w:outlineLvl w:val="0"/>
    </w:pPr>
    <w:rPr>
      <w:rFonts w:eastAsia="黑体"/>
      <w:b/>
      <w:bCs/>
      <w:color w:val="000000"/>
      <w:kern w:val="44"/>
      <w:sz w:val="30"/>
      <w:szCs w:val="30"/>
    </w:rPr>
  </w:style>
  <w:style w:type="paragraph" w:styleId="3">
    <w:name w:val="heading 2"/>
    <w:basedOn w:val="1"/>
    <w:next w:val="1"/>
    <w:link w:val="89"/>
    <w:semiHidden/>
    <w:unhideWhenUsed/>
    <w:qFormat/>
    <w:locked/>
    <w:uiPriority w:val="0"/>
    <w:pPr>
      <w:keepNext/>
      <w:keepLines/>
      <w:spacing w:before="260" w:after="260" w:line="416" w:lineRule="auto"/>
      <w:ind w:firstLine="0" w:firstLineChars="0"/>
      <w:outlineLvl w:val="1"/>
    </w:pPr>
    <w:rPr>
      <w:rFonts w:ascii="Cambria" w:hAnsi="Cambria"/>
      <w:b/>
      <w:bCs/>
      <w:sz w:val="32"/>
      <w:szCs w:val="32"/>
    </w:rPr>
  </w:style>
  <w:style w:type="paragraph" w:styleId="4">
    <w:name w:val="heading 3"/>
    <w:basedOn w:val="1"/>
    <w:next w:val="1"/>
    <w:link w:val="72"/>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90"/>
    <w:semiHidden/>
    <w:unhideWhenUsed/>
    <w:qFormat/>
    <w:locked/>
    <w:uiPriority w:val="0"/>
    <w:pPr>
      <w:keepNext/>
      <w:keepLines/>
      <w:spacing w:before="280" w:after="290" w:line="376" w:lineRule="auto"/>
      <w:ind w:firstLine="0" w:firstLineChars="0"/>
      <w:outlineLvl w:val="3"/>
    </w:pPr>
    <w:rPr>
      <w:rFonts w:asciiTheme="majorHAnsi" w:hAnsiTheme="majorHAnsi" w:eastAsiaTheme="majorEastAsia" w:cstheme="majorBidi"/>
      <w:b/>
      <w:bCs/>
      <w:sz w:val="28"/>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6">
    <w:name w:val="Normal Indent"/>
    <w:basedOn w:val="1"/>
    <w:link w:val="59"/>
    <w:unhideWhenUsed/>
    <w:qFormat/>
    <w:uiPriority w:val="0"/>
    <w:pPr>
      <w:ind w:firstLine="420"/>
    </w:pPr>
    <w:rPr>
      <w:rFonts w:ascii="Arial" w:hAnsi="Arial" w:eastAsia="仿宋_GB2312"/>
      <w:bCs/>
      <w:sz w:val="28"/>
      <w:szCs w:val="21"/>
    </w:rPr>
  </w:style>
  <w:style w:type="paragraph" w:styleId="7">
    <w:name w:val="caption"/>
    <w:basedOn w:val="1"/>
    <w:next w:val="1"/>
    <w:autoRedefine/>
    <w:semiHidden/>
    <w:unhideWhenUsed/>
    <w:qFormat/>
    <w:locked/>
    <w:uiPriority w:val="0"/>
    <w:rPr>
      <w:rFonts w:eastAsia="黑体" w:asciiTheme="majorHAnsi" w:hAnsiTheme="majorHAnsi" w:cstheme="majorBidi"/>
      <w:sz w:val="20"/>
      <w:szCs w:val="20"/>
    </w:rPr>
  </w:style>
  <w:style w:type="paragraph" w:styleId="8">
    <w:name w:val="Document Map"/>
    <w:basedOn w:val="1"/>
    <w:link w:val="107"/>
    <w:autoRedefine/>
    <w:qFormat/>
    <w:uiPriority w:val="0"/>
    <w:rPr>
      <w:rFonts w:ascii="宋体"/>
      <w:sz w:val="18"/>
      <w:szCs w:val="18"/>
    </w:rPr>
  </w:style>
  <w:style w:type="paragraph" w:styleId="9">
    <w:name w:val="annotation text"/>
    <w:basedOn w:val="1"/>
    <w:link w:val="39"/>
    <w:semiHidden/>
    <w:uiPriority w:val="0"/>
    <w:pPr>
      <w:jc w:val="left"/>
    </w:pPr>
    <w:rPr>
      <w:kern w:val="0"/>
      <w:szCs w:val="20"/>
    </w:rPr>
  </w:style>
  <w:style w:type="paragraph" w:styleId="10">
    <w:name w:val="Body Text"/>
    <w:basedOn w:val="1"/>
    <w:link w:val="30"/>
    <w:uiPriority w:val="0"/>
    <w:pPr>
      <w:widowControl/>
      <w:snapToGrid w:val="0"/>
      <w:spacing w:before="60" w:after="160" w:line="259" w:lineRule="auto"/>
      <w:ind w:right="113"/>
    </w:pPr>
    <w:rPr>
      <w:kern w:val="0"/>
      <w:sz w:val="18"/>
      <w:szCs w:val="20"/>
    </w:rPr>
  </w:style>
  <w:style w:type="paragraph" w:styleId="11">
    <w:name w:val="Body Text Indent"/>
    <w:basedOn w:val="1"/>
    <w:link w:val="41"/>
    <w:semiHidden/>
    <w:uiPriority w:val="0"/>
    <w:pPr>
      <w:spacing w:after="120"/>
      <w:ind w:left="420" w:leftChars="200"/>
    </w:pPr>
    <w:rPr>
      <w:kern w:val="0"/>
    </w:rPr>
  </w:style>
  <w:style w:type="paragraph" w:styleId="12">
    <w:name w:val="Plain Text"/>
    <w:basedOn w:val="1"/>
    <w:link w:val="71"/>
    <w:autoRedefine/>
    <w:qFormat/>
    <w:uiPriority w:val="99"/>
    <w:rPr>
      <w:rFonts w:ascii="宋体" w:hAnsi="Courier New"/>
      <w:sz w:val="26"/>
      <w:szCs w:val="20"/>
    </w:rPr>
  </w:style>
  <w:style w:type="paragraph" w:styleId="13">
    <w:name w:val="Date"/>
    <w:basedOn w:val="1"/>
    <w:next w:val="1"/>
    <w:link w:val="32"/>
    <w:uiPriority w:val="0"/>
    <w:pPr>
      <w:ind w:left="100" w:leftChars="2500"/>
    </w:pPr>
    <w:rPr>
      <w:kern w:val="0"/>
      <w:szCs w:val="20"/>
    </w:rPr>
  </w:style>
  <w:style w:type="paragraph" w:styleId="14">
    <w:name w:val="Body Text Indent 2"/>
    <w:basedOn w:val="1"/>
    <w:link w:val="47"/>
    <w:unhideWhenUsed/>
    <w:qFormat/>
    <w:uiPriority w:val="99"/>
    <w:pPr>
      <w:spacing w:after="120" w:line="480" w:lineRule="auto"/>
      <w:ind w:left="420" w:leftChars="200"/>
    </w:pPr>
  </w:style>
  <w:style w:type="paragraph" w:styleId="15">
    <w:name w:val="Balloon Text"/>
    <w:basedOn w:val="1"/>
    <w:link w:val="38"/>
    <w:semiHidden/>
    <w:uiPriority w:val="0"/>
    <w:rPr>
      <w:kern w:val="0"/>
      <w:sz w:val="18"/>
      <w:szCs w:val="18"/>
    </w:rPr>
  </w:style>
  <w:style w:type="paragraph" w:styleId="16">
    <w:name w:val="footer"/>
    <w:basedOn w:val="1"/>
    <w:link w:val="29"/>
    <w:autoRedefine/>
    <w:qFormat/>
    <w:uiPriority w:val="0"/>
    <w:pPr>
      <w:tabs>
        <w:tab w:val="center" w:pos="4153"/>
        <w:tab w:val="right" w:pos="8306"/>
      </w:tabs>
      <w:snapToGrid w:val="0"/>
      <w:jc w:val="left"/>
    </w:pPr>
    <w:rPr>
      <w:kern w:val="0"/>
      <w:sz w:val="18"/>
      <w:szCs w:val="18"/>
    </w:rPr>
  </w:style>
  <w:style w:type="paragraph" w:styleId="17">
    <w:name w:val="header"/>
    <w:basedOn w:val="1"/>
    <w:link w:val="28"/>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index heading"/>
    <w:basedOn w:val="1"/>
    <w:next w:val="19"/>
    <w:autoRedefine/>
    <w:qFormat/>
    <w:uiPriority w:val="0"/>
    <w:pPr>
      <w:widowControl/>
      <w:spacing w:line="240" w:lineRule="auto"/>
      <w:ind w:firstLine="0" w:firstLineChars="0"/>
      <w:jc w:val="left"/>
    </w:pPr>
    <w:rPr>
      <w:rFonts w:ascii="宋体" w:hAnsi="宋体" w:cs="宋体"/>
      <w:color w:val="000000"/>
    </w:rPr>
  </w:style>
  <w:style w:type="paragraph" w:styleId="19">
    <w:name w:val="index 1"/>
    <w:basedOn w:val="1"/>
    <w:next w:val="1"/>
    <w:autoRedefine/>
    <w:unhideWhenUsed/>
    <w:uiPriority w:val="0"/>
    <w:pPr>
      <w:spacing w:line="480" w:lineRule="exact"/>
    </w:pPr>
  </w:style>
  <w:style w:type="paragraph" w:styleId="20">
    <w:name w:val="Normal (Web)"/>
    <w:basedOn w:val="1"/>
    <w:link w:val="31"/>
    <w:autoRedefine/>
    <w:qFormat/>
    <w:uiPriority w:val="0"/>
    <w:pPr>
      <w:widowControl/>
      <w:spacing w:before="100" w:beforeAutospacing="1" w:after="100" w:afterAutospacing="1"/>
      <w:jc w:val="left"/>
    </w:pPr>
    <w:rPr>
      <w:rFonts w:ascii="宋体" w:hAnsi="宋体"/>
      <w:kern w:val="0"/>
      <w:szCs w:val="20"/>
    </w:rPr>
  </w:style>
  <w:style w:type="paragraph" w:styleId="21">
    <w:name w:val="annotation subject"/>
    <w:basedOn w:val="9"/>
    <w:next w:val="9"/>
    <w:link w:val="42"/>
    <w:semiHidden/>
    <w:uiPriority w:val="0"/>
    <w:rPr>
      <w:b/>
      <w:bCs/>
      <w:kern w:val="2"/>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autoRedefine/>
    <w:qFormat/>
    <w:uiPriority w:val="0"/>
  </w:style>
  <w:style w:type="character" w:styleId="26">
    <w:name w:val="Hyperlink"/>
    <w:basedOn w:val="24"/>
    <w:autoRedefine/>
    <w:unhideWhenUsed/>
    <w:qFormat/>
    <w:uiPriority w:val="99"/>
    <w:rPr>
      <w:color w:val="0000FF"/>
      <w:u w:val="single"/>
    </w:rPr>
  </w:style>
  <w:style w:type="character" w:styleId="27">
    <w:name w:val="annotation reference"/>
    <w:autoRedefine/>
    <w:semiHidden/>
    <w:qFormat/>
    <w:uiPriority w:val="0"/>
    <w:rPr>
      <w:sz w:val="21"/>
    </w:rPr>
  </w:style>
  <w:style w:type="character" w:customStyle="1" w:styleId="28">
    <w:name w:val="页眉 Char"/>
    <w:link w:val="17"/>
    <w:locked/>
    <w:uiPriority w:val="0"/>
    <w:rPr>
      <w:rFonts w:cs="Times New Roman"/>
      <w:sz w:val="18"/>
      <w:szCs w:val="18"/>
    </w:rPr>
  </w:style>
  <w:style w:type="character" w:customStyle="1" w:styleId="29">
    <w:name w:val="页脚 Char"/>
    <w:link w:val="16"/>
    <w:locked/>
    <w:uiPriority w:val="0"/>
    <w:rPr>
      <w:rFonts w:cs="Times New Roman"/>
      <w:sz w:val="18"/>
      <w:szCs w:val="18"/>
    </w:rPr>
  </w:style>
  <w:style w:type="character" w:customStyle="1" w:styleId="30">
    <w:name w:val="正文文本 Char"/>
    <w:link w:val="10"/>
    <w:locked/>
    <w:uiPriority w:val="0"/>
    <w:rPr>
      <w:sz w:val="18"/>
    </w:rPr>
  </w:style>
  <w:style w:type="character" w:customStyle="1" w:styleId="31">
    <w:name w:val="普通(网站) Char1"/>
    <w:link w:val="20"/>
    <w:autoRedefine/>
    <w:qFormat/>
    <w:locked/>
    <w:uiPriority w:val="0"/>
    <w:rPr>
      <w:rFonts w:ascii="宋体" w:hAnsi="宋体" w:eastAsia="宋体"/>
      <w:sz w:val="24"/>
    </w:rPr>
  </w:style>
  <w:style w:type="character" w:customStyle="1" w:styleId="32">
    <w:name w:val="日期 Char"/>
    <w:link w:val="13"/>
    <w:locked/>
    <w:uiPriority w:val="0"/>
    <w:rPr>
      <w:rFonts w:ascii="Times New Roman" w:hAnsi="Times New Roman" w:eastAsia="宋体"/>
      <w:sz w:val="24"/>
    </w:rPr>
  </w:style>
  <w:style w:type="character" w:customStyle="1" w:styleId="33">
    <w:name w:val="日期 字符"/>
    <w:semiHidden/>
    <w:uiPriority w:val="0"/>
    <w:rPr>
      <w:rFonts w:ascii="Times New Roman" w:hAnsi="Times New Roman" w:eastAsia="宋体" w:cs="Times New Roman"/>
      <w:sz w:val="24"/>
      <w:szCs w:val="24"/>
    </w:rPr>
  </w:style>
  <w:style w:type="character" w:customStyle="1" w:styleId="34">
    <w:name w:val="正文文本 字符1"/>
    <w:autoRedefine/>
    <w:semiHidden/>
    <w:qFormat/>
    <w:uiPriority w:val="0"/>
    <w:rPr>
      <w:rFonts w:ascii="Times New Roman" w:hAnsi="Times New Roman" w:eastAsia="宋体" w:cs="Times New Roman"/>
      <w:sz w:val="24"/>
      <w:szCs w:val="24"/>
    </w:rPr>
  </w:style>
  <w:style w:type="paragraph" w:customStyle="1" w:styleId="35">
    <w:name w:val="普通(网站)2"/>
    <w:basedOn w:val="1"/>
    <w:uiPriority w:val="0"/>
    <w:pPr>
      <w:widowControl/>
      <w:spacing w:before="100" w:beforeAutospacing="1" w:after="100" w:afterAutospacing="1"/>
      <w:jc w:val="left"/>
    </w:pPr>
    <w:rPr>
      <w:rFonts w:ascii="宋体" w:hAnsi="宋体"/>
      <w:szCs w:val="20"/>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uiPriority w:val="0"/>
    <w:pPr>
      <w:adjustRightInd w:val="0"/>
      <w:snapToGrid w:val="0"/>
      <w:spacing w:beforeLines="10" w:afterLines="10" w:line="259" w:lineRule="auto"/>
      <w:jc w:val="center"/>
    </w:pPr>
    <w:rPr>
      <w:rFonts w:ascii="宋体"/>
      <w:kern w:val="0"/>
      <w:szCs w:val="20"/>
    </w:rPr>
  </w:style>
  <w:style w:type="character" w:customStyle="1" w:styleId="38">
    <w:name w:val="批注框文本 Char"/>
    <w:link w:val="15"/>
    <w:autoRedefine/>
    <w:semiHidden/>
    <w:locked/>
    <w:uiPriority w:val="0"/>
    <w:rPr>
      <w:rFonts w:ascii="Times New Roman" w:hAnsi="Times New Roman" w:eastAsia="宋体" w:cs="Times New Roman"/>
      <w:sz w:val="18"/>
      <w:szCs w:val="18"/>
    </w:rPr>
  </w:style>
  <w:style w:type="character" w:customStyle="1" w:styleId="39">
    <w:name w:val="批注文字 Char"/>
    <w:link w:val="9"/>
    <w:autoRedefine/>
    <w:qFormat/>
    <w:locked/>
    <w:uiPriority w:val="0"/>
    <w:rPr>
      <w:rFonts w:ascii="Times New Roman" w:hAnsi="Times New Roman" w:eastAsia="宋体"/>
      <w:sz w:val="24"/>
    </w:rPr>
  </w:style>
  <w:style w:type="character" w:customStyle="1" w:styleId="40">
    <w:name w:val="批注文字 字符1"/>
    <w:semiHidden/>
    <w:uiPriority w:val="0"/>
    <w:rPr>
      <w:rFonts w:ascii="Times New Roman" w:hAnsi="Times New Roman" w:eastAsia="宋体" w:cs="Times New Roman"/>
      <w:sz w:val="24"/>
      <w:szCs w:val="24"/>
    </w:rPr>
  </w:style>
  <w:style w:type="character" w:customStyle="1" w:styleId="41">
    <w:name w:val="正文文本缩进 Char"/>
    <w:link w:val="11"/>
    <w:semiHidden/>
    <w:locked/>
    <w:uiPriority w:val="0"/>
    <w:rPr>
      <w:rFonts w:ascii="Times New Roman" w:hAnsi="Times New Roman" w:eastAsia="宋体" w:cs="Times New Roman"/>
      <w:sz w:val="24"/>
      <w:szCs w:val="24"/>
    </w:rPr>
  </w:style>
  <w:style w:type="character" w:customStyle="1" w:styleId="42">
    <w:name w:val="批注主题 Char"/>
    <w:link w:val="21"/>
    <w:semiHidden/>
    <w:locked/>
    <w:uiPriority w:val="0"/>
    <w:rPr>
      <w:rFonts w:ascii="Times New Roman" w:hAnsi="Times New Roman" w:eastAsia="宋体" w:cs="Times New Roman"/>
      <w:b/>
      <w:bCs/>
      <w:kern w:val="2"/>
      <w:sz w:val="24"/>
      <w:szCs w:val="24"/>
    </w:rPr>
  </w:style>
  <w:style w:type="character" w:customStyle="1" w:styleId="43">
    <w:name w:val="普通(网站) Char"/>
    <w:locked/>
    <w:uiPriority w:val="0"/>
    <w:rPr>
      <w:rFonts w:ascii="宋体" w:hAnsi="宋体" w:eastAsia="宋体"/>
      <w:sz w:val="24"/>
    </w:rPr>
  </w:style>
  <w:style w:type="character" w:customStyle="1" w:styleId="44">
    <w:name w:val="样式 正文 首行缩进:  2 字符 SL CON + 首行缩进:  2 字符 Char"/>
    <w:link w:val="45"/>
    <w:qFormat/>
    <w:locked/>
    <w:uiPriority w:val="0"/>
    <w:rPr>
      <w:sz w:val="24"/>
      <w:szCs w:val="21"/>
    </w:rPr>
  </w:style>
  <w:style w:type="paragraph" w:customStyle="1" w:styleId="45">
    <w:name w:val="样式 正文 首行缩进:  2 字符 SL CON + 首行缩进:  2 字符"/>
    <w:basedOn w:val="1"/>
    <w:link w:val="44"/>
    <w:qFormat/>
    <w:uiPriority w:val="0"/>
    <w:pPr>
      <w:widowControl/>
      <w:tabs>
        <w:tab w:val="left" w:pos="377"/>
      </w:tabs>
      <w:ind w:firstLine="480"/>
    </w:pPr>
    <w:rPr>
      <w:kern w:val="0"/>
      <w:szCs w:val="21"/>
    </w:rPr>
  </w:style>
  <w:style w:type="paragraph" w:customStyle="1" w:styleId="46">
    <w:name w:val="二级标题"/>
    <w:basedOn w:val="1"/>
    <w:uiPriority w:val="0"/>
    <w:pPr>
      <w:autoSpaceDE w:val="0"/>
      <w:autoSpaceDN w:val="0"/>
      <w:adjustRightInd w:val="0"/>
      <w:spacing w:before="100" w:beforeAutospacing="1" w:after="100" w:afterAutospacing="1"/>
      <w:ind w:left="159"/>
      <w:jc w:val="left"/>
      <w:outlineLvl w:val="1"/>
    </w:pPr>
    <w:rPr>
      <w:b/>
      <w:bCs/>
      <w:sz w:val="32"/>
      <w:szCs w:val="32"/>
    </w:rPr>
  </w:style>
  <w:style w:type="character" w:customStyle="1" w:styleId="47">
    <w:name w:val="正文文本缩进 2 Char1"/>
    <w:link w:val="14"/>
    <w:qFormat/>
    <w:uiPriority w:val="99"/>
    <w:rPr>
      <w:kern w:val="2"/>
      <w:sz w:val="21"/>
      <w:szCs w:val="24"/>
    </w:rPr>
  </w:style>
  <w:style w:type="paragraph" w:customStyle="1" w:styleId="4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9">
    <w:name w:val="表内文字 Char"/>
    <w:link w:val="50"/>
    <w:locked/>
    <w:uiPriority w:val="0"/>
    <w:rPr>
      <w:rFonts w:ascii="宋体" w:hAnsi="宋体" w:cs="宋体"/>
      <w:kern w:val="2"/>
      <w:sz w:val="21"/>
    </w:rPr>
  </w:style>
  <w:style w:type="paragraph" w:customStyle="1" w:styleId="50">
    <w:name w:val="表内文字"/>
    <w:basedOn w:val="1"/>
    <w:link w:val="49"/>
    <w:autoRedefine/>
    <w:qFormat/>
    <w:uiPriority w:val="0"/>
    <w:pPr>
      <w:spacing w:line="0" w:lineRule="atLeast"/>
      <w:jc w:val="center"/>
    </w:pPr>
    <w:rPr>
      <w:rFonts w:ascii="宋体" w:hAnsi="宋体"/>
      <w:szCs w:val="20"/>
    </w:rPr>
  </w:style>
  <w:style w:type="character" w:customStyle="1" w:styleId="51">
    <w:name w:val="表头 Char"/>
    <w:link w:val="52"/>
    <w:autoRedefine/>
    <w:semiHidden/>
    <w:qFormat/>
    <w:locked/>
    <w:uiPriority w:val="0"/>
    <w:rPr>
      <w:spacing w:val="2"/>
      <w:kern w:val="2"/>
      <w:sz w:val="26"/>
    </w:rPr>
  </w:style>
  <w:style w:type="paragraph" w:customStyle="1" w:styleId="52">
    <w:name w:val="表头"/>
    <w:basedOn w:val="1"/>
    <w:link w:val="51"/>
    <w:semiHidden/>
    <w:uiPriority w:val="0"/>
    <w:pPr>
      <w:adjustRightInd w:val="0"/>
      <w:snapToGrid w:val="0"/>
      <w:spacing w:line="460" w:lineRule="exact"/>
      <w:jc w:val="center"/>
    </w:pPr>
    <w:rPr>
      <w:spacing w:val="2"/>
      <w:sz w:val="26"/>
      <w:szCs w:val="20"/>
    </w:rPr>
  </w:style>
  <w:style w:type="paragraph" w:customStyle="1" w:styleId="53">
    <w:name w:val="表芯"/>
    <w:basedOn w:val="1"/>
    <w:next w:val="1"/>
    <w:qFormat/>
    <w:uiPriority w:val="0"/>
    <w:pPr>
      <w:keepNext/>
      <w:adjustRightInd w:val="0"/>
      <w:spacing w:before="20" w:line="0" w:lineRule="atLeast"/>
      <w:jc w:val="center"/>
    </w:pPr>
    <w:rPr>
      <w:kern w:val="21"/>
      <w:szCs w:val="20"/>
    </w:rPr>
  </w:style>
  <w:style w:type="character" w:customStyle="1" w:styleId="54">
    <w:name w:val="样式 标题ljm + 首行缩进:  2 字符 Char Char Char"/>
    <w:link w:val="55"/>
    <w:locked/>
    <w:uiPriority w:val="0"/>
    <w:rPr>
      <w:b/>
      <w:bCs/>
      <w:kern w:val="2"/>
      <w:sz w:val="24"/>
      <w:szCs w:val="24"/>
    </w:rPr>
  </w:style>
  <w:style w:type="paragraph" w:customStyle="1" w:styleId="55">
    <w:name w:val="样式 标题ljm + 首行缩进:  2 字符"/>
    <w:basedOn w:val="1"/>
    <w:link w:val="54"/>
    <w:qFormat/>
    <w:uiPriority w:val="0"/>
    <w:pPr>
      <w:outlineLvl w:val="0"/>
    </w:pPr>
    <w:rPr>
      <w:b/>
      <w:bCs/>
    </w:rPr>
  </w:style>
  <w:style w:type="character" w:customStyle="1" w:styleId="56">
    <w:name w:val="表格内容 Char"/>
    <w:link w:val="57"/>
    <w:qFormat/>
    <w:locked/>
    <w:uiPriority w:val="0"/>
    <w:rPr>
      <w:sz w:val="21"/>
      <w:szCs w:val="21"/>
    </w:rPr>
  </w:style>
  <w:style w:type="paragraph" w:customStyle="1" w:styleId="57">
    <w:name w:val="表格内容"/>
    <w:link w:val="56"/>
    <w:autoRedefine/>
    <w:qFormat/>
    <w:uiPriority w:val="0"/>
    <w:pPr>
      <w:jc w:val="center"/>
    </w:pPr>
    <w:rPr>
      <w:rFonts w:ascii="Times New Roman" w:hAnsi="Times New Roman" w:eastAsia="宋体" w:cs="Times New Roman"/>
      <w:sz w:val="21"/>
      <w:szCs w:val="21"/>
      <w:lang w:val="en-US" w:eastAsia="zh-CN" w:bidi="ar-SA"/>
    </w:rPr>
  </w:style>
  <w:style w:type="paragraph" w:customStyle="1" w:styleId="58">
    <w:name w:val="表格文字居中"/>
    <w:next w:val="1"/>
    <w:uiPriority w:val="0"/>
    <w:pPr>
      <w:adjustRightInd w:val="0"/>
      <w:snapToGrid w:val="0"/>
      <w:spacing w:line="336" w:lineRule="auto"/>
      <w:jc w:val="center"/>
    </w:pPr>
    <w:rPr>
      <w:rFonts w:ascii="Arial" w:hAnsi="Arial" w:eastAsia="宋体" w:cs="Times New Roman"/>
      <w:kern w:val="2"/>
      <w:sz w:val="21"/>
      <w:szCs w:val="24"/>
      <w:lang w:val="en-US" w:eastAsia="zh-CN" w:bidi="ar-SA"/>
    </w:rPr>
  </w:style>
  <w:style w:type="character" w:customStyle="1" w:styleId="59">
    <w:name w:val="正文缩进 Char"/>
    <w:link w:val="6"/>
    <w:autoRedefine/>
    <w:qFormat/>
    <w:locked/>
    <w:uiPriority w:val="0"/>
    <w:rPr>
      <w:rFonts w:ascii="Arial" w:hAnsi="Arial" w:eastAsia="仿宋_GB2312" w:cs="Courier New"/>
      <w:bCs/>
      <w:kern w:val="2"/>
      <w:sz w:val="28"/>
      <w:szCs w:val="21"/>
    </w:rPr>
  </w:style>
  <w:style w:type="paragraph" w:customStyle="1" w:styleId="60">
    <w:name w:val="!正文(alt+c)"/>
    <w:autoRedefine/>
    <w:qFormat/>
    <w:uiPriority w:val="0"/>
    <w:pPr>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61">
    <w:name w:val="Table Paragraph"/>
    <w:basedOn w:val="1"/>
    <w:autoRedefine/>
    <w:qFormat/>
    <w:uiPriority w:val="1"/>
    <w:pPr>
      <w:autoSpaceDE w:val="0"/>
      <w:autoSpaceDN w:val="0"/>
      <w:jc w:val="left"/>
    </w:pPr>
    <w:rPr>
      <w:rFonts w:ascii="宋体" w:hAnsi="宋体" w:cs="宋体"/>
      <w:kern w:val="0"/>
      <w:sz w:val="22"/>
      <w:szCs w:val="22"/>
    </w:rPr>
  </w:style>
  <w:style w:type="paragraph" w:customStyle="1" w:styleId="62">
    <w:name w:val="正文1"/>
    <w:autoRedefine/>
    <w:qFormat/>
    <w:uiPriority w:val="0"/>
    <w:pPr>
      <w:jc w:val="both"/>
    </w:pPr>
    <w:rPr>
      <w:rFonts w:ascii="宋体" w:hAnsi="宋体" w:eastAsia="宋体" w:cs="宋体"/>
      <w:kern w:val="2"/>
      <w:sz w:val="21"/>
      <w:szCs w:val="21"/>
      <w:lang w:val="en-US" w:eastAsia="zh-CN" w:bidi="ar-SA"/>
    </w:rPr>
  </w:style>
  <w:style w:type="character" w:customStyle="1" w:styleId="63">
    <w:name w:val="fontstyle01"/>
    <w:autoRedefine/>
    <w:qFormat/>
    <w:uiPriority w:val="0"/>
    <w:rPr>
      <w:rFonts w:hint="eastAsia" w:ascii="宋体" w:hAnsi="宋体" w:eastAsia="宋体"/>
      <w:color w:val="333333"/>
      <w:sz w:val="22"/>
      <w:szCs w:val="22"/>
    </w:rPr>
  </w:style>
  <w:style w:type="character" w:customStyle="1" w:styleId="64">
    <w:name w:val="表格 Char Char"/>
    <w:autoRedefine/>
    <w:qFormat/>
    <w:uiPriority w:val="0"/>
    <w:rPr>
      <w:rFonts w:eastAsia="宋体"/>
      <w:kern w:val="2"/>
      <w:sz w:val="21"/>
      <w:lang w:val="en-US" w:eastAsia="zh-CN" w:bidi="ar-SA"/>
    </w:rPr>
  </w:style>
  <w:style w:type="character" w:customStyle="1" w:styleId="65">
    <w:name w:val="fontstyle21"/>
    <w:autoRedefine/>
    <w:qFormat/>
    <w:uiPriority w:val="0"/>
    <w:rPr>
      <w:rFonts w:hint="default" w:ascii="Times New Roman" w:hAnsi="Times New Roman" w:cs="Times New Roman"/>
      <w:color w:val="000000"/>
      <w:sz w:val="24"/>
      <w:szCs w:val="24"/>
    </w:rPr>
  </w:style>
  <w:style w:type="character" w:customStyle="1" w:styleId="66">
    <w:name w:val="样式 正文 首行缩进:  2 字符 SL CON + 首行缩进:  2 字符 Char Char"/>
    <w:autoRedefine/>
    <w:qFormat/>
    <w:locked/>
    <w:uiPriority w:val="0"/>
    <w:rPr>
      <w:rFonts w:ascii="宋体" w:hAnsi="宋体" w:cs="宋体"/>
      <w:sz w:val="24"/>
    </w:rPr>
  </w:style>
  <w:style w:type="character" w:customStyle="1" w:styleId="67">
    <w:name w:val="正文缩进 字符"/>
    <w:autoRedefine/>
    <w:qFormat/>
    <w:locked/>
    <w:uiPriority w:val="0"/>
    <w:rPr>
      <w:rFonts w:ascii="Arial" w:hAnsi="Arial" w:eastAsia="仿宋_GB2312" w:cs="Courier New"/>
      <w:bCs/>
      <w:kern w:val="2"/>
      <w:sz w:val="28"/>
      <w:szCs w:val="21"/>
    </w:rPr>
  </w:style>
  <w:style w:type="character" w:customStyle="1" w:styleId="68">
    <w:name w:val="font31"/>
    <w:autoRedefine/>
    <w:qFormat/>
    <w:uiPriority w:val="0"/>
    <w:rPr>
      <w:rFonts w:hint="eastAsia" w:ascii="宋体" w:hAnsi="宋体" w:eastAsia="宋体"/>
      <w:color w:val="0070C0"/>
      <w:sz w:val="22"/>
      <w:szCs w:val="22"/>
      <w:u w:val="none"/>
    </w:rPr>
  </w:style>
  <w:style w:type="character" w:customStyle="1" w:styleId="69">
    <w:name w:val="font21"/>
    <w:autoRedefine/>
    <w:qFormat/>
    <w:uiPriority w:val="0"/>
    <w:rPr>
      <w:rFonts w:hint="default" w:ascii="Arial" w:hAnsi="Arial" w:cs="Arial"/>
      <w:color w:val="0070C0"/>
      <w:sz w:val="22"/>
      <w:szCs w:val="22"/>
      <w:u w:val="none"/>
    </w:rPr>
  </w:style>
  <w:style w:type="character" w:customStyle="1" w:styleId="70">
    <w:name w:val="纯文本 字符"/>
    <w:autoRedefine/>
    <w:qFormat/>
    <w:uiPriority w:val="0"/>
    <w:rPr>
      <w:rFonts w:ascii="宋体" w:hAnsi="Courier New" w:cs="Courier New"/>
      <w:kern w:val="2"/>
      <w:sz w:val="21"/>
      <w:szCs w:val="21"/>
    </w:rPr>
  </w:style>
  <w:style w:type="character" w:customStyle="1" w:styleId="71">
    <w:name w:val="纯文本 Char"/>
    <w:link w:val="12"/>
    <w:autoRedefine/>
    <w:qFormat/>
    <w:uiPriority w:val="99"/>
    <w:rPr>
      <w:rFonts w:ascii="宋体" w:hAnsi="Courier New"/>
      <w:kern w:val="2"/>
      <w:sz w:val="26"/>
    </w:rPr>
  </w:style>
  <w:style w:type="character" w:customStyle="1" w:styleId="72">
    <w:name w:val="标题 3 Char"/>
    <w:basedOn w:val="24"/>
    <w:link w:val="4"/>
    <w:autoRedefine/>
    <w:semiHidden/>
    <w:qFormat/>
    <w:uiPriority w:val="0"/>
    <w:rPr>
      <w:b/>
      <w:bCs/>
      <w:kern w:val="2"/>
      <w:sz w:val="32"/>
      <w:szCs w:val="32"/>
    </w:rPr>
  </w:style>
  <w:style w:type="character" w:customStyle="1" w:styleId="73">
    <w:name w:val="正文文本缩进 2 Char"/>
    <w:autoRedefine/>
    <w:qFormat/>
    <w:uiPriority w:val="99"/>
    <w:rPr>
      <w:kern w:val="2"/>
      <w:sz w:val="21"/>
      <w:szCs w:val="24"/>
    </w:rPr>
  </w:style>
  <w:style w:type="character" w:customStyle="1" w:styleId="74">
    <w:name w:val="表格内容 Char Char"/>
    <w:autoRedefine/>
    <w:qFormat/>
    <w:uiPriority w:val="0"/>
    <w:rPr>
      <w:color w:val="000000"/>
      <w:szCs w:val="21"/>
    </w:rPr>
  </w:style>
  <w:style w:type="character" w:customStyle="1" w:styleId="75">
    <w:name w:val="正文缩进 字符2"/>
    <w:autoRedefine/>
    <w:qFormat/>
    <w:uiPriority w:val="0"/>
    <w:rPr>
      <w:rFonts w:eastAsia="宋体"/>
      <w:color w:val="000000"/>
      <w:kern w:val="2"/>
      <w:sz w:val="24"/>
      <w:szCs w:val="24"/>
      <w:lang w:val="en-US" w:eastAsia="zh-CN" w:bidi="ar-SA"/>
    </w:rPr>
  </w:style>
  <w:style w:type="paragraph" w:customStyle="1" w:styleId="76">
    <w:name w:val="样式 居中"/>
    <w:basedOn w:val="1"/>
    <w:autoRedefine/>
    <w:qFormat/>
    <w:uiPriority w:val="0"/>
    <w:pPr>
      <w:adjustRightInd w:val="0"/>
      <w:snapToGrid w:val="0"/>
      <w:spacing w:line="240" w:lineRule="auto"/>
      <w:ind w:firstLine="0" w:firstLineChars="0"/>
      <w:jc w:val="center"/>
    </w:pPr>
    <w:rPr>
      <w:rFonts w:ascii="Arial" w:hAnsi="Arial"/>
      <w:szCs w:val="20"/>
    </w:rPr>
  </w:style>
  <w:style w:type="paragraph" w:customStyle="1" w:styleId="77">
    <w:name w:val="表格文字"/>
    <w:basedOn w:val="10"/>
    <w:next w:val="1"/>
    <w:autoRedefine/>
    <w:qFormat/>
    <w:uiPriority w:val="0"/>
    <w:pPr>
      <w:keepLines/>
      <w:widowControl w:val="0"/>
      <w:snapToGrid/>
      <w:spacing w:before="0" w:after="120" w:line="240" w:lineRule="auto"/>
      <w:ind w:right="0" w:firstLine="0" w:firstLineChars="0"/>
      <w:jc w:val="center"/>
    </w:pPr>
    <w:rPr>
      <w:rFonts w:hint="eastAsia" w:cs="宋体"/>
      <w:kern w:val="2"/>
      <w:sz w:val="21"/>
      <w:szCs w:val="21"/>
    </w:rPr>
  </w:style>
  <w:style w:type="table" w:customStyle="1" w:styleId="78">
    <w:name w:val="Table Normal"/>
    <w:autoRedefine/>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79">
    <w:name w:val="表格标题"/>
    <w:basedOn w:val="7"/>
    <w:autoRedefine/>
    <w:qFormat/>
    <w:uiPriority w:val="0"/>
    <w:pPr>
      <w:keepLines/>
      <w:spacing w:beforeLines="100" w:line="240" w:lineRule="auto"/>
      <w:ind w:firstLine="0" w:firstLineChars="0"/>
      <w:jc w:val="center"/>
    </w:pPr>
    <w:rPr>
      <w:rFonts w:hint="eastAsia" w:ascii="Times New Roman" w:hAnsi="Times New Roman" w:cs="宋体"/>
      <w:sz w:val="21"/>
      <w:szCs w:val="21"/>
    </w:rPr>
  </w:style>
  <w:style w:type="paragraph" w:customStyle="1" w:styleId="80">
    <w:name w:val="Table Text"/>
    <w:basedOn w:val="1"/>
    <w:autoRedefine/>
    <w:semiHidden/>
    <w:qFormat/>
    <w:uiPriority w:val="0"/>
    <w:pPr>
      <w:spacing w:line="240" w:lineRule="auto"/>
      <w:ind w:firstLine="0" w:firstLineChars="0"/>
    </w:pPr>
    <w:rPr>
      <w:rFonts w:ascii="宋体" w:hAnsi="宋体" w:cs="宋体"/>
      <w:sz w:val="20"/>
      <w:szCs w:val="20"/>
      <w:lang w:eastAsia="en-US"/>
    </w:rPr>
  </w:style>
  <w:style w:type="paragraph" w:customStyle="1" w:styleId="81">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2">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3">
    <w:name w:val="5号表格"/>
    <w:basedOn w:val="1"/>
    <w:link w:val="84"/>
    <w:autoRedefine/>
    <w:qFormat/>
    <w:uiPriority w:val="0"/>
    <w:pPr>
      <w:autoSpaceDE w:val="0"/>
      <w:autoSpaceDN w:val="0"/>
      <w:adjustRightInd w:val="0"/>
      <w:spacing w:line="240" w:lineRule="auto"/>
      <w:ind w:firstLine="0" w:firstLineChars="0"/>
      <w:jc w:val="center"/>
    </w:pPr>
    <w:rPr>
      <w:snapToGrid w:val="0"/>
      <w:kern w:val="0"/>
      <w:sz w:val="21"/>
      <w:szCs w:val="21"/>
    </w:rPr>
  </w:style>
  <w:style w:type="character" w:customStyle="1" w:styleId="84">
    <w:name w:val="5号表格 Char"/>
    <w:basedOn w:val="24"/>
    <w:link w:val="83"/>
    <w:autoRedefine/>
    <w:qFormat/>
    <w:uiPriority w:val="0"/>
    <w:rPr>
      <w:snapToGrid w:val="0"/>
      <w:sz w:val="21"/>
      <w:szCs w:val="21"/>
    </w:rPr>
  </w:style>
  <w:style w:type="character" w:customStyle="1" w:styleId="85">
    <w:name w:val="10"/>
    <w:autoRedefine/>
    <w:qFormat/>
    <w:uiPriority w:val="0"/>
    <w:rPr>
      <w:rFonts w:hint="default" w:ascii="Times New Roman" w:hAnsi="Times New Roman" w:cs="Times New Roman"/>
    </w:rPr>
  </w:style>
  <w:style w:type="character" w:customStyle="1" w:styleId="86">
    <w:name w:val="01 大庆环评 正文 字符"/>
    <w:link w:val="87"/>
    <w:autoRedefine/>
    <w:qFormat/>
    <w:uiPriority w:val="0"/>
    <w:rPr>
      <w:kern w:val="2"/>
      <w:sz w:val="21"/>
      <w:szCs w:val="28"/>
    </w:rPr>
  </w:style>
  <w:style w:type="paragraph" w:customStyle="1" w:styleId="87">
    <w:name w:val="01 大庆环评 正文"/>
    <w:basedOn w:val="1"/>
    <w:link w:val="86"/>
    <w:autoRedefine/>
    <w:qFormat/>
    <w:uiPriority w:val="0"/>
    <w:rPr>
      <w:sz w:val="21"/>
      <w:szCs w:val="28"/>
    </w:rPr>
  </w:style>
  <w:style w:type="paragraph" w:customStyle="1" w:styleId="88">
    <w:name w:val="01大庆环评 表格文字"/>
    <w:basedOn w:val="1"/>
    <w:autoRedefine/>
    <w:qFormat/>
    <w:uiPriority w:val="0"/>
    <w:pPr>
      <w:spacing w:line="240" w:lineRule="auto"/>
      <w:ind w:firstLine="0" w:firstLineChars="0"/>
      <w:jc w:val="center"/>
    </w:pPr>
    <w:rPr>
      <w:kern w:val="0"/>
      <w:sz w:val="21"/>
    </w:rPr>
  </w:style>
  <w:style w:type="character" w:customStyle="1" w:styleId="89">
    <w:name w:val="标题 2 Char"/>
    <w:basedOn w:val="24"/>
    <w:link w:val="3"/>
    <w:autoRedefine/>
    <w:semiHidden/>
    <w:qFormat/>
    <w:uiPriority w:val="0"/>
    <w:rPr>
      <w:rFonts w:ascii="Cambria" w:hAnsi="Cambria"/>
      <w:b/>
      <w:bCs/>
      <w:kern w:val="2"/>
      <w:sz w:val="32"/>
      <w:szCs w:val="32"/>
    </w:rPr>
  </w:style>
  <w:style w:type="character" w:customStyle="1" w:styleId="90">
    <w:name w:val="标题 4 Char"/>
    <w:basedOn w:val="24"/>
    <w:link w:val="5"/>
    <w:autoRedefine/>
    <w:semiHidden/>
    <w:qFormat/>
    <w:uiPriority w:val="0"/>
    <w:rPr>
      <w:rFonts w:asciiTheme="majorHAnsi" w:hAnsiTheme="majorHAnsi" w:eastAsiaTheme="majorEastAsia" w:cstheme="majorBidi"/>
      <w:b/>
      <w:bCs/>
      <w:kern w:val="2"/>
      <w:sz w:val="28"/>
      <w:szCs w:val="28"/>
    </w:rPr>
  </w:style>
  <w:style w:type="table" w:customStyle="1" w:styleId="91">
    <w:name w:val="Table Normal1"/>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92">
    <w:name w:val="fontstyle11"/>
    <w:basedOn w:val="24"/>
    <w:autoRedefine/>
    <w:qFormat/>
    <w:uiPriority w:val="0"/>
    <w:rPr>
      <w:rFonts w:hint="default" w:ascii="TimesNewRomanPSMT" w:hAnsi="TimesNewRomanPSMT"/>
      <w:color w:val="000000"/>
      <w:sz w:val="16"/>
      <w:szCs w:val="16"/>
    </w:rPr>
  </w:style>
  <w:style w:type="character" w:customStyle="1" w:styleId="93">
    <w:name w:val="font61"/>
    <w:basedOn w:val="24"/>
    <w:autoRedefine/>
    <w:qFormat/>
    <w:uiPriority w:val="0"/>
    <w:rPr>
      <w:rFonts w:hint="eastAsia" w:ascii="宋体" w:hAnsi="宋体" w:eastAsia="宋体" w:cs="宋体"/>
      <w:color w:val="000000"/>
      <w:sz w:val="20"/>
      <w:szCs w:val="20"/>
      <w:u w:val="none"/>
    </w:rPr>
  </w:style>
  <w:style w:type="paragraph" w:customStyle="1" w:styleId="94">
    <w:name w:val="表内字"/>
    <w:basedOn w:val="37"/>
    <w:autoRedefine/>
    <w:qFormat/>
    <w:uiPriority w:val="0"/>
    <w:pPr>
      <w:autoSpaceDE w:val="0"/>
      <w:autoSpaceDN w:val="0"/>
      <w:spacing w:beforeLines="5" w:afterLines="0" w:line="240" w:lineRule="auto"/>
      <w:ind w:firstLine="0" w:firstLineChars="0"/>
    </w:pPr>
    <w:rPr>
      <w:rFonts w:hAnsi="宋体"/>
      <w:bCs/>
      <w:color w:val="000000"/>
      <w:sz w:val="21"/>
      <w:szCs w:val="21"/>
    </w:rPr>
  </w:style>
  <w:style w:type="paragraph" w:styleId="95">
    <w:name w:val="List Paragraph"/>
    <w:basedOn w:val="1"/>
    <w:autoRedefine/>
    <w:qFormat/>
    <w:uiPriority w:val="34"/>
    <w:pPr>
      <w:spacing w:line="240" w:lineRule="auto"/>
      <w:ind w:firstLine="420"/>
    </w:pPr>
    <w:rPr>
      <w:sz w:val="21"/>
    </w:rPr>
  </w:style>
  <w:style w:type="table" w:customStyle="1" w:styleId="96">
    <w:name w:val="Table Grid_0"/>
    <w:basedOn w:val="22"/>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7">
    <w:name w:val="5号文本"/>
    <w:basedOn w:val="83"/>
    <w:link w:val="99"/>
    <w:autoRedefine/>
    <w:qFormat/>
    <w:uiPriority w:val="0"/>
    <w:pPr>
      <w:spacing w:line="360" w:lineRule="auto"/>
      <w:ind w:firstLine="200" w:firstLineChars="200"/>
      <w:jc w:val="both"/>
    </w:pPr>
  </w:style>
  <w:style w:type="paragraph" w:customStyle="1" w:styleId="98">
    <w:name w:val="5号表头"/>
    <w:basedOn w:val="97"/>
    <w:link w:val="100"/>
    <w:autoRedefine/>
    <w:qFormat/>
    <w:uiPriority w:val="0"/>
    <w:pPr>
      <w:ind w:firstLine="0" w:firstLineChars="0"/>
      <w:jc w:val="center"/>
    </w:pPr>
    <w:rPr>
      <w:b/>
    </w:rPr>
  </w:style>
  <w:style w:type="character" w:customStyle="1" w:styleId="99">
    <w:name w:val="5号文本 Char"/>
    <w:basedOn w:val="84"/>
    <w:link w:val="97"/>
    <w:autoRedefine/>
    <w:qFormat/>
    <w:uiPriority w:val="0"/>
    <w:rPr>
      <w:snapToGrid w:val="0"/>
      <w:sz w:val="21"/>
      <w:szCs w:val="21"/>
    </w:rPr>
  </w:style>
  <w:style w:type="character" w:customStyle="1" w:styleId="100">
    <w:name w:val="5号表头 Char"/>
    <w:basedOn w:val="99"/>
    <w:link w:val="98"/>
    <w:autoRedefine/>
    <w:qFormat/>
    <w:uiPriority w:val="0"/>
    <w:rPr>
      <w:b/>
      <w:snapToGrid w:val="0"/>
      <w:sz w:val="21"/>
      <w:szCs w:val="21"/>
    </w:rPr>
  </w:style>
  <w:style w:type="character" w:customStyle="1" w:styleId="101">
    <w:name w:val="表内文字 Char Char"/>
    <w:autoRedefine/>
    <w:qFormat/>
    <w:uiPriority w:val="0"/>
    <w:rPr>
      <w:rFonts w:cs="宋体"/>
    </w:rPr>
  </w:style>
  <w:style w:type="paragraph" w:customStyle="1" w:styleId="102">
    <w:name w:val="Знак Знак"/>
    <w:basedOn w:val="1"/>
    <w:next w:val="14"/>
    <w:autoRedefine/>
    <w:qFormat/>
    <w:uiPriority w:val="0"/>
    <w:pPr>
      <w:ind w:firstLine="480"/>
    </w:pPr>
  </w:style>
  <w:style w:type="character" w:styleId="103">
    <w:name w:val="Placeholder Text"/>
    <w:basedOn w:val="24"/>
    <w:autoRedefine/>
    <w:semiHidden/>
    <w:qFormat/>
    <w:uiPriority w:val="99"/>
    <w:rPr>
      <w:color w:val="808080"/>
    </w:rPr>
  </w:style>
  <w:style w:type="paragraph" w:customStyle="1" w:styleId="104">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105">
    <w:name w:val="网格型浅色1"/>
    <w:basedOn w:val="22"/>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106">
    <w:name w:val="Char Char Char1 Char Char Char Char Char Char Char Char Char Char5"/>
    <w:basedOn w:val="1"/>
    <w:autoRedefine/>
    <w:unhideWhenUsed/>
    <w:qFormat/>
    <w:uiPriority w:val="0"/>
    <w:pPr>
      <w:widowControl/>
      <w:spacing w:line="240" w:lineRule="auto"/>
      <w:ind w:firstLine="0" w:firstLineChars="0"/>
      <w:jc w:val="left"/>
    </w:pPr>
    <w:rPr>
      <w:rFonts w:hint="eastAsia" w:ascii="宋体" w:hAnsi="宋体" w:cs="宋体"/>
      <w:kern w:val="0"/>
    </w:rPr>
  </w:style>
  <w:style w:type="character" w:customStyle="1" w:styleId="107">
    <w:name w:val="文档结构图 Char"/>
    <w:basedOn w:val="24"/>
    <w:link w:val="8"/>
    <w:autoRedefine/>
    <w:qFormat/>
    <w:uiPriority w:val="0"/>
    <w:rPr>
      <w:rFonts w:ascii="宋体"/>
      <w:kern w:val="2"/>
      <w:sz w:val="18"/>
      <w:szCs w:val="18"/>
    </w:rPr>
  </w:style>
  <w:style w:type="paragraph" w:customStyle="1" w:styleId="108">
    <w:name w:val="表格字体"/>
    <w:autoRedefine/>
    <w:qFormat/>
    <w:uiPriority w:val="0"/>
    <w:pPr>
      <w:jc w:val="center"/>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7.emf"/><Relationship Id="rId33" Type="http://schemas.openxmlformats.org/officeDocument/2006/relationships/package" Target="embeddings/Microsoft_Visio___6.vsdx"/><Relationship Id="rId32" Type="http://schemas.openxmlformats.org/officeDocument/2006/relationships/image" Target="media/image16.emf"/><Relationship Id="rId31" Type="http://schemas.openxmlformats.org/officeDocument/2006/relationships/oleObject" Target="embeddings/Microsoft_Visio_2003-2010___5.vsd"/><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emf"/><Relationship Id="rId22" Type="http://schemas.openxmlformats.org/officeDocument/2006/relationships/package" Target="embeddings/Microsoft_Visio___4.vsdx"/><Relationship Id="rId21" Type="http://schemas.openxmlformats.org/officeDocument/2006/relationships/image" Target="media/image7.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Microsoft_Visio_2003-2010___2.vsd"/><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package" Target="embeddings/Microsoft_Visio___1.vsdx"/><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37"/>
    <customShpInfo spid="_x0000_s103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6F188-AD42-40A1-B196-AEDD2755F6C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130</Pages>
  <Words>17706</Words>
  <Characters>100928</Characters>
  <Lines>841</Lines>
  <Paragraphs>236</Paragraphs>
  <TotalTime>15</TotalTime>
  <ScaleCrop>false</ScaleCrop>
  <LinksUpToDate>false</LinksUpToDate>
  <CharactersWithSpaces>118398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2023-09-01T01:16:00Z</dcterms:created>
  <dc:creator>lhj</dc:creator>
  <cp:lastModifiedBy>idiot</cp:lastModifiedBy>
  <cp:lastPrinted>2020-12-24T01:50:00Z</cp:lastPrinted>
  <dcterms:modified xsi:type="dcterms:W3CDTF">2024-03-22T07:00:08Z</dcterms:modified>
  <cp:revision>991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396455AC2BDF4CCBBFD2143A26382F55_12</vt:lpwstr>
  </property>
</Properties>
</file>